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986CC7">
      <w:pPr>
        <w:spacing w:after="80" w:line="360" w:lineRule="auto"/>
        <w:jc w:val="center"/>
      </w:pPr>
      <w:r>
        <w:rPr>
          <w:rFonts w:ascii="方正小标宋简体" w:hAnsi="方正小标宋简体" w:eastAsia="方正小标宋简体"/>
          <w:sz w:val="44"/>
        </w:rPr>
        <w:t>嵌入式综合实验室建设项目</w:t>
      </w:r>
    </w:p>
    <w:p w14:paraId="7491F923">
      <w:pPr>
        <w:spacing w:after="360" w:line="360" w:lineRule="auto"/>
        <w:jc w:val="center"/>
      </w:pPr>
      <w:r>
        <w:rPr>
          <w:rFonts w:ascii="方正小标宋简体" w:hAnsi="方正小标宋简体" w:eastAsia="方正小标宋简体"/>
          <w:sz w:val="44"/>
        </w:rPr>
        <w:t>采购可行性论证报告</w:t>
      </w:r>
    </w:p>
    <w:p w14:paraId="1F0FB4AB">
      <w:pPr>
        <w:spacing w:after="40" w:line="360" w:lineRule="auto"/>
        <w:jc w:val="center"/>
      </w:pPr>
      <w:r>
        <w:rPr>
          <w:sz w:val="28"/>
        </w:rPr>
        <w:t>申报项目：信息工程系嵌入式综合实验室建设项目</w:t>
      </w:r>
    </w:p>
    <w:p w14:paraId="3892CED3">
      <w:pPr>
        <w:spacing w:after="40" w:line="360" w:lineRule="auto"/>
        <w:jc w:val="center"/>
      </w:pPr>
      <w:r>
        <w:rPr>
          <w:sz w:val="28"/>
        </w:rPr>
        <w:t>预算金额：63.365万元</w:t>
      </w:r>
    </w:p>
    <w:p w14:paraId="73155229">
      <w:pPr>
        <w:spacing w:after="440" w:line="360" w:lineRule="auto"/>
        <w:jc w:val="center"/>
      </w:pPr>
      <w:r>
        <w:rPr>
          <w:sz w:val="28"/>
        </w:rPr>
        <w:t>编制日期：2026年7月</w:t>
      </w:r>
    </w:p>
    <w:p w14:paraId="13FDE31D">
      <w:pPr>
        <w:pStyle w:val="3"/>
      </w:pPr>
      <w:r>
        <w:rPr>
          <w:rFonts w:ascii="黑体" w:hAnsi="黑体" w:eastAsia="黑体"/>
        </w:rPr>
        <w:t>一、项目基本情况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7087"/>
      </w:tblGrid>
      <w:tr w14:paraId="391DB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F2F2F2"/>
            <w:vAlign w:val="center"/>
          </w:tcPr>
          <w:p w14:paraId="3FEF9F0B">
            <w:pPr>
              <w:spacing w:after="0" w:line="240" w:lineRule="auto"/>
            </w:pPr>
            <w:r>
              <w:t>项目名称</w:t>
            </w:r>
          </w:p>
        </w:tc>
        <w:tc>
          <w:tcPr>
            <w:tcW w:w="7087" w:type="dxa"/>
            <w:shd w:val="clear" w:color="auto" w:fill="F2F2F2"/>
            <w:vAlign w:val="center"/>
          </w:tcPr>
          <w:p w14:paraId="227B8A4A">
            <w:pPr>
              <w:spacing w:after="0" w:line="240" w:lineRule="auto"/>
              <w:rPr>
                <w:rFonts w:hint="eastAsia" w:eastAsia="仿宋_GB2312"/>
                <w:lang w:eastAsia="zh-CN"/>
              </w:rPr>
            </w:pPr>
            <w:r>
              <w:t>信息工程系嵌入式综合实验室建设项目</w:t>
            </w:r>
            <w:r>
              <w:rPr>
                <w:rFonts w:hint="eastAsia"/>
                <w:lang w:eastAsia="zh-CN"/>
              </w:rPr>
              <w:t>（</w:t>
            </w:r>
            <w:r>
              <w:rPr>
                <w:rFonts w:hint="eastAsia"/>
                <w:lang w:val="en-US" w:eastAsia="zh-CN"/>
              </w:rPr>
              <w:t>畜禽养殖环境智能监测控制系统开发项目综合实训室</w:t>
            </w:r>
            <w:r>
              <w:rPr>
                <w:rFonts w:hint="eastAsia"/>
                <w:lang w:eastAsia="zh-CN"/>
              </w:rPr>
              <w:t>）</w:t>
            </w:r>
          </w:p>
        </w:tc>
      </w:tr>
      <w:tr w14:paraId="5F954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F2F2F2"/>
            <w:vAlign w:val="center"/>
          </w:tcPr>
          <w:p w14:paraId="63C6E807">
            <w:pPr>
              <w:spacing w:after="0" w:line="240" w:lineRule="auto"/>
            </w:pPr>
            <w:r>
              <w:t>采购内容</w:t>
            </w:r>
          </w:p>
        </w:tc>
        <w:tc>
          <w:tcPr>
            <w:tcW w:w="7087" w:type="dxa"/>
            <w:vAlign w:val="center"/>
          </w:tcPr>
          <w:p w14:paraId="5F11AFDE">
            <w:pPr>
              <w:spacing w:after="0" w:line="240" w:lineRule="auto"/>
              <w:rPr>
                <w:rFonts w:hint="eastAsia" w:eastAsia="仿宋_GB2312"/>
                <w:lang w:eastAsia="zh-CN"/>
              </w:rPr>
            </w:pPr>
            <w:r>
              <w:t>嵌入式综合实验箱15套，主控、通信、传感、RFID识别、执行器开发包各15套，嵌入式智能物联综合实训云平台1套，生猪与蛋鸡智能养殖实训系统各1套</w:t>
            </w:r>
            <w:r>
              <w:rPr>
                <w:rFonts w:hint="eastAsia"/>
                <w:lang w:eastAsia="zh-CN"/>
              </w:rPr>
              <w:t>（</w:t>
            </w:r>
            <w:r>
              <w:rPr>
                <w:rFonts w:hint="eastAsia"/>
                <w:lang w:val="en-US" w:eastAsia="zh-CN"/>
              </w:rPr>
              <w:t>模型</w:t>
            </w:r>
            <w:r>
              <w:rPr>
                <w:rFonts w:hint="eastAsia"/>
                <w:lang w:eastAsia="zh-CN"/>
              </w:rPr>
              <w:t>）</w:t>
            </w:r>
          </w:p>
        </w:tc>
      </w:tr>
      <w:tr w14:paraId="468FB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F2F2F2"/>
            <w:vAlign w:val="center"/>
          </w:tcPr>
          <w:p w14:paraId="44D355C6">
            <w:pPr>
              <w:spacing w:after="0" w:line="240" w:lineRule="auto"/>
            </w:pPr>
            <w:r>
              <w:t>预算金额</w:t>
            </w:r>
          </w:p>
        </w:tc>
        <w:tc>
          <w:tcPr>
            <w:tcW w:w="7087" w:type="dxa"/>
            <w:vAlign w:val="center"/>
          </w:tcPr>
          <w:p w14:paraId="66D54F4C">
            <w:pPr>
              <w:spacing w:after="0" w:line="240" w:lineRule="auto"/>
            </w:pPr>
            <w:r>
              <w:t>63.365万元</w:t>
            </w:r>
          </w:p>
        </w:tc>
      </w:tr>
      <w:tr w14:paraId="6ACAE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F2F2F2"/>
            <w:vAlign w:val="center"/>
          </w:tcPr>
          <w:p w14:paraId="584E687A">
            <w:pPr>
              <w:spacing w:after="0" w:line="240" w:lineRule="auto"/>
            </w:pPr>
            <w:r>
              <w:t>政府采购品目</w:t>
            </w:r>
          </w:p>
        </w:tc>
        <w:tc>
          <w:tcPr>
            <w:tcW w:w="7087" w:type="dxa"/>
            <w:vAlign w:val="center"/>
          </w:tcPr>
          <w:p w14:paraId="664395B3">
            <w:pPr>
              <w:spacing w:after="0" w:line="240" w:lineRule="auto"/>
            </w:pPr>
            <w:r>
              <w:t>A033412 教学专用仪器；A0201080302 行业应用软件</w:t>
            </w:r>
          </w:p>
        </w:tc>
      </w:tr>
      <w:tr w14:paraId="7A429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F2F2F2"/>
            <w:vAlign w:val="center"/>
          </w:tcPr>
          <w:p w14:paraId="5F228706">
            <w:pPr>
              <w:spacing w:after="0" w:line="240" w:lineRule="auto"/>
            </w:pPr>
            <w:r>
              <w:t>建设定位</w:t>
            </w:r>
          </w:p>
        </w:tc>
        <w:tc>
          <w:tcPr>
            <w:tcW w:w="7087" w:type="dxa"/>
            <w:vAlign w:val="center"/>
          </w:tcPr>
          <w:p w14:paraId="0EEA11C8">
            <w:pPr>
              <w:spacing w:after="0" w:line="240" w:lineRule="auto"/>
            </w:pPr>
            <w:r>
              <w:t>面向嵌入式系统开发、板级调试、边缘控制、智能硬件项目化教学和畜禽智能化养殖场景应用的综合实验室</w:t>
            </w:r>
          </w:p>
        </w:tc>
      </w:tr>
    </w:tbl>
    <w:p w14:paraId="67DD4576">
      <w:pPr>
        <w:spacing w:after="0" w:line="360" w:lineRule="auto"/>
        <w:ind w:firstLine="640"/>
      </w:pPr>
      <w:r>
        <w:t>本项目拟采购嵌入式综合实验箱（嵌入式综合实训设备）15套，主控、通信、传感器、RFID识别、执行器开发包各15套，嵌入式智能物联综合实训云平台1套，生猪智能养殖环境监测与精准环控实训系统1套，蛋鸡智能养殖状态监测与禽舍联动控制实训系统1套。项目建成后形成面向嵌入式系统开发、板级接口调试、边缘网关集成、智能硬件联动控制和畜禽智能化养殖场景项目化教学的综合实验室，可支撑约</w:t>
      </w:r>
      <w:r>
        <w:rPr>
          <w:rFonts w:hint="eastAsia"/>
          <w:lang w:val="en-US" w:eastAsia="zh-CN"/>
        </w:rPr>
        <w:t>60</w:t>
      </w:r>
      <w:r>
        <w:t>人同步实训。</w:t>
      </w:r>
    </w:p>
    <w:p w14:paraId="2EBEB9ED">
      <w:pPr>
        <w:pStyle w:val="3"/>
        <w:numPr>
          <w:ilvl w:val="0"/>
          <w:numId w:val="7"/>
        </w:numPr>
        <w:rPr>
          <w:rFonts w:ascii="黑体" w:hAnsi="黑体" w:eastAsia="黑体"/>
        </w:rPr>
      </w:pPr>
      <w:r>
        <w:rPr>
          <w:rFonts w:ascii="黑体" w:hAnsi="黑体" w:eastAsia="黑体"/>
        </w:rPr>
        <w:t>项目建设</w:t>
      </w:r>
      <w:r>
        <w:rPr>
          <w:rFonts w:hint="eastAsia" w:ascii="黑体" w:hAnsi="黑体" w:eastAsia="黑体"/>
          <w:lang w:val="en-US" w:eastAsia="zh-CN"/>
        </w:rPr>
        <w:t>背景</w:t>
      </w:r>
    </w:p>
    <w:p w14:paraId="32E322A1">
      <w:pPr>
        <w:spacing w:after="0" w:line="360" w:lineRule="auto"/>
        <w:ind w:firstLine="640"/>
      </w:pPr>
      <w:r>
        <w:t>（</w:t>
      </w:r>
      <w:r>
        <w:rPr>
          <w:rFonts w:hint="eastAsia"/>
          <w:lang w:val="en-US" w:eastAsia="zh-CN"/>
        </w:rPr>
        <w:t>一</w:t>
      </w:r>
      <w:r>
        <w:t>）落实2026年“人工智能+行动方案”及实训室建设五要素要求。根据国家2026年推进“人工智能+”行动方案部署，职业教育实训基地建设应围绕“应用场景、数据资源、算法模型、算力支撑、迭代优化”五要素构建产教融合型实训环境。本项目</w:t>
      </w:r>
      <w:r>
        <w:rPr>
          <w:rFonts w:hint="eastAsia"/>
          <w:lang w:val="en-US" w:eastAsia="zh-CN"/>
        </w:rPr>
        <w:t>围绕“畜禽智能化养殖双高专业群”双高专业群建设，</w:t>
      </w:r>
      <w:r>
        <w:t>以畜禽养殖为典型AIoT应用场景，通过嵌入式传感采集与环境数据积累（数据资源）、边缘端规则推理与云端联动控制（算法模型）、实验箱嵌入式主控与通信模组（算力支撑）的系统化配置，使实训室在教学运行中具备从数据采集到控制策略持续优化的闭环迭代能力，契合“人工智能+现代农业”行动方向对复合型技术技能人才培养的实训条件要求。</w:t>
      </w:r>
    </w:p>
    <w:p w14:paraId="65EF8ED0">
      <w:pPr>
        <w:spacing w:after="0" w:line="360" w:lineRule="auto"/>
        <w:ind w:firstLine="640"/>
      </w:pPr>
      <w:r>
        <w:t>（</w:t>
      </w:r>
      <w:r>
        <w:rPr>
          <w:rFonts w:hint="eastAsia"/>
          <w:lang w:val="en-US" w:eastAsia="zh-CN"/>
        </w:rPr>
        <w:t>二</w:t>
      </w:r>
      <w:r>
        <w:t>）服务嵌入式课程实践条件升级需要。嵌入式系统开发课程具有强工程性和强操作性，学生需要在真实硬件上完成程序下载、串口调试、GPIO/UART/I2C/SPI/ADC/PWM等外设驱动、传感采集、通信接入和执行控制。建设统一的嵌入式综合实验室，有利于把基础验证、模块组合、系统集成和项目交付纳入同一实训链路。</w:t>
      </w:r>
    </w:p>
    <w:p w14:paraId="3246B9F9">
      <w:pPr>
        <w:spacing w:after="0" w:line="360" w:lineRule="auto"/>
        <w:ind w:firstLine="640"/>
      </w:pPr>
      <w:r>
        <w:t>（</w:t>
      </w:r>
      <w:r>
        <w:rPr>
          <w:rFonts w:hint="eastAsia"/>
          <w:lang w:val="en-US" w:eastAsia="zh-CN"/>
        </w:rPr>
        <w:t>三</w:t>
      </w:r>
      <w:r>
        <w:t>）服务畜禽智能化养殖双高专业群建设需要。江西生物科技职业学院相关专业群对智慧养殖环境感知、设备联动、巡检记录和数据化运维提出了更高要求。本项目将生猪、蛋鸡智能养殖案例作为嵌入式综合实训场景，支撑学生围绕温湿度、气体、光照、饮水、料位、产蛋计数、RFID/二维码识别和风机、喷雾、补光等执行机构开展软硬件联调。</w:t>
      </w:r>
    </w:p>
    <w:p w14:paraId="5E595B53">
      <w:pPr>
        <w:spacing w:after="0" w:line="360" w:lineRule="auto"/>
        <w:ind w:firstLine="640"/>
      </w:pPr>
      <w:r>
        <w:t>（</w:t>
      </w:r>
      <w:r>
        <w:rPr>
          <w:rFonts w:hint="eastAsia"/>
          <w:lang w:val="en-US" w:eastAsia="zh-CN"/>
        </w:rPr>
        <w:t>四</w:t>
      </w:r>
      <w:r>
        <w:t>）服务项目化教学和过程评价改进需要。传统单项实验容易停留在接线和读数层面，难以体现工程闭环。本项目通过实验箱、开发包、边缘网关、实训云平台和典型行业案例联动，可记录设备接入、数据上报、规则配置、控制下发、告警处理和实验报告等过程，为课程考核、毕业设计和创新训练提供可追踪依据。</w:t>
      </w:r>
    </w:p>
    <w:p w14:paraId="047FDDDE">
      <w:pPr>
        <w:spacing w:after="0" w:line="360" w:lineRule="auto"/>
        <w:ind w:firstLine="640"/>
      </w:pPr>
      <w:r>
        <w:t>（五）推动嵌入式系统课程产教融合实训室建设。当前物联网应用技术专业嵌入式系统课程群亟需对接产业真实生产环境，本项目建设将行业级智能养殖系统（生猪、蛋鸡）引入嵌入式教学场景，实现教学链与产业链对接，形成“课程实验→模块组合实训→综合项目开发→行业场景交付”四级递进的产教融合实训体系，为信息工程系物联网专业群产教融合提供实体化载体。</w:t>
      </w:r>
    </w:p>
    <w:p w14:paraId="25115F23">
      <w:pPr>
        <w:pStyle w:val="3"/>
      </w:pPr>
      <w:r>
        <w:rPr>
          <w:rFonts w:ascii="黑体" w:hAnsi="黑体" w:eastAsia="黑体"/>
        </w:rPr>
        <w:t>三、采购内容与功能要求</w:t>
      </w:r>
    </w:p>
    <w:p w14:paraId="267B8F58">
      <w:pPr>
        <w:spacing w:after="0" w:line="360" w:lineRule="auto"/>
        <w:ind w:firstLine="640"/>
      </w:pPr>
      <w:r>
        <w:t>采购内容应以《嵌入式综合实验室建设项目清单1.xlsx》为依据，围绕“端侧开发、通信接入、边缘控制、平台联调、场景应用”配置教学专用设备和行业应用软件，避免建设内容偏离嵌入式课程本体。</w:t>
      </w:r>
    </w:p>
    <w:p w14:paraId="6D36DD56">
      <w:pPr>
        <w:spacing w:after="0" w:line="360" w:lineRule="auto"/>
        <w:ind w:firstLine="640"/>
      </w:pPr>
      <w:r>
        <w:t>嵌入式综合实验箱应采用便携式一体化、模块化快接和免跳线教学结构，支持STM32、OpenHarmony轻量设备、ZigBee、中心网关、环境采集、光照采集、继电器控制和触控看板等实验，具备不少于9个同构通用模块接口位，满足学生在不同实验任务中灵活组合模块。</w:t>
      </w:r>
    </w:p>
    <w:p w14:paraId="6CD6192F">
      <w:pPr>
        <w:spacing w:after="0" w:line="360" w:lineRule="auto"/>
        <w:ind w:firstLine="640"/>
      </w:pPr>
      <w:r>
        <w:t>配套开发包应覆盖主控、通信、传感、RFID识别和执行器五类模块，支撑多控制器协同、WiFi/ZigBee/4G/BLE/LoRa/NB-IoT或Cat.1通信、温湿度/气体/PM2.5/重量/超声波等感知、HF/UHF/NFC/二维码识别以及风扇、舵机、水泵、喷雾、补光等执行控制训练。</w:t>
      </w:r>
    </w:p>
    <w:p w14:paraId="6C912478">
      <w:pPr>
        <w:spacing w:after="0" w:line="360" w:lineRule="auto"/>
        <w:ind w:firstLine="640"/>
      </w:pPr>
      <w:r>
        <w:t>嵌入式智能物联综合实训云平台应支持设备接入、数据可视化、规则联动、硬件在线仿真、教学任务、实验报告和过程评价。生猪与蛋鸡智能养殖实训系统应分别覆盖猪舍环境监测与精准环控、禽舍状态监测与联动控制，形成与畜禽智能化养殖专业群匹配的综合项目案例。</w:t>
      </w:r>
    </w:p>
    <w:p w14:paraId="17310E4D">
      <w:pPr>
        <w:pStyle w:val="3"/>
      </w:pPr>
      <w:r>
        <w:rPr>
          <w:rFonts w:ascii="黑体" w:hAnsi="黑体" w:eastAsia="黑体"/>
        </w:rPr>
        <w:t>四、预算测算与采购方式可行性</w:t>
      </w:r>
    </w:p>
    <w:p w14:paraId="4FFE5971">
      <w:pPr>
        <w:spacing w:after="0" w:line="360" w:lineRule="auto"/>
        <w:ind w:firstLine="640"/>
      </w:pPr>
      <w:r>
        <w:t>本项目预算金额为63.365万元，测算依据为《嵌入式综合实验室建设项目清单1.xlsx》所列设备、平台和实训案例价格。其中嵌入式综合实验箱15套小计33.7500万元，五类开发包各15套小计4.8150万元，实训云平台1套小计19.5000万元，生猪与蛋鸡智能养殖实训系统各1套小计5.3000万元。</w:t>
      </w:r>
    </w:p>
    <w:p w14:paraId="6BBA2A1A">
      <w:pPr>
        <w:spacing w:after="0" w:line="360" w:lineRule="auto"/>
        <w:ind w:firstLine="640"/>
      </w:pPr>
      <w:r>
        <w:t>政府采购品目建议分为“A033412 教学专用仪器”和“A0201080302 行业应用软件”两类填报。其中教学专用仪器金额43.8650万元，行业应用软件金额19.5000万元；预算支出方向建议分别归入“专用设备购置”和“信息网络及软件购置更新”。该口径与附件5政府采购预算表、附件6资产配置表及2027年度预算支出申报明细表保持一致。</w:t>
      </w:r>
    </w:p>
    <w:p w14:paraId="5FEE106B">
      <w:pPr>
        <w:pStyle w:val="3"/>
      </w:pPr>
      <w:r>
        <w:rPr>
          <w:rFonts w:ascii="黑体" w:hAnsi="黑体" w:eastAsia="黑体"/>
        </w:rPr>
        <w:t>五、实施条件与可行性分析</w:t>
      </w:r>
    </w:p>
    <w:p w14:paraId="4AF8C524">
      <w:pPr>
        <w:spacing w:after="0" w:line="360" w:lineRule="auto"/>
        <w:ind w:firstLine="640"/>
      </w:pPr>
      <w:r>
        <w:t>（一）技术实施可行。项目采购边界清晰，硬件侧以实验箱和开发包形成端侧实训条件，软件侧以实训云平台形成设备接入、数据展示和教学评价条件，场景侧以生猪、蛋鸡智能养殖系统形成综合应用任务，便于分阶段安装、调试、培训和验收。</w:t>
      </w:r>
    </w:p>
    <w:p w14:paraId="44AFE1FA">
      <w:pPr>
        <w:spacing w:after="0" w:line="360" w:lineRule="auto"/>
        <w:ind w:firstLine="640"/>
      </w:pPr>
      <w:r>
        <w:t>（二）教学应用可行。项目可覆盖嵌入式系统开发、单片机应用、传感器与检测、无线通信、RFID技术、边缘网关、云平台应用、智能硬件综合项目等课程，并能结合畜禽智能化养殖场景开展任务驱动式教学。</w:t>
      </w:r>
    </w:p>
    <w:p w14:paraId="2A7CFCE1">
      <w:pPr>
        <w:spacing w:after="0" w:line="360" w:lineRule="auto"/>
        <w:ind w:firstLine="640"/>
      </w:pPr>
      <w:r>
        <w:t>（三）管理运维可行。设备数量、平台数量和资产分类明确，可按批次建立资产编号、模块借还、故障登记、平台账号、数据备份和课程资源版本管理机制，满足后续运行维护和资产管理要求。</w:t>
      </w:r>
    </w:p>
    <w:p w14:paraId="17FDFB0A">
      <w:pPr>
        <w:pStyle w:val="3"/>
      </w:pPr>
      <w:r>
        <w:rPr>
          <w:rFonts w:ascii="黑体" w:hAnsi="黑体" w:eastAsia="黑体"/>
        </w:rPr>
        <w:t>六、风险分析与控制措施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577"/>
      </w:tblGrid>
      <w:tr w14:paraId="35CF0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2F2"/>
            <w:vAlign w:val="center"/>
          </w:tcPr>
          <w:p w14:paraId="5BF06CC0">
            <w:pPr>
              <w:spacing w:after="0" w:line="240" w:lineRule="auto"/>
            </w:pPr>
            <w:r>
              <w:t>风险点</w:t>
            </w:r>
          </w:p>
        </w:tc>
        <w:tc>
          <w:tcPr>
            <w:tcW w:w="6577" w:type="dxa"/>
            <w:shd w:val="clear" w:color="auto" w:fill="F2F2F2"/>
            <w:vAlign w:val="center"/>
          </w:tcPr>
          <w:p w14:paraId="52367E3B">
            <w:pPr>
              <w:spacing w:after="0" w:line="240" w:lineRule="auto"/>
            </w:pPr>
            <w:r>
              <w:t>控制措施</w:t>
            </w:r>
          </w:p>
        </w:tc>
      </w:tr>
      <w:tr w14:paraId="25322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2F2"/>
            <w:vAlign w:val="center"/>
          </w:tcPr>
          <w:p w14:paraId="61B00503">
            <w:pPr>
              <w:spacing w:after="0" w:line="240" w:lineRule="auto"/>
            </w:pPr>
            <w:r>
              <w:t>设备与平台边界不清</w:t>
            </w:r>
          </w:p>
        </w:tc>
        <w:tc>
          <w:tcPr>
            <w:tcW w:w="6577" w:type="dxa"/>
            <w:vAlign w:val="center"/>
          </w:tcPr>
          <w:p w14:paraId="738232FF">
            <w:pPr>
              <w:spacing w:after="0" w:line="240" w:lineRule="auto"/>
            </w:pPr>
            <w:r>
              <w:t>以项目清单1、附件5、附件6和验收指标为依据，明确实验箱、开发包、实训云平台和畜禽养殖实训系统的采购边界。</w:t>
            </w:r>
          </w:p>
        </w:tc>
      </w:tr>
      <w:tr w14:paraId="1C4F6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2F2"/>
            <w:vAlign w:val="center"/>
          </w:tcPr>
          <w:p w14:paraId="0106582A">
            <w:pPr>
              <w:spacing w:after="0" w:line="240" w:lineRule="auto"/>
            </w:pPr>
            <w:r>
              <w:t>数量和金额口径不一致</w:t>
            </w:r>
          </w:p>
        </w:tc>
        <w:tc>
          <w:tcPr>
            <w:tcW w:w="6577" w:type="dxa"/>
            <w:vAlign w:val="center"/>
          </w:tcPr>
          <w:p w14:paraId="68F19F9B">
            <w:pPr>
              <w:spacing w:after="0" w:line="240" w:lineRule="auto"/>
            </w:pPr>
            <w:r>
              <w:t>统一采用15套学生端实训设备、</w:t>
            </w:r>
            <w:r>
              <w:rPr>
                <w:rFonts w:hint="eastAsia"/>
                <w:lang w:val="en-US" w:eastAsia="zh-CN"/>
              </w:rPr>
              <w:t>52</w:t>
            </w:r>
            <w:bookmarkStart w:id="0" w:name="_GoBack"/>
            <w:bookmarkEnd w:id="0"/>
            <w:r>
              <w:t>人同步实训、预算63.365万元口径，并与政府采购预算表、资产配置表和预算支出申报表交叉校验。</w:t>
            </w:r>
          </w:p>
        </w:tc>
      </w:tr>
      <w:tr w14:paraId="590C1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2F2"/>
            <w:vAlign w:val="center"/>
          </w:tcPr>
          <w:p w14:paraId="25E6A2B3">
            <w:pPr>
              <w:spacing w:after="0" w:line="240" w:lineRule="auto"/>
            </w:pPr>
            <w:r>
              <w:t>畜禽案例偏离嵌入式教学</w:t>
            </w:r>
          </w:p>
        </w:tc>
        <w:tc>
          <w:tcPr>
            <w:tcW w:w="6577" w:type="dxa"/>
            <w:vAlign w:val="center"/>
          </w:tcPr>
          <w:p w14:paraId="34E8A1C6">
            <w:pPr>
              <w:spacing w:after="0" w:line="240" w:lineRule="auto"/>
            </w:pPr>
            <w:r>
              <w:t>将生猪、蛋鸡案例定位为嵌入式传感采集、边缘控制、协议接入和执行联动综合实训，不作为单纯养殖管理系统建设。</w:t>
            </w:r>
          </w:p>
        </w:tc>
      </w:tr>
      <w:tr w14:paraId="0EED0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2F2"/>
            <w:vAlign w:val="center"/>
          </w:tcPr>
          <w:p w14:paraId="1A1BA16F">
            <w:pPr>
              <w:spacing w:after="0" w:line="240" w:lineRule="auto"/>
            </w:pPr>
            <w:r>
              <w:t>后续运维资源不足</w:t>
            </w:r>
          </w:p>
        </w:tc>
        <w:tc>
          <w:tcPr>
            <w:tcW w:w="6577" w:type="dxa"/>
            <w:vAlign w:val="center"/>
          </w:tcPr>
          <w:p w14:paraId="1938922A">
            <w:pPr>
              <w:spacing w:after="0" w:line="240" w:lineRule="auto"/>
            </w:pPr>
            <w:r>
              <w:t>建立资产编号、模块借还、故障登记、平台账号权限、数据备份和课程资源迭代机制，保障长期教学使用。</w:t>
            </w:r>
          </w:p>
        </w:tc>
      </w:tr>
    </w:tbl>
    <w:p w14:paraId="376F3AA2">
      <w:pPr>
        <w:pStyle w:val="3"/>
      </w:pPr>
      <w:r>
        <w:rPr>
          <w:rFonts w:ascii="黑体" w:hAnsi="黑体" w:eastAsia="黑体"/>
        </w:rPr>
        <w:t>七、绩效目标</w:t>
      </w:r>
    </w:p>
    <w:p w14:paraId="412922A8">
      <w:pPr>
        <w:spacing w:after="0" w:line="360" w:lineRule="auto"/>
        <w:ind w:firstLine="640"/>
      </w:pPr>
      <w:r>
        <w:t>项目完成后，应形成1间嵌入式综合实验室；配置嵌入式综合实验箱15套、主控/通信/传感/RFID识别/执行器开发包各15套、嵌入式智能物联综合实训云平台1套、生猪与蛋鸡智能养殖实训系统各1套；形成约</w:t>
      </w:r>
      <w:r>
        <w:rPr>
          <w:rFonts w:hint="eastAsia"/>
          <w:lang w:val="en-US" w:eastAsia="zh-CN"/>
        </w:rPr>
        <w:t>60</w:t>
      </w:r>
      <w:r>
        <w:t>人同步实训条件。</w:t>
      </w:r>
    </w:p>
    <w:p w14:paraId="62235DA6">
      <w:pPr>
        <w:spacing w:after="0" w:line="360" w:lineRule="auto"/>
        <w:ind w:firstLine="640"/>
      </w:pPr>
      <w:r>
        <w:t>通过本项目建设，可支撑嵌入式系统开发、板级调试、传感采集、无线通信、边缘网关、RFID识别、执行联动、数据可视化和畜禽智能化养殖综合项目训练，提升学生嵌入式软硬件联调、系统集成和项目交付能力。</w:t>
      </w:r>
    </w:p>
    <w:p w14:paraId="01CC8240">
      <w:pPr>
        <w:pStyle w:val="3"/>
      </w:pPr>
      <w:r>
        <w:rPr>
          <w:rFonts w:ascii="黑体" w:hAnsi="黑体" w:eastAsia="黑体"/>
        </w:rPr>
        <w:t>八、论证结论</w:t>
      </w:r>
    </w:p>
    <w:p w14:paraId="1DAD75AB">
      <w:pPr>
        <w:spacing w:after="0" w:line="360" w:lineRule="auto"/>
        <w:ind w:firstLine="640"/>
      </w:pPr>
      <w:r>
        <w:t>综上，信息工程系嵌入式综合实验室建设项目目标明确、采购内容清晰、预算测算依据充分，符合嵌入式课程实践教学、智能硬件项目训练和畜禽智能化养殖双高专业群应用场景建设需求。项目实施后可形成可持续使用的嵌入式综合实训环境，具备建设必要性、实施可行性和经费安排合理性，建议按程序纳入2027年度预算并组织采购实施。</w:t>
      </w:r>
    </w:p>
    <w:p w14:paraId="2287DF3E">
      <w:pPr>
        <w:spacing w:before="400" w:after="0" w:line="360" w:lineRule="auto"/>
        <w:jc w:val="center"/>
      </w:pPr>
      <w:r>
        <w:t>（以下无正文）</w:t>
      </w:r>
    </w:p>
    <w:p w14:paraId="518C07E4">
      <w:pPr>
        <w:spacing w:before="360" w:after="0" w:line="360" w:lineRule="auto"/>
        <w:jc w:val="right"/>
      </w:pPr>
      <w:r>
        <w:t>项目申报部门（盖章）：</w:t>
      </w:r>
    </w:p>
    <w:p w14:paraId="0417A2C7">
      <w:pPr>
        <w:spacing w:after="0" w:line="360" w:lineRule="auto"/>
        <w:jc w:val="right"/>
      </w:pPr>
      <w:r>
        <w:t>2026年7月9日</w:t>
      </w:r>
    </w:p>
    <w:sectPr>
      <w:headerReference r:id="rId6" w:type="first"/>
      <w:footerReference r:id="rId8" w:type="first"/>
      <w:headerReference r:id="rId5" w:type="default"/>
      <w:footerReference r:id="rId7" w:type="default"/>
      <w:pgSz w:w="11906" w:h="16838"/>
      <w:pgMar w:top="1701" w:right="1474" w:bottom="158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roman"/>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宋体"/>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方正小标宋简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34170">
    <w:pPr>
      <w:pStyle w:val="24"/>
      <w:jc w:val="center"/>
    </w:pPr>
    <w:r>
      <w:rPr>
        <w:sz w:val="18"/>
      </w:rPr>
      <w:t xml:space="preserve">— 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F7C4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FF147">
    <w:pPr>
      <w:pStyle w:val="25"/>
      <w:jc w:val="center"/>
    </w:pPr>
    <w:r>
      <w:rPr>
        <w:sz w:val="18"/>
      </w:rPr>
      <w:t>嵌入式竞赛教学实训平台项目采购可行性论证报告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B13A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679649"/>
    <w:multiLevelType w:val="singleLevel"/>
    <w:tmpl w:val="EE679649"/>
    <w:lvl w:ilvl="0" w:tentative="0">
      <w:start w:val="2"/>
      <w:numFmt w:val="chineseCounting"/>
      <w:suff w:val="nothing"/>
      <w:lvlText w:val="%1、"/>
      <w:lvlJc w:val="left"/>
      <w:rPr>
        <w:rFonts w:hint="eastAsia"/>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AC1B94"/>
    <w:rsid w:val="00B47730"/>
    <w:rsid w:val="00CB0664"/>
    <w:rsid w:val="00D4638B"/>
    <w:rsid w:val="00DA11FE"/>
    <w:rsid w:val="00E0384D"/>
    <w:rsid w:val="00FC693F"/>
    <w:rsid w:val="05747048"/>
    <w:rsid w:val="136A254E"/>
    <w:rsid w:val="14171240"/>
    <w:rsid w:val="2A4B5348"/>
    <w:rsid w:val="2B5B30C1"/>
    <w:rsid w:val="33451919"/>
    <w:rsid w:val="35E7390E"/>
    <w:rsid w:val="3F5B5D8A"/>
    <w:rsid w:val="4E321DED"/>
    <w:rsid w:val="523F1387"/>
    <w:rsid w:val="54074BC9"/>
    <w:rsid w:val="66CD51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仿宋_GB2312" w:hAnsi="仿宋_GB2312" w:eastAsia="仿宋_GB2312" w:cstheme="minorBidi"/>
      <w:sz w:val="32"/>
      <w:szCs w:val="22"/>
      <w:lang w:val="en-US" w:eastAsia="en-US" w:bidi="ar-SA"/>
    </w:rPr>
  </w:style>
  <w:style w:type="paragraph" w:styleId="3">
    <w:name w:val="heading 1"/>
    <w:basedOn w:val="1"/>
    <w:next w:val="1"/>
    <w:link w:val="138"/>
    <w:qFormat/>
    <w:uiPriority w:val="9"/>
    <w:pPr>
      <w:keepNext/>
      <w:keepLines/>
      <w:spacing w:before="160" w:after="80" w:line="360" w:lineRule="auto"/>
      <w:outlineLvl w:val="0"/>
    </w:pPr>
    <w:rPr>
      <w:rFonts w:asciiTheme="majorHAnsi" w:hAnsiTheme="majorHAnsi" w:eastAsiaTheme="majorEastAsia" w:cstheme="majorBidi"/>
      <w:bCs/>
      <w:color w:val="000000"/>
      <w:szCs w:val="28"/>
    </w:rPr>
  </w:style>
  <w:style w:type="paragraph" w:styleId="4">
    <w:name w:val="heading 2"/>
    <w:basedOn w:val="1"/>
    <w:next w:val="1"/>
    <w:link w:val="139"/>
    <w:unhideWhenUsed/>
    <w:qFormat/>
    <w:uiPriority w:val="9"/>
    <w:pPr>
      <w:keepNext/>
      <w:keepLines/>
      <w:spacing w:before="160" w:after="80" w:line="360" w:lineRule="auto"/>
      <w:outlineLvl w:val="1"/>
    </w:pPr>
    <w:rPr>
      <w:rFonts w:asciiTheme="majorHAnsi" w:hAnsiTheme="majorHAnsi" w:eastAsiaTheme="majorEastAsia" w:cstheme="majorBidi"/>
      <w:b/>
      <w:bCs/>
      <w:color w:val="000000"/>
      <w:szCs w:val="26"/>
    </w:rPr>
  </w:style>
  <w:style w:type="paragraph" w:styleId="5">
    <w:name w:val="heading 3"/>
    <w:basedOn w:val="1"/>
    <w:next w:val="1"/>
    <w:link w:val="140"/>
    <w:unhideWhenUsed/>
    <w:qFormat/>
    <w:uiPriority w:val="9"/>
    <w:pPr>
      <w:keepNext/>
      <w:keepLines/>
      <w:spacing w:before="160" w:after="80" w:line="360" w:lineRule="auto"/>
      <w:outlineLvl w:val="2"/>
    </w:pPr>
    <w:rPr>
      <w:rFonts w:asciiTheme="majorHAnsi" w:hAnsiTheme="majorHAnsi" w:eastAsiaTheme="majorEastAsia" w:cstheme="majorBidi"/>
      <w:bCs/>
      <w:color w:val="000000"/>
      <w:sz w:val="3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2960</Words>
  <Characters>3204</Characters>
  <Lines>16</Lines>
  <Paragraphs>4</Paragraphs>
  <TotalTime>24</TotalTime>
  <ScaleCrop>false</ScaleCrop>
  <LinksUpToDate>false</LinksUpToDate>
  <CharactersWithSpaces>3208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Handoff</dc:creator>
  <dc:description>generated by python-docx</dc:description>
  <cp:lastModifiedBy>Handoff</cp:lastModifiedBy>
  <dcterms:modified xsi:type="dcterms:W3CDTF">2026-07-10T00:22:54Z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eyJoZGlkIjoiMTQ1NmQ5ZjZiYjAyZDFlZjdjZjQzZmE1MjE5ZjYwNDMiLCJ1c2VySWQiOiIxNTYwODIzNzE2In0=</vt:lpwstr>
  </property>
  <property fmtid="{D5CDD505-2E9C-101B-9397-08002B2CF9AE}" pid="3" name="KSOProductBuildVer">
    <vt:lpwstr>2052-12.1.0.23542</vt:lpwstr>
  </property>
  <property fmtid="{D5CDD505-2E9C-101B-9397-08002B2CF9AE}" pid="4" name="ICV">
    <vt:lpwstr>A70641D5FA724F31BFE0AAE5C11C8464_12</vt:lpwstr>
  </property>
</Properties>
</file>