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黑体" w:hAnsi="黑体" w:eastAsia="黑体"/>
          <w:b/>
          <w:sz w:val="24"/>
        </w:rPr>
        <w:t>模块D 电气连通与故障定位（参考答案·裁判用）</w:t>
      </w:r>
    </w:p>
    <w:p>
      <w:pPr>
        <w:spacing w:before="60" w:after="160"/>
      </w:pPr>
      <w:r>
        <w:rPr>
          <w:rFonts w:ascii="仿宋" w:hAnsi="仿宋" w:eastAsia="仿宋"/>
          <w:b w:val="0"/>
          <w:sz w:val="18"/>
        </w:rPr>
        <w:t>【内部文件】不得下发选手。投板后按实测标定微调电阻区间，故障类型与段落结构保持不变。</w:t>
      </w:r>
    </w:p>
    <w:p>
      <w:pPr>
        <w:spacing w:before="60" w:after="60"/>
      </w:pPr>
      <w:r>
        <w:rPr>
          <w:rFonts w:ascii="黑体" w:hAnsi="黑体" w:eastAsia="黑体"/>
          <w:b/>
          <w:sz w:val="22"/>
        </w:rPr>
        <w:t>一、判据（与选手表一致）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R≤2Ω→通；R≥1MΩ→断；中间区或跳变→异常（须复测）。</w:t>
      </w:r>
    </w:p>
    <w:p>
      <w:pPr>
        <w:spacing w:before="160" w:after="60"/>
      </w:pPr>
      <w:r>
        <w:rPr>
          <w:rFonts w:ascii="黑体" w:hAnsi="黑体" w:eastAsia="黑体"/>
          <w:b/>
          <w:sz w:val="22"/>
        </w:rPr>
        <w:t>二、预埋故障设计（命题真值）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故障代号</w:t>
            </w:r>
          </w:p>
        </w:tc>
        <w:tc>
          <w:tcPr>
            <w:tcW w:type="dxa" w:w="255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255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位置（网络/段）</w:t>
            </w:r>
          </w:p>
        </w:tc>
        <w:tc>
          <w:tcPr>
            <w:tcW w:type="dxa" w:w="255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预期现象</w:t>
            </w:r>
          </w:p>
        </w:tc>
      </w:tr>
      <w:tr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F1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开路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NET_A 段2（TP2—TP3）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段1通、段2断、跨段断</w:t>
            </w:r>
          </w:p>
        </w:tc>
      </w:tr>
      <w:tr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F2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高阻/过孔不良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NET_B 段1（TP4—TP5，经孔）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段1 高阻或读数不稳（如数十Ω～数kΩ量级，以标定为准），段2通，跨段异常/高阻</w:t>
            </w:r>
          </w:p>
        </w:tc>
      </w:tr>
      <w:tr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F3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短路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NET_A 与 NET_B 之间（TP3—TP6 路径附近）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  <w:t>S2（TP3—TP6）呈通或低阻；其余隔离对以断为主</w:t>
            </w:r>
          </w:p>
        </w:tc>
      </w:tr>
    </w:tbl>
    <w:p>
      <w:pPr>
        <w:spacing w:before="160" w:after="60"/>
      </w:pPr>
      <w:r>
        <w:rPr>
          <w:rFonts w:ascii="黑体" w:hAnsi="黑体" w:eastAsia="黑体"/>
          <w:b/>
          <w:sz w:val="22"/>
        </w:rPr>
        <w:t>三、任务A 参考（基础项）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测点对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期望判定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电阻量级（示例）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A1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TP1—TP3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断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≥1 MΩ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因 F1 开路，跨段不通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A2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TP4—TP6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异常或高阻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远大于2Ω且远小于1MΩ，或跳变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因 F2 高阻，跨段异常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A3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TP7—TP8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断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≥1 MΩ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隔离点对，正常应断（命题：两测点分属无关网络）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A4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TP1—TP7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断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≥1 MΩ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跨网络，应断；若通则另有短路</w:t>
            </w:r>
          </w:p>
        </w:tc>
      </w:tr>
    </w:tbl>
    <w:p>
      <w:pPr>
        <w:spacing w:before="160" w:after="60"/>
      </w:pPr>
      <w:r>
        <w:rPr>
          <w:rFonts w:ascii="黑体" w:hAnsi="黑体" w:eastAsia="黑体"/>
          <w:b/>
          <w:sz w:val="22"/>
        </w:rPr>
        <w:t>四、任务B 参考（定位）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NET_A：段1 通；段2 断；跨段 断 → 故障在段2 开路（F1）。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NET_B：段1 异常/高阻；段2 通；跨段 异常/高阻 → 故障在段1 过孔接触不良/高阻（F2）。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隔离：S1（TP1—TP4）断；S2（TP3—TP6）通/低阻（F3 短路）；S3（TP2—TP8）断。</w:t>
      </w:r>
    </w:p>
    <w:p>
      <w:pPr>
        <w:spacing w:before="120" w:after="60"/>
      </w:pPr>
      <w:r>
        <w:rPr>
          <w:rFonts w:ascii="仿宋" w:hAnsi="仿宋" w:eastAsia="仿宋"/>
          <w:b w:val="0"/>
          <w:sz w:val="18"/>
        </w:rPr>
        <w:t>采分权重建议（技术文件细化，样题不写分值）：基础测量为少量基础分；故障类型判断+故障段定位+依据表述为主分；仅写通/断无电阻值从重扣。</w:t>
      </w:r>
    </w:p>
    <w:p>
      <w:pPr>
        <w:spacing w:before="160" w:after="60"/>
      </w:pPr>
      <w:r>
        <w:rPr>
          <w:rFonts w:ascii="黑体" w:hAnsi="黑体" w:eastAsia="黑体"/>
          <w:b/>
          <w:sz w:val="22"/>
        </w:rPr>
        <w:t>五、与外观缺陷的关系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F1 开路可与外观线路缺口（如 L1）同源或独立；F2 可与 VIA 镀铜不良（如 H2）呼应；F3 可与线距不足/残铜（如 L2）呼应。投板时尽量电气故障与外观可观察缺陷一致，便于综合判定。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