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黑体" w:cs="Times New Roman"/>
          <w:b/>
          <w:sz w:val="24"/>
        </w:rPr>
        <w:t>尺寸与线宽参考答案（学生组·模块D · A/B）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裁判用 · R1/45min · 2026-07-21。M01–M04 为外形/孔径类；M05 为指定点线宽或线距（与 V02 不同点）。名义与公差为命题骨架；A/B 标定真值列「待投板回填」，禁止伪造精确实测值冒充已测。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板号：________    标定日期：________    标定人：________    三测方法：________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一、测量项骨架（M01–M05）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编号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项目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工具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单位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名义/方法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允许误差（骨架）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A 标定值（待投板回填）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B 标定值（待投板回填）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M01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板长 L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游标卡尺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mm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约 80.00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±0.20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M02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板宽 W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游标卡尺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mm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约 60.00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±0.20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M03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板厚 T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厚度规或千分尺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mm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标称 1.60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±0.15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M04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定位孔径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卡尺或孔规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mm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标称 2.00（或 3.00，全卷统一）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±0.10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M05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指定点线宽或线距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10–20×测量显微镜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mm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卷面特征名+示意图位（待定稿）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±0.05 或对照验收阈值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二、备注与禁止项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M01/M02：±0.20 mm（或卷面给定）；M03：±0.15 mm；M04：±0.10 mm；M05：±0.05 mm 或对照验收阈值合格/不合格。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M04 定位孔建议标称 2.00 或 3.00 mm，写入尺寸基准表后全卷统一；禁止普通卡尺测 0.30 mm 级小孔。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M05 特征名与示意图位投板后定稿；A/B 可换特征名/区但难度相当；不得与 V02 为同一采分点。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禁止将未列入基准表的微孔、线到板边等作为扣分点；禁止无指定点的全板扫微距。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采点：实测在合格带内（或与裁判标定一致）且判定正确给该项分；轻微读数偏差但判定正确可酌情给测量分。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三、M05 特征占位（投板后核定）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版本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测量类型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特征名/区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面/网格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标定值</w:t>
            </w:r>
          </w:p>
        </w:tc>
      </w:tr>
      <w:tr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A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线宽 或 线距（二选一，全卷统一）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待投板回填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待投板回填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待投板回填</w:t>
            </w:r>
          </w:p>
        </w:tc>
      </w:tr>
      <w:tr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B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同类型，换特征名/区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待投板回填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待投板回填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待投板回填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