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尺寸基准表（学生组·模块D）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选手用·随卷下发。按下列基准测量并在《检测记录表》D-3 填写实测值与合格判定。不含裁判标定真值。投板后若名义微调，以赛场最新尺寸基准表为准。</w:t>
      </w:r>
    </w:p>
    <w:p>
      <w:pPr>
        <w:spacing w:after="120" w:before="0" w:line="240" w:lineRule="auto"/>
      </w:pPr>
      <w:r>
        <w:rPr>
          <w:rFonts w:ascii="Times New Roman" w:hAnsi="Times New Roman" w:eastAsia="黑体" w:cs="Times New Roman"/>
          <w:b/>
          <w:sz w:val="22"/>
        </w:rPr>
        <w:t>一、测量项目、工具与基准（M01–M05）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测量项目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工具与精度要求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单位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名义/合格范围（骨架）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备注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M01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板长 L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游标卡尺（建议分度 0.02 mm）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mm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80.00 ± 0.20</w:t>
              <w:br/>
              <w:t>（79.80～80.20）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沿长边；避开毛刺/外形缺口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M02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板宽 W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游标卡尺（建议分度 0.02 mm）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mm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60.00 ± 0.20</w:t>
              <w:br/>
              <w:t>（59.80～60.20）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沿短边；垂直于板长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M03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板厚 T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厚度规或千分尺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mm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1.60 ± 0.15</w:t>
              <w:br/>
              <w:t>（1.45～1.75）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板中平坦区；避开铜瘤/丝印厚堆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M04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定位孔径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卡尺或孔规（孔径适配）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mm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2.00 ± 0.10</w:t>
              <w:br/>
              <w:t>（1.90～2.10）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指定定位孔内径；全卷统一测此孔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M05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指定点线宽或线距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10～20× 测量显微镜</w:t>
              <w:br/>
              <w:t>或带刻度放大镜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mm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见下节指定点；</w:t>
              <w:br/>
              <w:t>允差 ±0.05 或对照阈值</w:t>
            </w:r>
          </w:p>
        </w:tc>
        <w:tc>
          <w:tcPr>
            <w:tcW w:type="dxa" w:w="160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与 V02 **不同点**；仅 1 处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二、M05 指定点说明（骨架 · 投板后可改坐标不改编号）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特征标识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板面丝印/特征名：**M05测点**（或赛场示意图标注点）；记录时抄写特征名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测量对象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二选一写死于赛场说明：□ 线宽  □ 线距（正式卷只保留一项；默认优先**线宽**）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方法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在显微镜下对准指定点；估读或刻度读数至 0.01 mm 量级；填写实测值并与合格范围比对。不做全板扫描。不得以 V02 底层线宽变窄点代替 M05。</w:t>
            </w:r>
          </w:p>
        </w:tc>
      </w:tr>
    </w:tbl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M05 合格范围（骨架默认，投板标定后可修订）：标称示例 0.25 mm，合格带 0.20～0.30 mm（±0.05）；或以验收阈值「≥ / ≤ 某某 mm 为合格」。正式下发以本表最新印刷版为准。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三、测量与记录规则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1. 单位统一为 mm；建议保留至 0.01 mm。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2. 每项须填：实测值 + 与基准比对判定（合格/不合格）。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3. 工艺参数可按 mm（mil）理解；**填写实测以 mm 为主**。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4. **禁止**：普通卡尺测量 0.30 mm 级小孔；无指定点的全板线宽/线距扫描；量 Gerber。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5. M04 仅测尺寸基准表指定的定位孔（建议标称 2.00 mm）；不得自选微孔充数。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6. 本表不提供裁判答案真值；以赛场样件与本表基准为准。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7. 厚度测量避开缺陷堆高与异常镀层堆积区。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四、与外观项关系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V02「底层线宽变窄」为**外观定性**采分点；M05 为**指定点定量/半定量**采分点，二者不得使用同一几何点重复计分。尺寸不合格项须在综合判定中体现。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