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rFonts w:ascii="Times New Roman" w:hAnsi="Times New Roman" w:eastAsia="黑体" w:cs="Times New Roman"/>
          <w:b/>
          <w:sz w:val="24"/>
        </w:rPr>
        <w:t>板面分区说明（学生组·模块D）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18"/>
        </w:rPr>
        <w:t>选手用·随卷下发。用于理解板面坐标、特征名、版本丝印与测试点。本说明不是“一区一错”提示。测试点**仅**服务基础开短路，**非**故障定位网络。</w:t>
      </w:r>
    </w:p>
    <w:p>
      <w:pPr>
        <w:spacing w:after="120" w:before="0" w:line="240" w:lineRule="auto"/>
      </w:pPr>
      <w:r>
        <w:rPr>
          <w:rFonts w:ascii="Times New Roman" w:hAnsi="Times New Roman" w:eastAsia="黑体" w:cs="Times New Roman"/>
          <w:b/>
          <w:sz w:val="22"/>
        </w:rPr>
        <w:t>一、版本丝印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板面丝印版本：`MOD-D-S-A`（A 版）或 `MOD-D-S-B`（B 版）。请在记录表勾选并与袋装标签核对。A/B 缺陷类型与数量相同，位置与部分真值不同。</w:t>
      </w:r>
    </w:p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二、A1–D4 网格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A1–D4 是印在成品裸板顶层丝印上的位置坐标网格，用来标明缺陷所在区域，方便书写与复核。它不是 16 个错误点，也不表示每个格子必有缺陷。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约定：行用字母 A、B、C、D（自上而下）；列用数字 1、2、3、4（自左而右）。例如 B2 表示第 B 行第 2 列区域。以实物丝印为准。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示意（顶层俯视）：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4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A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A1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A2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A3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A4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B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B1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B2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B3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B4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C1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C2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C3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C4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D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D1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D2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D3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D4</w:t>
            </w:r>
          </w:p>
        </w:tc>
      </w:tr>
    </w:tbl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三、特征区名称（丝印）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记录时建议“所在面 + 网格 + 特征名”，例如：“顶层 B2 / 走线区”。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特征名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含义（便于定位，非缺陷清单）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走线区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主要信号走线分布区域（V01/V02/M05 相关）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孔阵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多个通孔/焊盘排列区域（V03 相关）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阻焊对比区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阻焊开窗/覆盖特征对比区域（V04 相关）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丝印条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字符/标识集中区域（V05 相关）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板框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外形边缘区域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测试点区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TP1–TP4 专用测试点区域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M05测点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指定线宽/线距测量点标识（与 V02 不同点）</w:t>
            </w:r>
          </w:p>
        </w:tc>
      </w:tr>
    </w:tbl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四、测试点 TP1–TP4（基础电气）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丝印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建议面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用途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TP1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顶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E01 开路一端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TP2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顶或底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E01 开路另一端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TP3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顶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E02 短路一端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TP4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顶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E02 短路另一端</w:t>
            </w:r>
          </w:p>
        </w:tc>
      </w:tr>
    </w:tbl>
    <w:p>
      <w:pPr>
        <w:spacing w:after="120" w:before="80" w:line="240" w:lineRule="auto"/>
      </w:pPr>
      <w:r>
        <w:rPr>
          <w:rFonts w:ascii="Times New Roman" w:hAnsi="Times New Roman" w:eastAsia="仿宋" w:cs="Times New Roman"/>
          <w:b w:val="0"/>
          <w:sz w:val="19"/>
        </w:rPr>
        <w:t>仅上述 4 点用于本模块电气得分。禁止扩展为旧版 TP1–TP8 故障定位网络测法。具体操作与判据见《基础电气检测表》。</w:t>
      </w:r>
    </w:p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五、顶面与底面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须检查顶面与底面。底面至少存在不少于 2 处必检外观相关特征（含 V02 等）。底面网格可按“翻转后对应关系”记录为“底层 + 网格/特征”；以实物丝印与赛场说明为准。版本丝印一般在顶面。</w:t>
      </w:r>
    </w:p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六、缺陷与测点记录写法示例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示例1：A-V01 — 顶层 / B2 / 走线区 — 顶层线路缺口，铜皮局部断开。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示例2：A-V02 — 底层 / C2 / 走线区 — 底层线宽变窄（定性）。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示例3：A-M05 — 顶层 / 指定 M05测点 — 线宽实测 0.24 mm，合格。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示例4：A-E01 — TP1–TP2 — 电阻 OL — 判定开路 — 与预期符合。</w:t>
      </w:r>
    </w:p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七、重要说明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1. 网格用于定位，不是“一格一个错误”。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2. 缺陷分布可能不均匀；同一网格可有多处，部分网格可以没有缺陷。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3. 请检查顶层与底层；勿只查正面。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4. 本模块电气仅为 TP 点对点开短路；不做故障定位与网络分段。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5. 本模块不上电，不量测 Gerber，不进行焊接/贴装质量评价。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6. 编号前缀：V 外观、M 尺寸、E 电气、TP 测试点；与检测记录表一致。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