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黑体" w:cs="Times New Roman"/>
          <w:b/>
          <w:sz w:val="24"/>
        </w:rPr>
        <w:t>缺陷参考答案（学生组·模块D · A/B 合订骨架）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裁判用 · R1/45min · 2026-07-21。类型固定 F1 五类（V01–V05）；A/B 位置不同、难度相当。坐标与照片编号列为骨架占位，投板后据实物回填。禁止伪造精确坐标冒充已测。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板号：________    校验：________    标定日期：________    标定人：________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一、A 版（丝印 MOD-D-S-A）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编号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类型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严重程度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面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网格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特征区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同义表述入口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照片#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必检</w:t>
            </w:r>
          </w:p>
        </w:tc>
      </w:tr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V01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顶层线路缺口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严重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顶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B2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走线区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断线/线路断开/铜皮缺口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是</w:t>
            </w:r>
          </w:p>
        </w:tc>
      </w:tr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V02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底层线宽变窄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主要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底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C2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走线区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颈缩/线宽不足/线路变细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是</w:t>
            </w:r>
          </w:p>
        </w:tc>
      </w:tr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V03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孔破盘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严重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底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B4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孔阵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破盘/焊盘破损/孔破焊盘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是</w:t>
            </w:r>
          </w:p>
        </w:tc>
      </w:tr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V04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阻焊未开窗或开窗偏移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主要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顶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C1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阻焊对比区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阻焊盖焊盘/开窗偏/阻焊偏移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是</w:t>
            </w:r>
          </w:p>
        </w:tc>
      </w:tr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V05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丝印缺失或压焊盘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次要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顶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A3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丝印条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字符缺失/丝印残缺/丝印压盘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是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二、B 版（丝印 MOD-D-S-B）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编号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类型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严重程度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面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网格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特征区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同义表述入口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照片#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必检</w:t>
            </w:r>
          </w:p>
        </w:tc>
      </w:tr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V01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顶层线路缺口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严重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顶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C3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走线区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断线/线路断开/铜皮缺口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是</w:t>
            </w:r>
          </w:p>
        </w:tc>
      </w:tr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V02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底层线宽变窄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主要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底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B3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走线区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颈缩/线宽不足/线路变细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是</w:t>
            </w:r>
          </w:p>
        </w:tc>
      </w:tr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V03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孔破盘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严重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底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A3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孔阵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破盘/焊盘破损/孔破焊盘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是</w:t>
            </w:r>
          </w:p>
        </w:tc>
      </w:tr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V04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阻焊未开窗或开窗偏移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主要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顶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B1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阻焊对比区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阻焊盖焊盘/开窗偏/阻焊偏移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是</w:t>
            </w:r>
          </w:p>
        </w:tc>
      </w:tr>
      <w:tr>
        <w:tc>
          <w:tcPr>
            <w:tcW w:type="dxa" w:w="109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V05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丝印缺失或压焊盘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次要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底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D1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丝印条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字符缺失/丝印残缺/丝印压盘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09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是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三、底面计数核对（硬约束）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A 底面：V02、V03（2 处）；B 底面：V02、V03、V05（≥2 处）。定稿时须在照片中可复核；不得低于底面缺陷 ≥2。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四、干扰项 I01–I02（可选，不计必检）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编号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版本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面/网格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现象（临界合格）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备注</w:t>
            </w:r>
          </w:p>
        </w:tc>
      </w:tr>
      <w:tr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I01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A/B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待投板回填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待投板回填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不计必检5；误报不强制重扣</w:t>
            </w:r>
          </w:p>
        </w:tc>
      </w:tr>
      <w:tr>
        <w:tc>
          <w:tcPr>
            <w:tcW w:type="dxa" w:w="197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I02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A/B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待投板回填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待投板回填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可选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五、采点提示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类型以标准名或同义关键词命中为准（见《同义答案与采点说明》）。定位：面 + 网格正确，或 面 + 特征区 + 方位足以与真值唯一对应。面写错原则上定位分不给。严重程度供分类/处置参考，卷面以验收表为准。</w:t>
      </w:r>
    </w:p>
    <w:p>
      <w:pPr>
        <w:spacing w:after="120" w:before="8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【待投板回填】网格坐标可按实物微调但不改编号语义；照片#、精确描述在三测与拍照建档后填入。裁判以实物标定为准。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