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rFonts w:ascii="Times New Roman" w:hAnsi="Times New Roman" w:eastAsia="黑体" w:cs="Times New Roman"/>
          <w:b/>
          <w:sz w:val="24"/>
        </w:rPr>
        <w:t>选手材料清单（学生组·模块D）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eastAsia="仿宋" w:cs="Times New Roman"/>
          <w:b w:val="0"/>
          <w:sz w:val="21"/>
        </w:rPr>
        <w:t>印制电路制作工赛项 · 成品PCB裸板质量检测与判定（学生组）· R1 / 45 min</w:t>
      </w:r>
    </w:p>
    <w:p>
      <w:pPr>
        <w:spacing w:after="120" w:before="0" w:line="240" w:lineRule="auto"/>
      </w:pPr>
      <w:r>
        <w:rPr>
          <w:rFonts w:ascii="Times New Roman" w:hAnsi="Times New Roman" w:eastAsia="黑体" w:cs="Times New Roman"/>
          <w:b/>
          <w:sz w:val="22"/>
        </w:rPr>
        <w:t>一、选手可见材料与附件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序号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材料名称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双面成品裸板质检样件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FR-4 双面、无元器件；约 80×60 mm；无铅喷锡；含 F1 五类外观 + M05 + E01/E02；版本 A 或 B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学生组_模块D_检测记录表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提交用；覆盖 D-1～D-5（含外观/尺寸/电气/综合）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学生组_模块D_验收要求表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F1 判定语句 + 接收/返工/报废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学生组_模块D_尺寸基准表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M01–M05 工具、单位、合格范围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学生组_模块D_基础电气检测表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 开短路与电阻规则；非故障定位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学生组_模块D_板面分区说明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A1–D4、特征名、TP1–TP4、版本丝印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7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学生组_模块D_仪器使用与安全要求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仪器使用与安全；不上电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8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本清单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可与任务书要点合并印发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9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任务书要点（可选印发）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D-1～D-5 与 45 min 结构摘要</w:t>
            </w:r>
          </w:p>
        </w:tc>
      </w:tr>
    </w:tbl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二、赛场工位工具（允许）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序号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工具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用途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游标卡尺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M01/M02/M04（板长/宽/定位孔径）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厚度规或千分尺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M03 板厚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测量显微镜（10～20×）或带刻度放大镜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M05 指定点线宽/线距；外观辅助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放大镜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外观 V01–V05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数字万用表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E01/E02 开短路与电阻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照明/侧光、防静电用品等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以赛场现场清单为准</w:t>
            </w:r>
          </w:p>
        </w:tc>
      </w:tr>
    </w:tbl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三、裁判内部材料（不下发选手）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缺陷参考答案（A/B）、尺寸与线宽参考答案、电气参考答案、同义答案与采点说明、评分表骨架（40 分）、标准板/备用板、缺陷照片与坐标（投板后）。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四、明确不提供 / 不作为现行考核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通断网络表、电气连通与故障定位表、应通应断全表、网络分段表、上电功能测试、Gerber 量测、实际返修操作；`_归档移出_电气旧件/` 内旧表不得作现行下发。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