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rFonts w:ascii="Times New Roman" w:hAnsi="Times New Roman" w:eastAsia="黑体" w:cs="Times New Roman"/>
          <w:b/>
          <w:sz w:val="24"/>
        </w:rPr>
        <w:t>验收要求表（学生组·模块D）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选手用·随卷下发。用于 F1 外观缺陷判定与单件质量处置。引用标准名称 GB/T 4588-2025：对应条款待正式文本核对；下表为**本卷竞赛用验收表述**。</w:t>
      </w:r>
    </w:p>
    <w:p>
      <w:pPr>
        <w:spacing w:after="120" w:before="0" w:line="240" w:lineRule="auto"/>
      </w:pPr>
      <w:r>
        <w:rPr>
          <w:rFonts w:ascii="Times New Roman" w:hAnsi="Times New Roman" w:eastAsia="黑体" w:cs="Times New Roman"/>
          <w:b/>
          <w:sz w:val="22"/>
        </w:rPr>
        <w:t>一、外观必检 F1（V01–V05）判定语句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类型（标准名）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不合格（应判为缺陷）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合格说明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顶层线路缺口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顶层导体可见断开/缺口，铜皮不连续，存在开路风险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顶层该区域线路连续，无明显缺口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底层线宽变窄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底层可见线宽局部明显变窄/颈缩（定性可辨），明显偏离相邻正常线宽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底层线宽均匀，无明显颈缩（本项定性，不替代 M05）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V03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孔破盘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孔与焊盘关系异常导致焊盘破损/破盘，焊环严重缺失或盘体破裂可辨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焊盘完整可辨，无破盘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V04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阻焊未开窗或开窗偏移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应开窗处阻焊覆盖焊盘（未开窗），或开窗明显偏移导致异常露铜/盖盘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开窗与焊盘基本对准，无未开窗盖盘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V05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丝印缺失或压焊盘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关键字符缺失/残缺不可辨，或丝印明显压在焊盘上影响可焊/可识别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字符完整可辨，丝印未压有效焊盘</w:t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8"/>
        </w:rPr>
        <w:t>说明：V04、V05 卷面按「二选一现象」记录实际所见（未开窗 **或** 开窗偏移；缺失 **或** 压焊盘），类型名写标准名或允许同义即可。底面缺陷须检（含 V02 等）。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二、尺寸与微几何</w:t>
      </w:r>
    </w:p>
    <w:p>
      <w:pPr>
        <w:spacing w:after="120" w:before="0" w:line="240" w:lineRule="auto"/>
      </w:pPr>
      <w:r>
        <w:rPr>
          <w:rFonts w:ascii="Times New Roman" w:hAnsi="Times New Roman" w:eastAsia="仿宋" w:cs="Times New Roman"/>
          <w:b w:val="0"/>
          <w:sz w:val="21"/>
        </w:rPr>
        <w:t>以《尺寸基准表》M01–M05 为准：任一项超出合格范围 → 该尺寸项**不合格**。M05 仅评指定点；不得因未扫描全板微距扣分。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三、基础电气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编号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预期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竞赛判定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E01（TP1–TP2）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开路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电阻 ≥ 1 MΩ 或表显 OL/开路 → 与预期符合；否则不符合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E02（TP3–TP4）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短路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电阻 ≤ 1 Ω 或导通蜂鸣 → 与预期符合；否则不符合</w:t>
            </w:r>
          </w:p>
        </w:tc>
      </w:tr>
    </w:tbl>
    <w:p>
      <w:pPr>
        <w:spacing w:after="120" w:before="8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电气不合格指：测点对结果与预期不符（该开路却低阻/导通，或该短路却高阻/开路）。不做网络分段与故障定位。</w:t>
      </w:r>
    </w:p>
    <w:p>
      <w:pPr>
        <w:spacing w:after="120" w:before="160" w:line="240" w:lineRule="auto"/>
      </w:pPr>
      <w:r>
        <w:rPr>
          <w:rFonts w:ascii="Times New Roman" w:hAnsi="Times New Roman" w:eastAsia="黑体" w:cs="Times New Roman"/>
          <w:b/>
          <w:sz w:val="22"/>
        </w:rPr>
        <w:t>四、单件质量处置（接收 / 返工 / 报废）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结论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sz w:val="18"/>
              </w:rPr>
              <w:t>条件（竞赛表述）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接收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V01–V05 均未构成不合格（或仅干扰项误报不计），且 M01–M05 全部合格，且 E01/E02 均与预期符合。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返工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存在可返工类缺陷（如 V05 丝印类、V04 局部阻焊类等，板仍具备返工价值），且无致命线路开路/严重破盘/电气致命不符/尺寸严重超差；或尺寸轻微超差且可返工。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报废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 w:cs="Times New Roman"/>
                <w:b w:val="0"/>
                <w:sz w:val="18"/>
              </w:rPr>
              <w:t>存在致命缺陷导致板不可用，例如：V01 线路缺口/开路、V03 严重孔破盘、外形严重破损（若发现）、尺寸严重超差、E01/E02 与预期严重不符且表明网络失效等。</w:t>
            </w:r>
          </w:p>
        </w:tc>
      </w:tr>
    </w:tbl>
    <w:p>
      <w:pPr>
        <w:spacing w:after="120" w:before="120" w:line="240" w:lineRule="auto"/>
      </w:pPr>
      <w:r>
        <w:rPr>
          <w:rFonts w:ascii="Times New Roman" w:hAnsi="Times New Roman" w:eastAsia="仿宋" w:cs="Times New Roman"/>
          <w:b w:val="0"/>
          <w:sz w:val="19"/>
        </w:rPr>
        <w:t>选手须在记录表勾选唯一结论并写简要依据（对照上表条款/编号）。正式等级与扣分细则以技术工作文件为准；样题采用上表可操作表述。干扰项（临界合格特征）不计入必检 5，误报不强制按缺陷处置。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