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40" w:lineRule="auto"/>
        <w:jc w:val="center"/>
      </w:pPr>
      <w:r>
        <w:rPr>
          <w:rFonts w:ascii="黑体" w:hAnsi="黑体" w:eastAsia="黑体" w:cs="黑体"/>
          <w:b/>
          <w:color w:val="1F3864"/>
          <w:sz w:val="40"/>
        </w:rPr>
        <w:t>江西省"振兴杯"职业技能大赛</w:t>
      </w:r>
    </w:p>
    <w:p>
      <w:pPr>
        <w:spacing w:after="40" w:before="0" w:line="240" w:lineRule="auto"/>
        <w:jc w:val="center"/>
      </w:pPr>
      <w:r>
        <w:rPr>
          <w:rFonts w:ascii="黑体" w:hAnsi="黑体" w:eastAsia="黑体" w:cs="黑体"/>
          <w:b/>
          <w:color w:val="1F3864"/>
          <w:sz w:val="36"/>
        </w:rPr>
        <w:t>"印制电路制作工"赛项</w:t>
      </w:r>
    </w:p>
    <w:p>
      <w:pPr>
        <w:spacing w:after="80" w:before="0" w:line="240" w:lineRule="auto"/>
        <w:jc w:val="center"/>
      </w:pPr>
      <w:r>
        <w:rPr>
          <w:rFonts w:ascii="微软雅黑" w:hAnsi="微软雅黑" w:eastAsia="微软雅黑" w:cs="微软雅黑"/>
          <w:b w:val="0"/>
          <w:color w:val="2E75B6"/>
          <w:sz w:val="24"/>
        </w:rPr>
        <w:t>━━━━━━━━━━━━━━━━━━━━</w:t>
      </w:r>
    </w:p>
    <w:p>
      <w:pPr>
        <w:spacing w:after="40" w:before="0" w:line="240" w:lineRule="auto"/>
        <w:jc w:val="center"/>
      </w:pPr>
      <w:r>
        <w:rPr>
          <w:rFonts w:ascii="黑体" w:hAnsi="黑体" w:eastAsia="黑体" w:cs="黑体"/>
          <w:b/>
          <w:color w:val="C00000"/>
          <w:sz w:val="44"/>
        </w:rPr>
        <w:t>模块D：基础电气检测表</w:t>
      </w:r>
    </w:p>
    <w:p>
      <w:pPr>
        <w:spacing w:after="80" w:before="0" w:line="240" w:lineRule="auto"/>
        <w:jc w:val="center"/>
      </w:pPr>
      <w:r>
        <w:rPr>
          <w:rFonts w:ascii="微软雅黑" w:hAnsi="微软雅黑" w:eastAsia="微软雅黑" w:cs="微软雅黑"/>
          <w:b/>
          <w:color w:val="595959"/>
          <w:sz w:val="28"/>
        </w:rPr>
        <w:t>学生组 · 开短路点测（非故障定位）</w:t>
      </w:r>
    </w:p>
    <w:p>
      <w:pPr>
        <w:spacing w:after="160" w:before="0" w:line="240" w:lineRule="auto"/>
        <w:jc w:val="center"/>
      </w:pPr>
      <w:r>
        <w:rPr>
          <w:rFonts w:ascii="微软雅黑" w:hAnsi="微软雅黑" w:eastAsia="微软雅黑" w:cs="微软雅黑"/>
          <w:b w:val="0"/>
          <w:color w:val="2E75B6"/>
          <w:sz w:val="24"/>
        </w:rPr>
        <w:t>━━━━━━━━━━━━━━━━━━━━</w:t>
      </w:r>
    </w:p>
    <w:p>
      <w:pPr>
        <w:spacing w:after="120" w:before="0" w:line="240" w:lineRule="auto"/>
      </w:pPr>
      <w:r>
        <w:rPr>
          <w:rFonts w:ascii="黑体" w:hAnsi="黑体" w:eastAsia="黑体" w:cs="黑体"/>
          <w:b/>
          <w:color w:val="1F3864"/>
          <w:sz w:val="28"/>
        </w:rPr>
        <w:t>一、检测范围</w:t>
      </w:r>
    </w:p>
    <w:p>
      <w:pPr>
        <w:spacing w:after="120" w:before="0" w:line="240" w:lineRule="auto"/>
      </w:pPr>
      <w:r>
        <w:rPr>
          <w:rFonts w:ascii="微软雅黑" w:hAnsi="微软雅黑" w:eastAsia="微软雅黑" w:cs="微软雅黑"/>
          <w:b w:val="0"/>
          <w:sz w:val="21"/>
        </w:rPr>
        <w:t>仅对指定测试点做基础开路/短路判定。不做网络分段、故障定位树、高阻分析、上电功能测试。</w:t>
      </w:r>
    </w:p>
    <w:p>
      <w:pPr>
        <w:spacing w:after="120" w:before="120" w:line="240" w:lineRule="auto"/>
      </w:pPr>
      <w:r>
        <w:rPr>
          <w:rFonts w:ascii="黑体" w:hAnsi="黑体" w:eastAsia="黑体" w:cs="黑体"/>
          <w:b/>
          <w:color w:val="1F3864"/>
          <w:sz w:val="28"/>
        </w:rPr>
        <w:t>二、测试点与预期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fill="2E75B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928"/>
            <w:shd w:fill="2E75B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1928"/>
            <w:shd w:fill="2E75B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测试点对</w:t>
            </w:r>
          </w:p>
        </w:tc>
        <w:tc>
          <w:tcPr>
            <w:tcW w:type="dxa" w:w="1928"/>
            <w:shd w:fill="2E75B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预期</w:t>
            </w:r>
          </w:p>
        </w:tc>
        <w:tc>
          <w:tcPr>
            <w:tcW w:type="dxa" w:w="1928"/>
            <w:shd w:fill="2E75B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默认电阻判据（可微调）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E01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开路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TP1 – TP2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开路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≥1 MΩ 或表显 OL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E02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短路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TP3 – TP4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短路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≤1 Ω 或蜂鸣导通</w:t>
            </w:r>
          </w:p>
        </w:tc>
      </w:tr>
    </w:tbl>
    <w:p>
      <w:pPr>
        <w:spacing w:after="120" w:before="120" w:line="240" w:lineRule="auto"/>
      </w:pPr>
      <w:r>
        <w:rPr>
          <w:rFonts w:ascii="黑体" w:hAnsi="黑体" w:eastAsia="黑体" w:cs="黑体"/>
          <w:b/>
          <w:color w:val="1F3864"/>
          <w:sz w:val="28"/>
        </w:rPr>
        <w:t>三、操作与记录</w:t>
      </w:r>
    </w:p>
    <w:p>
      <w:pPr>
        <w:spacing w:after="60" w:before="0" w:line="240" w:lineRule="auto"/>
      </w:pPr>
      <w:r>
        <w:rPr>
          <w:rFonts w:ascii="微软雅黑" w:hAnsi="微软雅黑" w:eastAsia="微软雅黑" w:cs="微软雅黑"/>
          <w:b w:val="0"/>
          <w:sz w:val="21"/>
        </w:rPr>
        <w:t>1. 确认万用表电阻档/通断档可用；表笔接触 TP 焊盘可靠。</w:t>
      </w:r>
    </w:p>
    <w:p>
      <w:pPr>
        <w:spacing w:after="60" w:before="0" w:line="240" w:lineRule="auto"/>
      </w:pPr>
      <w:r>
        <w:rPr>
          <w:rFonts w:ascii="微软雅黑" w:hAnsi="微软雅黑" w:eastAsia="微软雅黑" w:cs="微软雅黑"/>
          <w:b w:val="0"/>
          <w:sz w:val="21"/>
        </w:rPr>
        <w:t>2. 记录：测试点对、档位、电阻读数、单位、判定、与预期是否符合。</w:t>
      </w:r>
    </w:p>
    <w:p>
      <w:pPr>
        <w:spacing w:after="60" w:before="0" w:line="240" w:lineRule="auto"/>
      </w:pPr>
      <w:r>
        <w:rPr>
          <w:rFonts w:ascii="微软雅黑" w:hAnsi="微软雅黑" w:eastAsia="微软雅黑" w:cs="微软雅黑"/>
          <w:b w:val="0"/>
          <w:sz w:val="21"/>
        </w:rPr>
        <w:t>3. 裁判以实物标定为准；本表为选手填写与判据说明。</w:t>
      </w:r>
    </w:p>
    <w:p>
      <w:pPr>
        <w:spacing w:after="120" w:before="120" w:line="240" w:lineRule="auto"/>
      </w:pPr>
      <w:r>
        <w:rPr>
          <w:rFonts w:ascii="黑体" w:hAnsi="黑体" w:eastAsia="黑体" w:cs="黑体"/>
          <w:b/>
          <w:color w:val="1F3864"/>
          <w:sz w:val="28"/>
        </w:rPr>
        <w:t>四、选手填写区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  <w:shd w:fill="2E75B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377"/>
            <w:shd w:fill="2E75B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测试点对</w:t>
            </w:r>
          </w:p>
        </w:tc>
        <w:tc>
          <w:tcPr>
            <w:tcW w:type="dxa" w:w="1377"/>
            <w:shd w:fill="2E75B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档位</w:t>
            </w:r>
          </w:p>
        </w:tc>
        <w:tc>
          <w:tcPr>
            <w:tcW w:type="dxa" w:w="1377"/>
            <w:shd w:fill="2E75B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电阻读数</w:t>
            </w:r>
          </w:p>
        </w:tc>
        <w:tc>
          <w:tcPr>
            <w:tcW w:type="dxa" w:w="1377"/>
            <w:shd w:fill="2E75B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单位</w:t>
            </w:r>
          </w:p>
        </w:tc>
        <w:tc>
          <w:tcPr>
            <w:tcW w:type="dxa" w:w="1377"/>
            <w:shd w:fill="2E75B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判定</w:t>
            </w:r>
          </w:p>
        </w:tc>
        <w:tc>
          <w:tcPr>
            <w:tcW w:type="dxa" w:w="1377"/>
            <w:shd w:fill="2E75B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与预期符合</w:t>
            </w:r>
          </w:p>
        </w:tc>
      </w:tr>
      <w:tr>
        <w:tc>
          <w:tcPr>
            <w:tcW w:type="dxa" w:w="1377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E01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TP1–TP2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□是 □否</w:t>
            </w:r>
          </w:p>
        </w:tc>
      </w:tr>
      <w:tr>
        <w:tc>
          <w:tcPr>
            <w:tcW w:type="dxa" w:w="1377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E02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TP3–TP4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□是 □否</w:t>
            </w:r>
          </w:p>
        </w:tc>
      </w:tr>
    </w:tbl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Handoff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