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黑体" w:hAnsi="黑体" w:eastAsia="黑体" w:cs="黑体"/>
          <w:b/>
          <w:color w:val="1F3864"/>
          <w:sz w:val="40"/>
        </w:rPr>
        <w:t>江西省"振兴杯"职业技能大赛</w:t>
      </w:r>
    </w:p>
    <w:p>
      <w:pPr>
        <w:spacing w:after="40" w:before="0" w:line="240" w:lineRule="auto"/>
        <w:jc w:val="center"/>
      </w:pPr>
      <w:r>
        <w:rPr>
          <w:rFonts w:ascii="黑体" w:hAnsi="黑体" w:eastAsia="黑体" w:cs="黑体"/>
          <w:b/>
          <w:color w:val="1F3864"/>
          <w:sz w:val="36"/>
        </w:rPr>
        <w:t>"印制电路制作工"赛项</w:t>
      </w:r>
    </w:p>
    <w:p>
      <w:pPr>
        <w:spacing w:after="80" w:before="0" w:line="240" w:lineRule="auto"/>
        <w:jc w:val="center"/>
      </w:pPr>
      <w:r>
        <w:rPr>
          <w:rFonts w:ascii="微软雅黑" w:hAnsi="微软雅黑" w:eastAsia="微软雅黑" w:cs="微软雅黑"/>
          <w:b w:val="0"/>
          <w:color w:val="2E75B6"/>
          <w:sz w:val="24"/>
        </w:rPr>
        <w:t>━━━━━━━━━━━━━━━━━━━━</w:t>
      </w:r>
    </w:p>
    <w:p>
      <w:pPr>
        <w:spacing w:after="40" w:before="0" w:line="240" w:lineRule="auto"/>
        <w:jc w:val="center"/>
      </w:pPr>
      <w:r>
        <w:rPr>
          <w:rFonts w:ascii="黑体" w:hAnsi="黑体" w:eastAsia="黑体" w:cs="黑体"/>
          <w:b/>
          <w:color w:val="C00000"/>
          <w:sz w:val="44"/>
        </w:rPr>
        <w:t>模块D：验收要求 / 外观缺陷判定表</w:t>
      </w:r>
    </w:p>
    <w:p>
      <w:pPr>
        <w:spacing w:after="80" w:before="0" w:line="240" w:lineRule="auto"/>
        <w:jc w:val="center"/>
      </w:pPr>
      <w:r>
        <w:rPr>
          <w:rFonts w:ascii="微软雅黑" w:hAnsi="微软雅黑" w:eastAsia="微软雅黑" w:cs="微软雅黑"/>
          <w:b/>
          <w:color w:val="595959"/>
          <w:sz w:val="28"/>
        </w:rPr>
        <w:t>学生组 · 随卷材料</w:t>
      </w:r>
    </w:p>
    <w:p>
      <w:pPr>
        <w:spacing w:after="160" w:before="0" w:line="240" w:lineRule="auto"/>
        <w:jc w:val="center"/>
      </w:pPr>
      <w:r>
        <w:rPr>
          <w:rFonts w:ascii="微软雅黑" w:hAnsi="微软雅黑" w:eastAsia="微软雅黑" w:cs="微软雅黑"/>
          <w:b w:val="0"/>
          <w:color w:val="2E75B6"/>
          <w:sz w:val="24"/>
        </w:rPr>
        <w:t>━━━━━━━━━━━━━━━━━━━━</w:t>
      </w:r>
    </w:p>
    <w:p>
      <w:pPr>
        <w:spacing w:after="120" w:before="0" w:line="240" w:lineRule="auto"/>
      </w:pPr>
      <w:r>
        <w:rPr>
          <w:rFonts w:ascii="黑体" w:hAnsi="黑体" w:eastAsia="黑体" w:cs="黑体"/>
          <w:b/>
          <w:color w:val="1F3864"/>
          <w:sz w:val="28"/>
        </w:rPr>
        <w:t>一、外观必检（F1）判定语句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409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409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不合格判定（竞赛用表述）</w:t>
            </w:r>
          </w:p>
        </w:tc>
        <w:tc>
          <w:tcPr>
            <w:tcW w:type="dxa" w:w="2409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V01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顶层线路缺口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顶层导体出现可见断开/缺口，影响连通风险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须定位顶面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V02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底层线宽变窄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底层局部线宽明显变窄（定性）；不要求此处读数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与 M05 不同点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V03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孔破盘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孔与焊盘关系异常导致破盘/焊盘缺损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顶或底以实物为准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V04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阻焊未开窗或开窗偏移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应开窗处被阻焊覆盖，或开窗相对焊盘明显偏移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二选一现象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V05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丝印缺失或压焊盘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字符缺失/残缺，或丝印压覆焊盘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二选一现象</w:t>
            </w:r>
          </w:p>
        </w:tc>
      </w:tr>
    </w:tbl>
    <w:p>
      <w:pPr>
        <w:spacing w:after="120" w:before="160" w:line="240" w:lineRule="auto"/>
      </w:pPr>
      <w:r>
        <w:rPr>
          <w:rFonts w:ascii="黑体" w:hAnsi="黑体" w:eastAsia="黑体" w:cs="黑体"/>
          <w:b/>
          <w:color w:val="1F3864"/>
          <w:sz w:val="28"/>
        </w:rPr>
        <w:t>二、尺寸与电气</w:t>
      </w:r>
    </w:p>
    <w:p>
      <w:pPr>
        <w:spacing w:after="120" w:before="0" w:line="240" w:lineRule="auto"/>
      </w:pPr>
      <w:r>
        <w:rPr>
          <w:rFonts w:ascii="微软雅黑" w:hAnsi="微软雅黑" w:eastAsia="微软雅黑" w:cs="微软雅黑"/>
          <w:b w:val="0"/>
          <w:sz w:val="21"/>
        </w:rPr>
        <w:t>尺寸：对照尺寸基准表，任一项超差即记不合格项。</w:t>
      </w:r>
    </w:p>
    <w:p>
      <w:pPr>
        <w:spacing w:after="120" w:before="0" w:line="240" w:lineRule="auto"/>
      </w:pPr>
      <w:r>
        <w:rPr>
          <w:rFonts w:ascii="微软雅黑" w:hAnsi="微软雅黑" w:eastAsia="微软雅黑" w:cs="微软雅黑"/>
          <w:b w:val="0"/>
          <w:sz w:val="21"/>
        </w:rPr>
        <w:t>电气：E01 预期开路；E02 预期短路。默认判据开路≥1 MΩ/OL，短路≤1 Ω/导通（以赛场书面或实物标定为准）。</w:t>
      </w:r>
    </w:p>
    <w:p>
      <w:pPr>
        <w:spacing w:after="120" w:before="160" w:line="240" w:lineRule="auto"/>
      </w:pPr>
      <w:r>
        <w:rPr>
          <w:rFonts w:ascii="黑体" w:hAnsi="黑体" w:eastAsia="黑体" w:cs="黑体"/>
          <w:b/>
          <w:color w:val="1F3864"/>
          <w:sz w:val="28"/>
        </w:rPr>
        <w:t>三、综合处置（接收 / 返工 / 报废）</w:t>
      </w:r>
    </w:p>
    <w:p>
      <w:pPr>
        <w:spacing w:after="120" w:before="0" w:line="240" w:lineRule="auto"/>
      </w:pPr>
      <w:r>
        <w:rPr>
          <w:rFonts w:ascii="微软雅黑" w:hAnsi="微软雅黑" w:eastAsia="微软雅黑" w:cs="微软雅黑"/>
          <w:b w:val="0"/>
          <w:sz w:val="21"/>
        </w:rPr>
        <w:t>接收：无必检致命缺陷，尺寸与电气均符合。</w:t>
      </w:r>
    </w:p>
    <w:p>
      <w:pPr>
        <w:spacing w:after="120" w:before="0" w:line="240" w:lineRule="auto"/>
      </w:pPr>
      <w:r>
        <w:rPr>
          <w:rFonts w:ascii="微软雅黑" w:hAnsi="微软雅黑" w:eastAsia="微软雅黑" w:cs="微软雅黑"/>
          <w:b w:val="0"/>
          <w:sz w:val="21"/>
        </w:rPr>
        <w:t>返工：存在可返工缺陷（如丝印、阻焊类）且尺寸/电气主体可接受——按验收表与裁判细则。</w:t>
      </w:r>
    </w:p>
    <w:p>
      <w:pPr>
        <w:spacing w:after="120" w:before="0" w:line="240" w:lineRule="auto"/>
      </w:pPr>
      <w:r>
        <w:rPr>
          <w:rFonts w:ascii="微软雅黑" w:hAnsi="微软雅黑" w:eastAsia="微软雅黑" w:cs="微软雅黑"/>
          <w:b w:val="0"/>
          <w:sz w:val="21"/>
        </w:rPr>
        <w:t>报废：存在线路开路缺口、孔破盘等严重影响功能/可靠性，或电气与预期严重不符且不可接受。</w:t>
      </w:r>
    </w:p>
    <w:p>
      <w:pPr>
        <w:spacing w:after="120" w:before="0" w:line="240" w:lineRule="auto"/>
      </w:pPr>
      <w:r>
        <w:rPr>
          <w:rFonts w:ascii="微软雅黑" w:hAnsi="微软雅黑" w:eastAsia="微软雅黑" w:cs="微软雅黑"/>
          <w:b w:val="0"/>
          <w:sz w:val="21"/>
        </w:rPr>
        <w:t>选手须给出结论 + 简要依据（对照本表条款/现象名）。不要求深层工艺根因分析。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