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黑体" w:hAnsi="黑体" w:eastAsia="黑体"/>
          <w:b/>
          <w:sz w:val="24"/>
        </w:rPr>
        <w:t>分区与测试点说明（模块D）</w:t>
      </w:r>
    </w:p>
    <w:p>
      <w:pPr>
        <w:spacing w:before="60" w:after="160"/>
      </w:pPr>
      <w:r>
        <w:rPr>
          <w:rFonts w:ascii="仿宋" w:hAnsi="仿宋" w:eastAsia="仿宋"/>
          <w:b w:val="0"/>
          <w:sz w:val="18"/>
        </w:rPr>
        <w:t>选手用·随卷下发。用于理解板面坐标与测点含义。本说明不是“一区一错”提示。</w:t>
      </w:r>
    </w:p>
    <w:p>
      <w:pPr>
        <w:spacing w:before="60" w:after="60"/>
      </w:pPr>
      <w:r>
        <w:rPr>
          <w:rFonts w:ascii="黑体" w:hAnsi="黑体" w:eastAsia="黑体"/>
          <w:b/>
          <w:sz w:val="22"/>
        </w:rPr>
        <w:t>一、A1–D4 网格是什么？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A1–D4 是印在光板顶层丝印上的位置坐标网格，用来标明“缺陷在板的哪一块区域”，方便书写与复核。它不是16个错误点，也不表示每个格子必有缺陷。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约定：行用字母 A、B、C、D（自上而下）；列用数字 1、2、3、4（自左而右）。例如 B2 表示第B行第2列区域。</w:t>
      </w:r>
    </w:p>
    <w:p>
      <w:pPr>
        <w:spacing w:before="120" w:after="60"/>
      </w:pPr>
      <w:r>
        <w:rPr>
          <w:rFonts w:ascii="仿宋" w:hAnsi="仿宋" w:eastAsia="仿宋"/>
          <w:b w:val="0"/>
          <w:sz w:val="20"/>
        </w:rPr>
        <w:t>示意（顶层俯视，以实物丝印为准）：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</w:r>
          </w:p>
        </w:tc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1</w:t>
            </w:r>
          </w:p>
        </w:tc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2</w:t>
            </w:r>
          </w:p>
        </w:tc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3</w:t>
            </w:r>
          </w:p>
        </w:tc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4</w:t>
            </w:r>
          </w:p>
        </w:tc>
      </w:tr>
      <w:tr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A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A1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A2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A3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A4</w:t>
            </w:r>
          </w:p>
        </w:tc>
      </w:tr>
      <w:tr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B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B1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B2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B3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B4</w:t>
            </w:r>
          </w:p>
        </w:tc>
      </w:tr>
      <w:tr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C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C1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C2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C3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C4</w:t>
            </w:r>
          </w:p>
        </w:tc>
      </w:tr>
      <w:tr>
        <w:tc>
          <w:tcPr>
            <w:tcW w:type="dxa" w:w="2040"/>
            <w:shd w:fill="E7E6E6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D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D1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D2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D3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rFonts w:ascii="仿宋" w:hAnsi="仿宋" w:eastAsia="仿宋"/>
                <w:b w:val="0"/>
                <w:sz w:val="20"/>
              </w:rPr>
              <w:t>D4</w:t>
            </w:r>
          </w:p>
        </w:tc>
      </w:tr>
    </w:tbl>
    <w:p>
      <w:pPr>
        <w:spacing w:before="200" w:after="60"/>
      </w:pPr>
      <w:r>
        <w:rPr>
          <w:rFonts w:ascii="黑体" w:hAnsi="黑体" w:eastAsia="黑体"/>
          <w:b/>
          <w:sz w:val="22"/>
        </w:rPr>
        <w:t>二、特征区名称（丝印）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除网格外还有特征丝印名，记录时建议“网格+特征名”，例如：“顶层 B2 / 走线区”。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特征名</w:t>
            </w:r>
          </w:p>
        </w:tc>
        <w:tc>
          <w:tcPr>
            <w:tcW w:type="dxa" w:w="51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含义（便于定位，非缺陷清单）</w:t>
            </w:r>
          </w:p>
        </w:tc>
      </w:tr>
      <w:tr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走线区</w:t>
            </w:r>
          </w:p>
        </w:tc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主要信号走线分布区域</w:t>
            </w:r>
          </w:p>
        </w:tc>
      </w:tr>
      <w:tr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孔阵</w:t>
            </w:r>
          </w:p>
        </w:tc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多个通孔/焊盘排列区域</w:t>
            </w:r>
          </w:p>
        </w:tc>
      </w:tr>
      <w:tr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VIA区</w:t>
            </w:r>
          </w:p>
        </w:tc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过孔集中区域</w:t>
            </w:r>
          </w:p>
        </w:tc>
      </w:tr>
      <w:tr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阻焊对比区</w:t>
            </w:r>
          </w:p>
        </w:tc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便于观察阻焊开窗/桥的区域</w:t>
            </w:r>
          </w:p>
        </w:tc>
      </w:tr>
      <w:tr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丝印条</w:t>
            </w:r>
          </w:p>
        </w:tc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字符/标识丝印条带</w:t>
            </w:r>
          </w:p>
        </w:tc>
      </w:tr>
      <w:tr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板框</w:t>
            </w:r>
          </w:p>
        </w:tc>
        <w:tc>
          <w:tcPr>
            <w:tcW w:type="dxa" w:w="5100"/>
          </w:tcPr>
          <w:p>
            <w:r>
              <w:rPr>
                <w:rFonts w:ascii="仿宋" w:hAnsi="仿宋" w:eastAsia="仿宋"/>
                <w:b w:val="0"/>
                <w:sz w:val="18"/>
              </w:rPr>
              <w:t>外形边缘区域</w:t>
            </w:r>
          </w:p>
        </w:tc>
      </w:tr>
    </w:tbl>
    <w:p>
      <w:pPr>
        <w:spacing w:before="200" w:after="60"/>
      </w:pPr>
      <w:r>
        <w:rPr>
          <w:rFonts w:ascii="黑体" w:hAnsi="黑体" w:eastAsia="黑体"/>
          <w:b/>
          <w:sz w:val="22"/>
        </w:rPr>
        <w:t>三、TP1–TP8 是什么？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TP（Test Point）是测试点：金属焊盘，专供万用表测通断。与 A1–D4 不是同一类标记：网格用于写缺陷位置，TP 用于通断任务。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测点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建议所在网格（示意）</w:t>
            </w:r>
          </w:p>
        </w:tc>
        <w:tc>
          <w:tcPr>
            <w:tcW w:type="dxa" w:w="3400"/>
            <w:shd w:fill="D9E2F3" w:val="clear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18"/>
              </w:rPr>
              <w:t>用途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TP1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A4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TP2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B4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TP3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C4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通断网络端点（可含经孔路径）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TP4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D4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通断网络端点（可含经孔路径）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TP5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A1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TP6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B1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TP7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C1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</w:t>
            </w:r>
          </w:p>
        </w:tc>
      </w:tr>
      <w:tr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TP8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D3 附近</w:t>
            </w:r>
          </w:p>
        </w:tc>
        <w:tc>
          <w:tcPr>
            <w:tcW w:type="dxa" w:w="3400"/>
          </w:tcPr>
          <w:p>
            <w:r>
              <w:rPr>
                <w:rFonts w:ascii="仿宋" w:hAnsi="仿宋" w:eastAsia="仿宋"/>
                <w:b w:val="0"/>
                <w:sz w:val="18"/>
              </w:rPr>
              <w:t>通断网络端点</w:t>
            </w:r>
          </w:p>
        </w:tc>
      </w:tr>
    </w:tbl>
    <w:p>
      <w:pPr>
        <w:spacing w:before="60" w:after="60"/>
      </w:pPr>
      <w:r>
        <w:rPr>
          <w:rFonts w:ascii="仿宋" w:hAnsi="仿宋" w:eastAsia="仿宋"/>
          <w:b w:val="0"/>
          <w:sz w:val="18"/>
        </w:rPr>
        <w:t>说明：上表“建议所在网格”为命题示意；正式以样件丝印 TP 编号为准。</w:t>
      </w:r>
    </w:p>
    <w:p>
      <w:pPr>
        <w:spacing w:before="200" w:after="60"/>
      </w:pPr>
      <w:r>
        <w:rPr>
          <w:rFonts w:ascii="黑体" w:hAnsi="黑体" w:eastAsia="黑体"/>
          <w:b/>
          <w:sz w:val="22"/>
        </w:rPr>
        <w:t>四、缺陷记录写法示例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推荐格式：所在面 + 网格区 + 特征名 + 现象。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示例1：顶层 / B2 / 走线区 / 中部 — 线路缺口、铜皮不连续。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示例2：底层 / C3 / 走线区 — 线宽局部明显变窄。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示例3：顶层 / A2 / 孔阵 — 钻孔偏心、铜环一侧过窄。</w:t>
      </w:r>
    </w:p>
    <w:p>
      <w:pPr>
        <w:spacing w:before="200" w:after="60"/>
      </w:pPr>
      <w:r>
        <w:rPr>
          <w:rFonts w:ascii="黑体" w:hAnsi="黑体" w:eastAsia="黑体"/>
          <w:b/>
          <w:sz w:val="22"/>
        </w:rPr>
        <w:t>五、重要说明（避免误解）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1. 网格用于定位，不是“一格一个错误”。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2. 缺陷分布可能不均匀：同一网格可有多处缺陷，部分网格可以没有缺陷。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3. 请检查顶层与底层；勿只查正面。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4. 通断任务只按《通断网络表》测指定 TP 对，不要把 TP 当成缺陷编号。</w:t>
      </w:r>
    </w:p>
    <w:p>
      <w:pPr>
        <w:spacing w:before="60" w:after="60"/>
      </w:pPr>
      <w:r>
        <w:rPr>
          <w:rFonts w:ascii="仿宋" w:hAnsi="仿宋" w:eastAsia="仿宋"/>
          <w:b w:val="0"/>
          <w:sz w:val="20"/>
        </w:rPr>
        <w:t>5. 本模块不上电，不量测 Gerber。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Handoff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