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  <w:jc w:val="center"/>
      </w:pPr>
      <w:r>
        <w:rPr>
          <w:rFonts w:ascii="黑体" w:hAnsi="黑体" w:eastAsia="黑体"/>
          <w:b/>
          <w:sz w:val="28"/>
        </w:rPr>
        <w:t>模块D 选手材料清单</w:t>
      </w:r>
    </w:p>
    <w:p>
      <w:pPr>
        <w:spacing w:before="60" w:after="160"/>
        <w:jc w:val="center"/>
      </w:pPr>
      <w:r>
        <w:rPr>
          <w:rFonts w:ascii="仿宋" w:hAnsi="仿宋" w:eastAsia="仿宋"/>
          <w:b w:val="0"/>
          <w:sz w:val="20"/>
        </w:rPr>
        <w:t>印制电路制作工赛项 · 光板质量检测与缺陷分析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340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材料名称</w:t>
            </w:r>
          </w:p>
        </w:tc>
        <w:tc>
          <w:tcPr>
            <w:tcW w:type="dxa" w:w="340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1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双面光板质检样件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未贴片；含外观缺陷与电气预埋故障</w:t>
            </w:r>
          </w:p>
        </w:tc>
      </w:tr>
      <w:tr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2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PCB光板检测记录表（模块D）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提交用</w:t>
            </w:r>
          </w:p>
        </w:tc>
      </w:tr>
      <w:tr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3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尺寸基准要求表（模块D）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5项基准</w:t>
            </w:r>
          </w:p>
        </w:tc>
      </w:tr>
      <w:tr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4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电气连通检测与故障定位表（模块D）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电阻测量+分段定位；不公布全部通断答案</w:t>
            </w:r>
          </w:p>
        </w:tc>
      </w:tr>
      <w:tr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5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分区与测试点说明（模块D）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A1–D4 与 TP 说明</w:t>
            </w:r>
          </w:p>
        </w:tc>
      </w:tr>
      <w:tr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6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工具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万用表（电阻档）、卡尺、放大镜、侧光、防静电</w:t>
            </w:r>
          </w:p>
        </w:tc>
      </w:tr>
    </w:tbl>
    <w:p>
      <w:pPr>
        <w:spacing w:before="160" w:after="60"/>
      </w:pPr>
      <w:r>
        <w:rPr>
          <w:rFonts w:ascii="仿宋" w:hAnsi="仿宋" w:eastAsia="仿宋"/>
          <w:b w:val="0"/>
          <w:sz w:val="18"/>
        </w:rPr>
        <w:t>裁判内部：缺陷清单参考答案、尺寸参考答案、电气连通与故障定位参考答案。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