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Orchestrator Air-Gap Activation Guide</w:t>
      </w:r>
    </w:p>
    <w:p>
      <w:pPr>
        <w:pStyle w:val="Subtitle"/>
      </w:pPr>
      <w:r>
        <w:t>Project reference for the SD-WAN demo environment</w:t>
      </w:r>
    </w:p>
    <w:p>
      <w:pPr>
        <w:spacing w:after="40"/>
      </w:pPr>
      <w:r>
        <w:rPr>
          <w:rFonts w:ascii="Calibri" w:hAnsi="Calibri"/>
          <w:b/>
          <w:color w:val="141F2B"/>
        </w:rPr>
        <w:t xml:space="preserve">Audience: </w:t>
      </w:r>
      <w:r>
        <w:rPr>
          <w:rFonts w:ascii="Calibri" w:hAnsi="Calibri"/>
          <w:color w:val="141F2B"/>
        </w:rPr>
        <w:t>Operators building or rehearsing an isolated EdgeConnect demo</w:t>
      </w:r>
    </w:p>
    <w:p>
      <w:pPr>
        <w:spacing w:after="40"/>
      </w:pPr>
      <w:r>
        <w:rPr>
          <w:rFonts w:ascii="Calibri" w:hAnsi="Calibri"/>
          <w:b/>
          <w:color w:val="141F2B"/>
        </w:rPr>
        <w:t xml:space="preserve">Demo target: </w:t>
      </w:r>
      <w:r>
        <w:rPr>
          <w:rFonts w:ascii="Calibri" w:hAnsi="Calibri"/>
          <w:color w:val="141F2B"/>
        </w:rPr>
        <w:t>1 self-hosted Orchestrator and 3 EdgeConnect EC-S-P appliances</w:t>
      </w:r>
    </w:p>
    <w:p>
      <w:pPr>
        <w:spacing w:after="40"/>
      </w:pPr>
      <w:r>
        <w:rPr>
          <w:rFonts w:ascii="Calibri" w:hAnsi="Calibri"/>
          <w:b/>
          <w:color w:val="141F2B"/>
        </w:rPr>
        <w:t xml:space="preserve">Source: </w:t>
      </w:r>
      <w:r>
        <w:rPr>
          <w:rFonts w:ascii="Calibri" w:hAnsi="Calibri"/>
          <w:color w:val="141F2B"/>
        </w:rPr>
        <w:t>HPE Aruba Air-Gap tab documentation and Air-Gap User Guide URL</w:t>
      </w:r>
    </w:p>
    <w:p>
      <w:pPr>
        <w:spacing w:after="40"/>
      </w:pPr>
      <w:r>
        <w:rPr>
          <w:rFonts w:ascii="Calibri" w:hAnsi="Calibri"/>
          <w:b/>
          <w:color w:val="141F2B"/>
        </w:rPr>
        <w:t xml:space="preserve">Generated: </w:t>
      </w:r>
      <w:r>
        <w:rPr>
          <w:rFonts w:ascii="Calibri" w:hAnsi="Calibri"/>
          <w:color w:val="141F2B"/>
        </w:rPr>
        <w:t>2026-05-26</w:t>
      </w:r>
    </w:p>
    <w:p>
      <w:pPr>
        <w:pBdr>
          <w:bottom w:val="single" w:sz="8" w:space="6" w:color="2E74B5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46A"/>
          <w:left w:val="single" w:sz="4" w:space="0" w:color="D8C46A"/>
          <w:bottom w:val="single" w:sz="4" w:space="0" w:color="D8C46A"/>
          <w:right w:val="single" w:sz="4" w:space="0" w:color="D8C46A"/>
          <w:insideH w:val="single" w:sz="4" w:space="0" w:color="D8C46A"/>
          <w:insideV w:val="single" w:sz="4" w:space="0" w:color="D8C46A"/>
        </w:tblBorders>
      </w:tblPr>
      <w:tblGrid>
        <w:gridCol w:w="9360"/>
      </w:tblGrid>
      <w:tr>
        <w:tc>
          <w:tcPr>
            <w:tcW w:type="dxa" w:w="9360"/>
            <w:shd w:fill="FFF4C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</w:rPr>
              <w:t xml:space="preserve">Critical constraint: </w:t>
            </w:r>
            <w:r>
              <w:rPr>
                <w:rFonts w:ascii="Calibri" w:hAnsi="Calibri"/>
                <w:color w:val="141F2B"/>
              </w:rPr>
              <w:t>HPE documents that once Air-Gap mode is enabled, it cannot be disabled without Silver Peak Support. Treat activation as a deliberate operator action.</w:t>
            </w:r>
          </w:p>
        </w:tc>
      </w:tr>
    </w:tbl>
    <w:p>
      <w:pPr>
        <w:spacing w:after="40"/>
      </w:pPr>
    </w:p>
    <w:p>
      <w:pPr>
        <w:pStyle w:val="Heading1"/>
      </w:pPr>
      <w:r>
        <w:t>Purpose</w:t>
      </w:r>
    </w:p>
    <w:p>
      <w:r>
        <w:t>This guide summarizes the activation path for HPE Aruba Networking EdgeConnect SD-WAN Orchestrator Air-Gap deployments and records the automation guardrails for this demo project.</w:t>
      </w:r>
    </w:p>
    <w:p>
      <w:pPr>
        <w:pStyle w:val="Heading1"/>
      </w:pPr>
      <w:r>
        <w:t>Official Sources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</w:rPr>
              <w:t>Source</w:t>
            </w:r>
          </w:p>
        </w:tc>
        <w:tc>
          <w:tcPr>
            <w:tcW w:type="dxa" w:w="6480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</w:rPr>
              <w:t>Location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Air-Gap tab documentation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https://arubanetworking.hpe.com/techdocs/sdwan/docs/orch/orchestrator/server/air-gap/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User guide index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https://arubanetworking.hpe.com/techdocs/sdwan/user-guides/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Air-Gap User Guide PDF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https://www.arubanetworks.com/techdocs/sdwan-PDFs/deployments/HPE-ANW-Orch-Air-gap-UG.pdf</w:t>
            </w:r>
          </w:p>
        </w:tc>
      </w:tr>
    </w:tbl>
    <w:p>
      <w:pPr>
        <w:spacing w:after="40"/>
      </w:pPr>
    </w:p>
    <w:p>
      <w:pPr>
        <w:pStyle w:val="Heading1"/>
      </w:pPr>
      <w:r>
        <w:t>Demo Scope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One self-hosted Orchestrator.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Three EdgeConnect EC-S-P appliances.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Isolated network design with manual file exchange through the Air-Gap Portal.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Operator-controlled activation, licensing, appliance onboarding, and backup workflows.</w:t>
      </w:r>
    </w:p>
    <w:p>
      <w:pPr>
        <w:pStyle w:val="Heading1"/>
      </w:pPr>
      <w:r>
        <w:t>Prerequisites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Air-Gap mode has been purchased and licensed.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HPE Aruba Networking Operations has provisioned Air-Gap Portal access.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The deployment uses self-hosted Orchestrator.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The operator has Air-Gap Portal credentials and initial Orchestrator access.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The team is ready to enable Air-Gap for Orchestrator and all appliances.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A removable-media transfer process is approved for file movement between environments.</w:t>
      </w:r>
    </w:p>
    <w:p>
      <w:pPr>
        <w:pStyle w:val="Heading1"/>
      </w:pPr>
      <w:r>
        <w:t>Activation Flow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Access the Air-Gap Portal using the HPE-provided invitation.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In Orchestrator, go to Orchestrator &gt; Orchestrator Server &gt; Licensing &gt; Air-Gap.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Enable Air-Gap mode.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Start Air-Gap Registration.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Show and copy the Orchestrator registration key.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Move the registration key to the Air-Gap Portal using the approved transfer process.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Generate or obtain the portal response in the Air-Gap Portal.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Move the portal response back to the isolated Orchestrator.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Paste the portal response into Orchestrator and save it.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Assign licenses in the Air-Gap Portal.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Download the license file and supporting file from the Air-Gap Portal.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Upload the license file and supporting file in Orchestrator with Air-Gap File Upload.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Enable or register Air-Gap on each EC-S-P appliance as required by the user guide.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41F2B"/>
        </w:rPr>
        <w:t>For EC-V workflows, assign serial numbers in Configuration &gt; Overlays &amp; Security &gt; Discovery &gt; Discovered Appliances.</w:t>
      </w:r>
    </w:p>
    <w:p>
      <w:pPr>
        <w:pStyle w:val="Heading1"/>
      </w:pPr>
      <w:r>
        <w:t>Automation Guardrails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Do not automate Air-Gap enablement without explicit operator confirmation.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Do not store registration keys, portal responses, license files, supporting files, account keys, or serial-number assignment records in Git.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Keep generated transfer manifests under an ignored runtime or output directory.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Separate read-only discovery scripts from scripts that enable Air-Gap mode, upload files, assign licenses, or bind serial numbers.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41F2B"/>
        </w:rPr>
        <w:t>Prefer dry-run and checklist output unless a script is explicitly invoked with a write or apply flag.</w:t>
      </w:r>
    </w:p>
    <w:p>
      <w:pPr>
        <w:pStyle w:val="Heading1"/>
      </w:pPr>
      <w:r>
        <w:t>Project 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4D1"/>
          <w:left w:val="single" w:sz="6" w:space="0" w:color="B7C4D1"/>
          <w:bottom w:val="single" w:sz="6" w:space="0" w:color="B7C4D1"/>
          <w:right w:val="single" w:sz="6" w:space="0" w:color="B7C4D1"/>
          <w:insideH w:val="single" w:sz="6" w:space="0" w:color="B7C4D1"/>
          <w:insideV w:val="single" w:sz="6" w:space="0" w:color="B7C4D1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</w:rPr>
              <w:t>File</w:t>
            </w:r>
          </w:p>
        </w:tc>
        <w:tc>
          <w:tcPr>
            <w:tcW w:type="dxa" w:w="6480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</w:rPr>
              <w:t>Use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docs/orchestrator-air-gap-activation.md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Source Markdown reference.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docs/edgeconnect-api-endpoints.md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API endpoint source map.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docs/demo-topology.md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Demo network topology assumptions.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inventory/demo-network.yaml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F2B"/>
              </w:rPr>
              <w:t>Editable inventory for Orchestrator and EC-S-P appliances.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0"/>
        <w:sz w:val="18"/>
      </w:rPr>
      <w:t>SD-WAN demo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4" w:space="6" w:color="D5DCE3"/>
      </w:pBdr>
    </w:pPr>
    <w:r/>
    <w:r>
      <w:rPr>
        <w:rFonts w:ascii="Calibri" w:hAnsi="Calibri"/>
        <w:b/>
        <w:color w:val="5B6770"/>
        <w:sz w:val="18"/>
      </w:rPr>
      <w:t>HPE Aruba EdgeConnect SD-WAN</w:t>
    </w:r>
    <w:r>
      <w:tab/>
    </w:r>
    <w:r>
      <w:rPr>
        <w:rFonts w:ascii="Calibri" w:hAnsi="Calibri"/>
        <w:color w:val="5B6770"/>
        <w:sz w:val="18"/>
      </w:rPr>
      <w:t>Air-Gap Activation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41F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141F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300" w:lineRule="auto"/>
    </w:pPr>
    <w:rPr>
      <w:rFonts w:asciiTheme="majorHAnsi" w:eastAsiaTheme="majorEastAsia" w:hAnsiTheme="majorHAnsi" w:cstheme="majorBidi" w:ascii="Calibri" w:hAnsi="Calibri"/>
      <w:i/>
      <w:iCs/>
      <w:color w:val="5B67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