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INFORMATION LITERACY COMPETENCIES OF SENIOR HIGH SCHOOL TEACHERS IN DAVAO CITY</w:t>
      </w:r>
    </w:p>
    <w:p/>
    <w:p/>
    <w:p>
      <w:pPr>
        <w:jc w:val="center"/>
      </w:pPr>
      <w:r>
        <w:t>A Concept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Library and Information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Miguel Antonio C. Fajardo</w:t>
      </w:r>
    </w:p>
    <w:p>
      <w:pPr>
        <w:jc w:val="center"/>
      </w:pPr>
      <w:r>
        <w:t>Adviser: Ramos, Isabel T.</w:t>
      </w:r>
    </w:p>
    <w:p>
      <w:pPr>
        <w:jc w:val="center"/>
      </w:pPr>
      <w:r>
        <w:t>August 05, 2024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concept paper examines information literacy competencies of senior high school teachers in davao city.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information, literacy, competencies, of, senior, high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