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Disabled Students Allowance Guidelines</w:t>
      </w:r>
    </w:p>
    <w:p>
      <w:r>
        <w:t>Disabled Students Allowance provides grant funding for higher education students living in England with neurodivergent conditions.</w:t>
      </w:r>
    </w:p>
    <w:p>
      <w:pPr>
        <w:pStyle w:val="Heading2"/>
      </w:pPr>
      <w:r>
        <w:t>Specialist Equipment Allowance</w:t>
      </w:r>
    </w:p>
    <w:p>
      <w:r>
        <w:t>The allowance covers specialist computer hardware, speech-to-text software, and digital audio recording pens.</w:t>
      </w:r>
    </w:p>
    <w:p>
      <w:pPr>
        <w:pStyle w:val="Heading2"/>
      </w:pPr>
      <w:r>
        <w:t>Non-Medical Helper Allowance</w:t>
      </w:r>
    </w:p>
    <w:p>
      <w:r>
        <w:t>Non-medical helpers include specialized one-to-one study skills tutors and assistive technology trainers.</w:t>
      </w:r>
    </w:p>
  </w:body>
</w:document>
</file>