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44808500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Arial" w:hAnsi="Arial" w:cs="Arial"/>
            </w:rPr>
          </w:sdtEndPr>
          <w:sdtContent>
            <w:p w:rsidR="00B05B93" w:rsidRPr="004C2594" w:rsidRDefault="004A291C">
              <w:pPr>
                <w:spacing w:before="1600"/>
                <w:ind w:left="-576" w:right="-576"/>
                <w:contextualSpacing/>
                <w:rPr>
                  <w:rFonts w:ascii="Arial" w:eastAsiaTheme="majorEastAsia" w:hAnsi="Arial" w:cs="Arial"/>
                  <w:b/>
                  <w:color w:val="1F497D" w:themeColor="text2"/>
                  <w:sz w:val="72"/>
                  <w:szCs w:val="72"/>
                </w:rPr>
              </w:pPr>
              <w:proofErr w:type="spellStart"/>
              <w:r w:rsidRPr="004C2594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UnionVms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noProof/>
              <w:color w:val="000000" w:themeColor="tex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:rsidR="00B05B93" w:rsidRPr="004C2594" w:rsidRDefault="00F745A9">
              <w:pPr>
                <w:ind w:left="-576" w:right="-576"/>
                <w:contextualSpacing/>
                <w:rPr>
                  <w:b/>
                  <w:noProof/>
                  <w:color w:val="000000" w:themeColor="text1"/>
                  <w:sz w:val="40"/>
                  <w:szCs w:val="36"/>
                </w:rPr>
              </w:pPr>
              <w:r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>Rules</w:t>
              </w:r>
            </w:p>
          </w:sdtContent>
        </w:sdt>
        <w:p w:rsidR="00B05B93" w:rsidRPr="004C2594" w:rsidRDefault="0006102A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rFonts w:ascii="Arial" w:hAnsi="Arial" w:cs="Arial"/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745A9">
                <w:rPr>
                  <w:rFonts w:ascii="Arial" w:hAnsi="Arial" w:cs="Arial"/>
                  <w:noProof/>
                  <w:color w:val="808080" w:themeColor="background1" w:themeShade="80"/>
                  <w:sz w:val="36"/>
                  <w:szCs w:val="36"/>
                </w:rPr>
                <w:t>Anders Thoresson</w:t>
              </w:r>
            </w:sdtContent>
          </w:sdt>
        </w:p>
        <w:p w:rsidR="00B05B93" w:rsidRPr="004C2594" w:rsidRDefault="00B05B93"/>
        <w:p w:rsidR="00B05B93" w:rsidRPr="004C2594" w:rsidRDefault="00B05B93">
          <w:r w:rsidRPr="004C2594">
            <w:rPr>
              <w:noProof/>
              <w:lang w:val="sv-SE" w:eastAsia="sv-SE"/>
            </w:rPr>
            <w:drawing>
              <wp:anchor distT="0" distB="0" distL="114300" distR="114300" simplePos="0" relativeHeight="251658240" behindDoc="1" locked="0" layoutInCell="1" allowOverlap="1" wp14:anchorId="3FA19416" wp14:editId="34BAE257">
                <wp:simplePos x="0" y="0"/>
                <wp:positionH relativeFrom="column">
                  <wp:posOffset>-1143001</wp:posOffset>
                </wp:positionH>
                <wp:positionV relativeFrom="paragraph">
                  <wp:posOffset>-3265805</wp:posOffset>
                </wp:positionV>
                <wp:extent cx="7597743" cy="10744200"/>
                <wp:effectExtent l="0" t="0" r="0" b="0"/>
                <wp:wrapNone/>
                <wp:docPr id="6" name="Picture 6" descr="Macintosh HD:Users:rux:Dropbox:af_work:HAV:Guidelines:word_mall_bg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acintosh HD:Users:rux:Dropbox:af_work:HAV:Guidelines:word_mall_bg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7743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C259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05084686"/>
        <w:docPartObj>
          <w:docPartGallery w:val="Table of Contents"/>
          <w:docPartUnique/>
        </w:docPartObj>
      </w:sdtPr>
      <w:sdtEndPr/>
      <w:sdtContent>
        <w:p w:rsidR="00992101" w:rsidRPr="004C2594" w:rsidRDefault="00992101">
          <w:pPr>
            <w:pStyle w:val="Innehllsfrteckningsrubrik"/>
          </w:pPr>
          <w:r w:rsidRPr="004C2594">
            <w:t>Table of contents</w:t>
          </w:r>
        </w:p>
        <w:p w:rsidR="00AC4C87" w:rsidRDefault="00992101">
          <w:pPr>
            <w:pStyle w:val="Innehll1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r w:rsidRPr="004C2594">
            <w:fldChar w:fldCharType="begin"/>
          </w:r>
          <w:r w:rsidRPr="004C2594">
            <w:instrText xml:space="preserve"> TOC \o "1-3" \h \z \u </w:instrText>
          </w:r>
          <w:r w:rsidRPr="004C2594">
            <w:fldChar w:fldCharType="separate"/>
          </w:r>
          <w:hyperlink w:anchor="_Toc441478802" w:history="1">
            <w:r w:rsidR="00AC4C87" w:rsidRPr="00277964">
              <w:rPr>
                <w:rStyle w:val="Hyperlnk"/>
                <w:noProof/>
              </w:rPr>
              <w:t>Document history</w:t>
            </w:r>
            <w:r w:rsidR="00AC4C87">
              <w:rPr>
                <w:noProof/>
                <w:webHidden/>
              </w:rPr>
              <w:tab/>
            </w:r>
            <w:r w:rsidR="00AC4C87">
              <w:rPr>
                <w:noProof/>
                <w:webHidden/>
              </w:rPr>
              <w:fldChar w:fldCharType="begin"/>
            </w:r>
            <w:r w:rsidR="00AC4C87">
              <w:rPr>
                <w:noProof/>
                <w:webHidden/>
              </w:rPr>
              <w:instrText xml:space="preserve"> PAGEREF _Toc441478802 \h </w:instrText>
            </w:r>
            <w:r w:rsidR="00AC4C87">
              <w:rPr>
                <w:noProof/>
                <w:webHidden/>
              </w:rPr>
            </w:r>
            <w:r w:rsidR="00AC4C87">
              <w:rPr>
                <w:noProof/>
                <w:webHidden/>
              </w:rPr>
              <w:fldChar w:fldCharType="separate"/>
            </w:r>
            <w:r w:rsidR="00AC4C87">
              <w:rPr>
                <w:noProof/>
                <w:webHidden/>
              </w:rPr>
              <w:t>3</w:t>
            </w:r>
            <w:r w:rsidR="00AC4C87"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3" w:history="1">
            <w:r w:rsidRPr="00277964">
              <w:rPr>
                <w:rStyle w:val="Hyperlnk"/>
                <w:noProof/>
              </w:rPr>
              <w:t>Module description/purpose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4" w:history="1">
            <w:r w:rsidRPr="00277964">
              <w:rPr>
                <w:rStyle w:val="Hyperlnk"/>
                <w:noProof/>
              </w:rPr>
              <w:t>Module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5" w:history="1">
            <w:r w:rsidRPr="00277964">
              <w:rPr>
                <w:rStyle w:val="Hyperlnk"/>
                <w:noProof/>
              </w:rPr>
              <w:t>JMS-Queue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6" w:history="1">
            <w:r w:rsidRPr="00277964">
              <w:rPr>
                <w:rStyle w:val="Hyperl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7" w:history="1">
            <w:r w:rsidRPr="00277964">
              <w:rPr>
                <w:rStyle w:val="Hyperlnk"/>
                <w:noProof/>
              </w:rPr>
              <w:t>Tested compatibilities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8" w:history="1">
            <w:r w:rsidRPr="00277964">
              <w:rPr>
                <w:rStyle w:val="Hyperlnk"/>
                <w:noProof/>
              </w:rPr>
              <w:t>Available app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09" w:history="1">
            <w:r w:rsidRPr="00277964">
              <w:rPr>
                <w:rStyle w:val="Hyperlnk"/>
                <w:noProof/>
              </w:rPr>
              <w:t>Available database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10" w:history="1">
            <w:r w:rsidRPr="00277964">
              <w:rPr>
                <w:rStyle w:val="Hyperlnk"/>
                <w:noProof/>
              </w:rPr>
              <w:t>Available proxy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11" w:history="1">
            <w:r w:rsidRPr="00277964">
              <w:rPr>
                <w:rStyle w:val="Hyperlnk"/>
                <w:noProof/>
              </w:rPr>
              <w:t>Available plugin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C87" w:rsidRDefault="00AC4C87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1478812" w:history="1">
            <w:r w:rsidRPr="00277964">
              <w:rPr>
                <w:rStyle w:val="Hyperlnk"/>
                <w:noProof/>
              </w:rPr>
              <w:t>Liquibase – database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101" w:rsidRPr="004C2594" w:rsidRDefault="00992101">
          <w:r w:rsidRPr="004C2594">
            <w:rPr>
              <w:b/>
              <w:bCs/>
            </w:rPr>
            <w:fldChar w:fldCharType="end"/>
          </w:r>
        </w:p>
      </w:sdtContent>
    </w:sdt>
    <w:p w:rsidR="00B05B93" w:rsidRPr="004C2594" w:rsidRDefault="00B05B93" w:rsidP="00992101">
      <w:pPr>
        <w:pStyle w:val="Rubrik1"/>
      </w:pPr>
    </w:p>
    <w:p w:rsidR="00992101" w:rsidRPr="004C2594" w:rsidRDefault="00992101">
      <w:pPr>
        <w:rPr>
          <w:rFonts w:ascii="Arial" w:eastAsiaTheme="majorEastAsia" w:hAnsi="Arial" w:cs="Arial"/>
          <w:b/>
          <w:color w:val="000000" w:themeColor="text1"/>
          <w:spacing w:val="5"/>
          <w:kern w:val="28"/>
          <w:sz w:val="52"/>
          <w:szCs w:val="52"/>
        </w:rPr>
      </w:pPr>
      <w:r w:rsidRPr="004C2594">
        <w:br w:type="page"/>
      </w:r>
    </w:p>
    <w:p w:rsidR="00992101" w:rsidRPr="004C2594" w:rsidRDefault="00992101" w:rsidP="00992101"/>
    <w:tbl>
      <w:tblPr>
        <w:tblStyle w:val="Ljuslista-dekorfrg1"/>
        <w:tblpPr w:leftFromText="180" w:rightFromText="180" w:vertAnchor="text" w:horzAnchor="margin" w:tblpY="1140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92101" w:rsidRPr="004C2594" w:rsidTr="009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Author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Changes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Date</w:t>
            </w:r>
          </w:p>
        </w:tc>
      </w:tr>
      <w:tr w:rsidR="00992101" w:rsidRPr="004C2594" w:rsidTr="0099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F745A9" w:rsidP="00992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 Thoresson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Created document</w:t>
            </w:r>
          </w:p>
        </w:tc>
        <w:tc>
          <w:tcPr>
            <w:tcW w:w="3079" w:type="dxa"/>
          </w:tcPr>
          <w:p w:rsidR="00992101" w:rsidRPr="004C2594" w:rsidRDefault="006F08B9" w:rsidP="00F7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2016-01-</w:t>
            </w:r>
            <w:r w:rsidR="00F745A9">
              <w:rPr>
                <w:sz w:val="18"/>
                <w:szCs w:val="18"/>
              </w:rPr>
              <w:t>2</w:t>
            </w:r>
            <w:r w:rsidRPr="004C2594">
              <w:rPr>
                <w:sz w:val="18"/>
                <w:szCs w:val="18"/>
              </w:rPr>
              <w:t>5</w:t>
            </w:r>
          </w:p>
        </w:tc>
      </w:tr>
      <w:tr w:rsidR="00992101" w:rsidRPr="004C2594" w:rsidTr="0099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92101" w:rsidRPr="004C2594" w:rsidRDefault="00992101" w:rsidP="00992101">
      <w:pPr>
        <w:pStyle w:val="Rubrik1"/>
      </w:pPr>
      <w:bookmarkStart w:id="0" w:name="_Toc441478802"/>
      <w:r w:rsidRPr="004C2594">
        <w:t>Document history</w:t>
      </w:r>
      <w:bookmarkEnd w:id="0"/>
      <w:r w:rsidRPr="004C2594">
        <w:br w:type="page"/>
      </w:r>
    </w:p>
    <w:p w:rsidR="00B05B93" w:rsidRPr="004C2594" w:rsidRDefault="00A2070A" w:rsidP="00A2070A">
      <w:pPr>
        <w:pStyle w:val="Rubrik2"/>
      </w:pPr>
      <w:bookmarkStart w:id="1" w:name="_Toc441478803"/>
      <w:r w:rsidRPr="004C2594">
        <w:lastRenderedPageBreak/>
        <w:t>Module description/purpose</w:t>
      </w:r>
      <w:bookmarkEnd w:id="1"/>
    </w:p>
    <w:p w:rsidR="00F745A9" w:rsidRDefault="00F745A9" w:rsidP="00A2070A">
      <w:r>
        <w:t xml:space="preserve">This module is responsible for data validation. </w:t>
      </w:r>
    </w:p>
    <w:p w:rsidR="00F745A9" w:rsidRDefault="00F745A9" w:rsidP="00A2070A">
      <w:r>
        <w:t>The first step is to validate incoming messages from the Exchange module before passing it further into the system. It verifies that the data is complete enough for processing. If a message breaks any of these rules the message is put aside in a Holding Tabl</w:t>
      </w:r>
      <w:r w:rsidR="000C49A8">
        <w:t>e. From here it is possible to r</w:t>
      </w:r>
      <w:r>
        <w:t xml:space="preserve">eprocess it. This means that the rules are run again on the message. The message itself cannot be changed, but the surrounding circumstances can (e.g. a necessary Mobile Terminal could have been added </w:t>
      </w:r>
      <w:r w:rsidR="000C49A8">
        <w:t xml:space="preserve">to the system </w:t>
      </w:r>
      <w:r>
        <w:t xml:space="preserve">since the message arrived). If the message is deemed correct it is passed to the Movement </w:t>
      </w:r>
      <w:r w:rsidR="000C49A8">
        <w:t>m</w:t>
      </w:r>
      <w:r>
        <w:t xml:space="preserve">odule for processing. When finished it will return to the Rules </w:t>
      </w:r>
      <w:r w:rsidR="000C49A8">
        <w:t>m</w:t>
      </w:r>
      <w:r>
        <w:t xml:space="preserve">odule for the next step, which is the user defined rules. These rules are created by the user </w:t>
      </w:r>
      <w:r w:rsidR="000C49A8">
        <w:t xml:space="preserve">and will generate </w:t>
      </w:r>
      <w:r>
        <w:t xml:space="preserve">a Notification when triggered. For instance, a user might be interested in all messages from a specific asset, or </w:t>
      </w:r>
      <w:r w:rsidR="009A6492">
        <w:t xml:space="preserve">messages from </w:t>
      </w:r>
      <w:r>
        <w:t xml:space="preserve">all </w:t>
      </w:r>
      <w:r w:rsidR="009A6492">
        <w:t>assets in a specific area. Multiple users can subscribe to these rules and get access to the Notifications they create. Users can also choose to receive email when a rule triggers.</w:t>
      </w:r>
    </w:p>
    <w:p w:rsidR="00F745A9" w:rsidRDefault="0024517A" w:rsidP="00A2070A">
      <w:r>
        <w:t>In order to validate the various rules this module interacts with multiple other modules to get the information it needs.</w:t>
      </w:r>
    </w:p>
    <w:p w:rsidR="00A2070A" w:rsidRPr="004C2594" w:rsidRDefault="00B21248" w:rsidP="00B21248">
      <w:pPr>
        <w:pStyle w:val="Rubrik2"/>
      </w:pPr>
      <w:bookmarkStart w:id="2" w:name="_Toc441478804"/>
      <w:r w:rsidRPr="004C2594">
        <w:t>Module dependencies</w:t>
      </w:r>
      <w:bookmarkEnd w:id="2"/>
    </w:p>
    <w:p w:rsidR="00D806D9" w:rsidRPr="004C2594" w:rsidRDefault="00D806D9" w:rsidP="00D806D9"/>
    <w:tbl>
      <w:tblPr>
        <w:tblStyle w:val="Ljuslista-dekorfrg1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D806D9" w:rsidRPr="004C2594" w:rsidTr="00D8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D806D9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50" w:type="dxa"/>
          </w:tcPr>
          <w:p w:rsidR="00D806D9" w:rsidRPr="004C2594" w:rsidRDefault="00D806D9" w:rsidP="00D8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24517A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Default="0024517A" w:rsidP="00FA7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</w:t>
            </w:r>
          </w:p>
        </w:tc>
        <w:tc>
          <w:tcPr>
            <w:tcW w:w="4650" w:type="dxa"/>
          </w:tcPr>
          <w:p w:rsidR="0024517A" w:rsidRDefault="0024517A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Gets information needed for rules validation.</w:t>
            </w:r>
          </w:p>
        </w:tc>
      </w:tr>
      <w:tr w:rsidR="0024517A" w:rsidRPr="004C2594" w:rsidTr="00D806D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Pr="004C2594" w:rsidRDefault="0024517A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Audit </w:t>
            </w:r>
          </w:p>
        </w:tc>
        <w:tc>
          <w:tcPr>
            <w:tcW w:w="4650" w:type="dxa"/>
          </w:tcPr>
          <w:p w:rsidR="0024517A" w:rsidRPr="004C2594" w:rsidRDefault="0024517A" w:rsidP="00A66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all operations which have been executed in all UVMS-modules</w:t>
            </w:r>
          </w:p>
        </w:tc>
      </w:tr>
      <w:tr w:rsidR="0024517A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Pr="004C2594" w:rsidRDefault="0024517A" w:rsidP="00D806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Config</w:t>
            </w:r>
            <w:proofErr w:type="spellEnd"/>
          </w:p>
        </w:tc>
        <w:tc>
          <w:tcPr>
            <w:tcW w:w="4650" w:type="dxa"/>
          </w:tcPr>
          <w:p w:rsidR="0024517A" w:rsidRDefault="0024517A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by all modules in the system. As of now there are no specific configurations the Rules Module uses.</w:t>
            </w:r>
          </w:p>
        </w:tc>
      </w:tr>
      <w:tr w:rsidR="0024517A" w:rsidRPr="004C2594" w:rsidTr="00D806D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Default="0024517A" w:rsidP="00D80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Exchange</w:t>
            </w:r>
          </w:p>
        </w:tc>
        <w:tc>
          <w:tcPr>
            <w:tcW w:w="4650" w:type="dxa"/>
          </w:tcPr>
          <w:p w:rsidR="0024517A" w:rsidRPr="004C2594" w:rsidRDefault="0024517A" w:rsidP="00FA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Gateway provides communication ability with other modules or artifacts beside UVMS</w:t>
            </w:r>
            <w:r w:rsidR="00F80163">
              <w:rPr>
                <w:sz w:val="18"/>
                <w:szCs w:val="18"/>
              </w:rPr>
              <w:t xml:space="preserve">. </w:t>
            </w:r>
            <w:r w:rsidR="00F80163">
              <w:rPr>
                <w:sz w:val="18"/>
                <w:szCs w:val="18"/>
              </w:rPr>
              <w:t>This is the main entry and exit point of the system and also for the Rules Module.</w:t>
            </w:r>
          </w:p>
        </w:tc>
      </w:tr>
      <w:tr w:rsidR="0024517A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Default="0024517A" w:rsidP="00FA7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Terminal</w:t>
            </w:r>
          </w:p>
        </w:tc>
        <w:tc>
          <w:tcPr>
            <w:tcW w:w="4650" w:type="dxa"/>
          </w:tcPr>
          <w:p w:rsidR="0024517A" w:rsidRDefault="0024517A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Gets information needed for rules validation.</w:t>
            </w:r>
          </w:p>
        </w:tc>
      </w:tr>
      <w:tr w:rsidR="0024517A" w:rsidRPr="004C2594" w:rsidTr="00D806D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Default="0024517A" w:rsidP="00FA7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Movement</w:t>
            </w:r>
          </w:p>
        </w:tc>
        <w:tc>
          <w:tcPr>
            <w:tcW w:w="4650" w:type="dxa"/>
          </w:tcPr>
          <w:p w:rsidR="0024517A" w:rsidRDefault="00F80163" w:rsidP="00F8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Rules module provides verified messages to the Movement module, and also receives processed positions from it in order to run user defined rules which generates notifications.</w:t>
            </w:r>
          </w:p>
        </w:tc>
      </w:tr>
      <w:tr w:rsidR="0024517A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24517A" w:rsidRPr="004C2594" w:rsidRDefault="0024517A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User</w:t>
            </w:r>
          </w:p>
        </w:tc>
        <w:tc>
          <w:tcPr>
            <w:tcW w:w="4650" w:type="dxa"/>
          </w:tcPr>
          <w:p w:rsidR="0024517A" w:rsidRPr="004C2594" w:rsidRDefault="00F80163" w:rsidP="00F8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Mainly u</w:t>
            </w:r>
            <w:r w:rsidR="0024517A">
              <w:rPr>
                <w:sz w:val="18"/>
                <w:szCs w:val="18"/>
              </w:rPr>
              <w:t>sed to get correct email address</w:t>
            </w:r>
            <w:r>
              <w:rPr>
                <w:sz w:val="18"/>
                <w:szCs w:val="18"/>
              </w:rPr>
              <w:t>es</w:t>
            </w:r>
            <w:r w:rsidR="0024517A">
              <w:rPr>
                <w:sz w:val="18"/>
                <w:szCs w:val="18"/>
              </w:rPr>
              <w:t xml:space="preserve"> and organization information.</w:t>
            </w:r>
          </w:p>
        </w:tc>
      </w:tr>
    </w:tbl>
    <w:p w:rsidR="00B21248" w:rsidRPr="004C2594" w:rsidRDefault="00B21248" w:rsidP="00B21248"/>
    <w:p w:rsidR="00B21248" w:rsidRPr="004C2594" w:rsidRDefault="00B21248" w:rsidP="00B21248">
      <w:pPr>
        <w:pStyle w:val="Rubrik3"/>
      </w:pPr>
      <w:bookmarkStart w:id="3" w:name="_Toc441478805"/>
      <w:r w:rsidRPr="004C2594">
        <w:t>JMS-Queue</w:t>
      </w:r>
      <w:r w:rsidR="00347308" w:rsidRPr="004C2594">
        <w:t xml:space="preserve"> dependencies</w:t>
      </w:r>
      <w:bookmarkEnd w:id="3"/>
    </w:p>
    <w:p w:rsidR="00505042" w:rsidRPr="004C2594" w:rsidRDefault="00505042" w:rsidP="00505042"/>
    <w:p w:rsidR="00505042" w:rsidRPr="004C2594" w:rsidRDefault="00505042" w:rsidP="00505042">
      <w:r w:rsidRPr="004C2594">
        <w:t xml:space="preserve">The </w:t>
      </w:r>
      <w:r w:rsidR="00F80163">
        <w:t>JNDI</w:t>
      </w:r>
      <w:bookmarkStart w:id="4" w:name="_GoBack"/>
      <w:bookmarkEnd w:id="4"/>
      <w:r w:rsidRPr="004C2594">
        <w:t xml:space="preserve"> name example is taken from wildfly8.2 application server</w:t>
      </w:r>
    </w:p>
    <w:p w:rsidR="00505042" w:rsidRPr="004C2594" w:rsidRDefault="00505042" w:rsidP="0050504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636"/>
        <w:gridCol w:w="3729"/>
        <w:gridCol w:w="2871"/>
      </w:tblGrid>
      <w:tr w:rsidR="00B21248" w:rsidRPr="004C2594" w:rsidTr="00E27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B21248" w:rsidRPr="004C2594" w:rsidRDefault="00B21248" w:rsidP="00B2124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3729" w:type="dxa"/>
          </w:tcPr>
          <w:p w:rsidR="00B21248" w:rsidRPr="004C2594" w:rsidRDefault="00505042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Jndi</w:t>
            </w:r>
            <w:proofErr w:type="spellEnd"/>
            <w:r w:rsidRPr="004C2594">
              <w:rPr>
                <w:sz w:val="18"/>
                <w:szCs w:val="18"/>
              </w:rPr>
              <w:t xml:space="preserve"> name example</w:t>
            </w:r>
          </w:p>
        </w:tc>
        <w:tc>
          <w:tcPr>
            <w:tcW w:w="2871" w:type="dxa"/>
          </w:tcPr>
          <w:p w:rsidR="00B21248" w:rsidRPr="004C2594" w:rsidRDefault="00BB49AE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0C49A8" w:rsidRPr="004C2594" w:rsidTr="00E2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Pr="004C2594" w:rsidRDefault="000C49A8" w:rsidP="00B212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UVMSRulesModel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RulesModel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0C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 xml:space="preserve"> database module</w:t>
            </w:r>
          </w:p>
        </w:tc>
      </w:tr>
      <w:tr w:rsidR="000C49A8" w:rsidRPr="004C2594" w:rsidTr="00E27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Default="000C49A8" w:rsidP="00B212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UVMSRules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FA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Rules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Response queue to 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 xml:space="preserve"> module</w:t>
            </w:r>
          </w:p>
        </w:tc>
      </w:tr>
      <w:tr w:rsidR="000C49A8" w:rsidRPr="004C2594" w:rsidTr="00E2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Default="000C49A8" w:rsidP="00B212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UVMSRulesEvent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0C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E27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Rules</w:t>
            </w:r>
            <w:r w:rsidRPr="004C2594">
              <w:rPr>
                <w:sz w:val="18"/>
                <w:szCs w:val="18"/>
              </w:rPr>
              <w:t xml:space="preserve"> service module</w:t>
            </w:r>
          </w:p>
        </w:tc>
      </w:tr>
      <w:tr w:rsidR="000C49A8" w:rsidRPr="004C2594" w:rsidTr="00E27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Default="000C49A8" w:rsidP="00B212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UVMSAssetEvent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</w:t>
            </w:r>
            <w:r>
              <w:rPr>
                <w:sz w:val="18"/>
                <w:szCs w:val="18"/>
              </w:rPr>
              <w:t>sset</w:t>
            </w:r>
            <w:r w:rsidRPr="004C2594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Asset</w:t>
            </w:r>
            <w:r w:rsidRPr="004C2594">
              <w:rPr>
                <w:sz w:val="18"/>
                <w:szCs w:val="18"/>
              </w:rPr>
              <w:t xml:space="preserve"> service module</w:t>
            </w:r>
          </w:p>
        </w:tc>
      </w:tr>
      <w:tr w:rsidR="000C49A8" w:rsidRPr="004C2594" w:rsidTr="00E2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Pr="004C2594" w:rsidRDefault="000C49A8" w:rsidP="00E27706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UVMSAudit</w:t>
            </w:r>
            <w:r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UVMSAuditEvent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service module</w:t>
            </w:r>
          </w:p>
        </w:tc>
      </w:tr>
      <w:tr w:rsidR="000C49A8" w:rsidRPr="004C2594" w:rsidTr="00E27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Pr="004C2594" w:rsidRDefault="000C49A8" w:rsidP="00B212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UVMSConfigEvent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Config</w:t>
            </w:r>
            <w:r w:rsidRPr="004C2594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proofErr w:type="spellStart"/>
            <w:r>
              <w:rPr>
                <w:sz w:val="18"/>
                <w:szCs w:val="18"/>
              </w:rPr>
              <w:t>Config</w:t>
            </w:r>
            <w:proofErr w:type="spellEnd"/>
            <w:r w:rsidRPr="004C2594">
              <w:rPr>
                <w:sz w:val="18"/>
                <w:szCs w:val="18"/>
              </w:rPr>
              <w:t xml:space="preserve"> service module</w:t>
            </w:r>
          </w:p>
        </w:tc>
      </w:tr>
      <w:tr w:rsidR="000C49A8" w:rsidRPr="004C2594" w:rsidTr="00E2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Default="000C49A8" w:rsidP="00B21248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lastRenderedPageBreak/>
              <w:t>UVMS</w:t>
            </w:r>
            <w:r>
              <w:rPr>
                <w:sz w:val="18"/>
                <w:szCs w:val="18"/>
              </w:rPr>
              <w:t>ExchangeEvent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E27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java:/</w:t>
            </w:r>
            <w:proofErr w:type="spellStart"/>
            <w:r>
              <w:rPr>
                <w:sz w:val="18"/>
                <w:szCs w:val="18"/>
              </w:rPr>
              <w:t>jms</w:t>
            </w:r>
            <w:proofErr w:type="spellEnd"/>
            <w:r>
              <w:rPr>
                <w:sz w:val="18"/>
                <w:szCs w:val="18"/>
              </w:rPr>
              <w:t>/queue/</w:t>
            </w:r>
            <w:proofErr w:type="spellStart"/>
            <w:r>
              <w:rPr>
                <w:sz w:val="18"/>
                <w:szCs w:val="18"/>
              </w:rPr>
              <w:t>UVMSExchangeEvent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FA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 queue to Exchange service module</w:t>
            </w:r>
          </w:p>
        </w:tc>
      </w:tr>
      <w:tr w:rsidR="000C49A8" w:rsidRPr="004C2594" w:rsidTr="00E27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Pr="004C2594" w:rsidRDefault="000C49A8" w:rsidP="007654D8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MobileTerminal</w:t>
            </w:r>
            <w:r w:rsidRPr="004C2594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MobileTerminal</w:t>
            </w:r>
            <w:r w:rsidRPr="004C2594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E2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Mobile Terminal</w:t>
            </w:r>
            <w:r w:rsidRPr="004C2594">
              <w:rPr>
                <w:sz w:val="18"/>
                <w:szCs w:val="18"/>
              </w:rPr>
              <w:t xml:space="preserve"> service module</w:t>
            </w:r>
          </w:p>
        </w:tc>
      </w:tr>
      <w:tr w:rsidR="000C49A8" w:rsidRPr="004C2594" w:rsidTr="00E27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Pr="004C2594" w:rsidRDefault="000C49A8" w:rsidP="007654D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UVMSMovementEvent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E27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</w:t>
            </w:r>
            <w:r>
              <w:rPr>
                <w:sz w:val="18"/>
                <w:szCs w:val="18"/>
              </w:rPr>
              <w:t>Movement</w:t>
            </w:r>
            <w:r w:rsidRPr="004C2594">
              <w:rPr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E27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>
              <w:rPr>
                <w:sz w:val="18"/>
                <w:szCs w:val="18"/>
              </w:rPr>
              <w:t>Movement</w:t>
            </w:r>
            <w:r w:rsidRPr="004C2594">
              <w:rPr>
                <w:sz w:val="18"/>
                <w:szCs w:val="18"/>
              </w:rPr>
              <w:t xml:space="preserve"> service module</w:t>
            </w:r>
          </w:p>
        </w:tc>
      </w:tr>
      <w:tr w:rsidR="000C49A8" w:rsidRPr="004C2594" w:rsidTr="00E27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:rsidR="000C49A8" w:rsidRPr="004C2594" w:rsidRDefault="000C49A8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UVMSUserEvent</w:t>
            </w:r>
            <w:proofErr w:type="spellEnd"/>
          </w:p>
        </w:tc>
        <w:tc>
          <w:tcPr>
            <w:tcW w:w="3729" w:type="dxa"/>
          </w:tcPr>
          <w:p w:rsidR="000C49A8" w:rsidRPr="004C2594" w:rsidRDefault="000C49A8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UVMSUserEvent</w:t>
            </w:r>
            <w:proofErr w:type="spellEnd"/>
          </w:p>
        </w:tc>
        <w:tc>
          <w:tcPr>
            <w:tcW w:w="2871" w:type="dxa"/>
          </w:tcPr>
          <w:p w:rsidR="000C49A8" w:rsidRPr="004C2594" w:rsidRDefault="000C49A8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User service module</w:t>
            </w:r>
          </w:p>
        </w:tc>
      </w:tr>
    </w:tbl>
    <w:p w:rsidR="00B21248" w:rsidRPr="004C2594" w:rsidRDefault="00B21248" w:rsidP="00B21248"/>
    <w:p w:rsidR="007400BB" w:rsidRPr="004C2594" w:rsidRDefault="007400BB" w:rsidP="007400BB">
      <w:pPr>
        <w:pStyle w:val="Rubrik3"/>
      </w:pPr>
      <w:bookmarkStart w:id="5" w:name="_Toc441478806"/>
      <w:r w:rsidRPr="004C2594">
        <w:t>Data</w:t>
      </w:r>
      <w:r w:rsidR="000C49A8">
        <w:t xml:space="preserve"> </w:t>
      </w:r>
      <w:r w:rsidRPr="004C2594">
        <w:t>sources</w:t>
      </w:r>
      <w:bookmarkEnd w:id="5"/>
    </w:p>
    <w:p w:rsidR="007400BB" w:rsidRPr="004C2594" w:rsidRDefault="007400BB" w:rsidP="007400BB"/>
    <w:p w:rsidR="007400BB" w:rsidRPr="004C2594" w:rsidRDefault="007400BB" w:rsidP="007400BB">
      <w:r w:rsidRPr="004C2594">
        <w:t xml:space="preserve">The </w:t>
      </w:r>
      <w:r w:rsidR="000C49A8">
        <w:t>JNDI</w:t>
      </w:r>
      <w:r w:rsidRPr="004C2594">
        <w:t xml:space="preserve"> name example is taken from wildfly8.2 application server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161"/>
        <w:gridCol w:w="3386"/>
        <w:gridCol w:w="756"/>
        <w:gridCol w:w="2933"/>
      </w:tblGrid>
      <w:tr w:rsidR="003178B0" w:rsidRPr="004C2594" w:rsidTr="00B4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178B0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338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Jndi</w:t>
            </w:r>
            <w:proofErr w:type="spellEnd"/>
            <w:r w:rsidRPr="004C2594">
              <w:rPr>
                <w:sz w:val="18"/>
                <w:szCs w:val="18"/>
              </w:rPr>
              <w:t xml:space="preserve"> name example</w:t>
            </w:r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3178B0" w:rsidRPr="004C2594" w:rsidTr="00B4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178B0" w:rsidRPr="004C2594" w:rsidRDefault="00360368" w:rsidP="000C49A8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uvms_</w:t>
            </w:r>
            <w:r w:rsidR="000C49A8">
              <w:rPr>
                <w:sz w:val="18"/>
                <w:szCs w:val="18"/>
              </w:rPr>
              <w:t>rules</w:t>
            </w:r>
            <w:proofErr w:type="spellEnd"/>
          </w:p>
        </w:tc>
        <w:tc>
          <w:tcPr>
            <w:tcW w:w="3386" w:type="dxa"/>
          </w:tcPr>
          <w:p w:rsidR="003178B0" w:rsidRPr="004C2594" w:rsidRDefault="00360368" w:rsidP="000C4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java:jboss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datasources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uvms_</w:t>
            </w:r>
            <w:r w:rsidR="000C49A8">
              <w:rPr>
                <w:sz w:val="18"/>
                <w:szCs w:val="18"/>
              </w:rPr>
              <w:t>rules</w:t>
            </w:r>
            <w:proofErr w:type="spellEnd"/>
          </w:p>
        </w:tc>
        <w:tc>
          <w:tcPr>
            <w:tcW w:w="756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33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400BB" w:rsidRPr="004C2594" w:rsidRDefault="007400BB" w:rsidP="007400BB"/>
    <w:p w:rsidR="00B21248" w:rsidRPr="004C2594" w:rsidRDefault="00B21248" w:rsidP="00B21248">
      <w:pPr>
        <w:pStyle w:val="Rubrik2"/>
      </w:pPr>
      <w:bookmarkStart w:id="6" w:name="_Toc441478807"/>
      <w:r w:rsidRPr="004C2594">
        <w:t>Tested compa</w:t>
      </w:r>
      <w:r w:rsidR="000C49A8">
        <w:t>ti</w:t>
      </w:r>
      <w:r w:rsidRPr="004C2594">
        <w:t>bilities</w:t>
      </w:r>
      <w:bookmarkEnd w:id="6"/>
    </w:p>
    <w:p w:rsidR="0040019E" w:rsidRPr="004C2594" w:rsidRDefault="0040019E" w:rsidP="0040019E"/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40019E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Application</w:t>
            </w:r>
            <w:r w:rsidR="000C49A8">
              <w:rPr>
                <w:sz w:val="18"/>
                <w:szCs w:val="18"/>
              </w:rPr>
              <w:t xml:space="preserve"> </w:t>
            </w:r>
            <w:r w:rsidRPr="004C2594">
              <w:rPr>
                <w:sz w:val="18"/>
                <w:szCs w:val="18"/>
              </w:rPr>
              <w:t>server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4C2594">
              <w:rPr>
                <w:b w:val="0"/>
                <w:sz w:val="18"/>
                <w:szCs w:val="18"/>
              </w:rPr>
              <w:t>Wildfly</w:t>
            </w:r>
            <w:proofErr w:type="spellEnd"/>
            <w:r w:rsidRPr="004C2594">
              <w:rPr>
                <w:b w:val="0"/>
                <w:sz w:val="18"/>
                <w:szCs w:val="18"/>
              </w:rPr>
              <w:t xml:space="preserve"> 8.1</w:t>
            </w:r>
          </w:p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proofErr w:type="spellStart"/>
            <w:r w:rsidRPr="004C2594">
              <w:rPr>
                <w:b w:val="0"/>
                <w:sz w:val="18"/>
                <w:szCs w:val="18"/>
              </w:rPr>
              <w:t>Wildfly</w:t>
            </w:r>
            <w:proofErr w:type="spellEnd"/>
            <w:r w:rsidRPr="004C2594">
              <w:rPr>
                <w:b w:val="0"/>
                <w:sz w:val="18"/>
                <w:szCs w:val="18"/>
              </w:rPr>
              <w:t xml:space="preserve"> 8.2</w:t>
            </w:r>
          </w:p>
        </w:tc>
      </w:tr>
      <w:tr w:rsidR="0040019E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Database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Postgres</w:t>
            </w:r>
            <w:proofErr w:type="spellEnd"/>
            <w:r w:rsidRPr="004C2594">
              <w:rPr>
                <w:sz w:val="18"/>
                <w:szCs w:val="18"/>
              </w:rPr>
              <w:t xml:space="preserve"> </w:t>
            </w:r>
            <w:r w:rsidR="007400BB" w:rsidRPr="004C2594">
              <w:rPr>
                <w:sz w:val="18"/>
                <w:szCs w:val="18"/>
              </w:rPr>
              <w:t>9.4.4</w:t>
            </w:r>
          </w:p>
        </w:tc>
      </w:tr>
      <w:tr w:rsidR="0040019E" w:rsidRPr="004C2594" w:rsidTr="00740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JMS provider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ActiveMq</w:t>
            </w:r>
            <w:proofErr w:type="spellEnd"/>
            <w:r w:rsidRPr="004C2594">
              <w:rPr>
                <w:sz w:val="18"/>
                <w:szCs w:val="18"/>
              </w:rPr>
              <w:t xml:space="preserve"> </w:t>
            </w:r>
            <w:r w:rsidR="007400BB" w:rsidRPr="004C2594">
              <w:rPr>
                <w:sz w:val="18"/>
                <w:szCs w:val="18"/>
              </w:rPr>
              <w:t>5.0</w:t>
            </w:r>
          </w:p>
        </w:tc>
      </w:tr>
    </w:tbl>
    <w:p w:rsidR="007400BB" w:rsidRPr="004C2594" w:rsidRDefault="007400BB" w:rsidP="0040019E"/>
    <w:p w:rsidR="007400BB" w:rsidRPr="004C2594" w:rsidRDefault="007400BB"/>
    <w:p w:rsidR="000818AE" w:rsidRPr="004C2594" w:rsidRDefault="000818AE" w:rsidP="000818AE">
      <w:pPr>
        <w:pStyle w:val="Rubrik2"/>
      </w:pPr>
      <w:bookmarkStart w:id="7" w:name="_Toc441478808"/>
      <w:r w:rsidRPr="004C2594">
        <w:t>Available app modules</w:t>
      </w:r>
      <w:bookmarkEnd w:id="7"/>
    </w:p>
    <w:p w:rsidR="000818AE" w:rsidRPr="004C2594" w:rsidRDefault="000818AE" w:rsidP="000818AE"/>
    <w:p w:rsidR="000818AE" w:rsidRPr="004C2594" w:rsidRDefault="000818AE" w:rsidP="000818AE">
      <w:r w:rsidRPr="004C2594">
        <w:t>All database modules can be found under the DB folder</w:t>
      </w:r>
    </w:p>
    <w:p w:rsidR="000818AE" w:rsidRPr="004C2594" w:rsidRDefault="000818AE" w:rsidP="000818AE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0818AE" w:rsidRPr="004C2594" w:rsidTr="00342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0818AE" w:rsidP="00342C0A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0818AE" w:rsidRPr="004C2594" w:rsidRDefault="000818AE" w:rsidP="0034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0818AE" w:rsidRPr="004C2594" w:rsidTr="00342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0C49A8" w:rsidP="00342C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rules</w:t>
            </w:r>
            <w:r w:rsidR="000818AE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0818AE" w:rsidRPr="004C2594" w:rsidRDefault="004C2594" w:rsidP="0028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Provide the interface to REST-</w:t>
            </w:r>
            <w:r w:rsidR="00C20BCE"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 xml:space="preserve"> and </w:t>
            </w:r>
            <w:r w:rsidR="00282EA0">
              <w:rPr>
                <w:sz w:val="18"/>
                <w:szCs w:val="18"/>
              </w:rPr>
              <w:t>message queuing  service</w:t>
            </w:r>
          </w:p>
        </w:tc>
      </w:tr>
    </w:tbl>
    <w:p w:rsidR="0040019E" w:rsidRPr="004C2594" w:rsidRDefault="007400BB" w:rsidP="007400BB">
      <w:pPr>
        <w:pStyle w:val="Rubrik2"/>
      </w:pPr>
      <w:bookmarkStart w:id="8" w:name="_Toc441478809"/>
      <w:r w:rsidRPr="004C2594">
        <w:t>Available database modules</w:t>
      </w:r>
      <w:bookmarkEnd w:id="8"/>
    </w:p>
    <w:p w:rsidR="007400BB" w:rsidRPr="004C2594" w:rsidRDefault="007400BB" w:rsidP="007400BB"/>
    <w:p w:rsidR="007400BB" w:rsidRPr="004C2594" w:rsidRDefault="007400BB" w:rsidP="007400BB">
      <w:r w:rsidRPr="004C2594">
        <w:t>All database modules can be found under the DB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7400B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740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24517A" w:rsidP="007400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rules</w:t>
            </w:r>
            <w:r w:rsidR="000818AE" w:rsidRPr="004C2594">
              <w:rPr>
                <w:sz w:val="18"/>
                <w:szCs w:val="18"/>
              </w:rPr>
              <w:t>-</w:t>
            </w:r>
            <w:proofErr w:type="spellStart"/>
            <w:r w:rsidR="000818AE" w:rsidRPr="004C2594">
              <w:rPr>
                <w:sz w:val="18"/>
                <w:szCs w:val="18"/>
              </w:rPr>
              <w:t>dbaccess</w:t>
            </w:r>
            <w:proofErr w:type="spellEnd"/>
            <w:r w:rsidR="00563EAD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7400BB" w:rsidRPr="004C2594" w:rsidRDefault="004C2594" w:rsidP="0074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the interface</w:t>
            </w:r>
            <w:r w:rsidRPr="004C2594">
              <w:rPr>
                <w:sz w:val="18"/>
                <w:szCs w:val="18"/>
              </w:rPr>
              <w:t xml:space="preserve"> to the database </w:t>
            </w:r>
          </w:p>
        </w:tc>
      </w:tr>
    </w:tbl>
    <w:p w:rsidR="007400BB" w:rsidRPr="004C2594" w:rsidRDefault="007400BB" w:rsidP="007400BB"/>
    <w:p w:rsidR="007400BB" w:rsidRPr="004C2594" w:rsidRDefault="007400BB" w:rsidP="007400BB">
      <w:pPr>
        <w:pStyle w:val="Rubrik3"/>
      </w:pPr>
      <w:bookmarkStart w:id="9" w:name="_Toc441478810"/>
      <w:r w:rsidRPr="004C2594">
        <w:t>Available proxy modules</w:t>
      </w:r>
      <w:bookmarkEnd w:id="9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proxy</w:t>
      </w:r>
      <w:r w:rsidRPr="004C2594">
        <w:t xml:space="preserve"> modules can be found under the </w:t>
      </w:r>
      <w:r w:rsidR="005F6C61" w:rsidRPr="004C2594">
        <w:t>PROXY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FE4535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7400BB" w:rsidRPr="004C2594" w:rsidRDefault="00FE4535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3096A" w:rsidRPr="004C2594" w:rsidTr="009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B3096A" w:rsidRPr="00FE4535" w:rsidRDefault="00FE4535" w:rsidP="00FE4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B3096A" w:rsidRDefault="00FE4535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:rsidR="007400BB" w:rsidRPr="004C2594" w:rsidRDefault="007400BB" w:rsidP="007400BB"/>
    <w:p w:rsidR="007400BB" w:rsidRPr="004C2594" w:rsidRDefault="007400BB" w:rsidP="007400BB">
      <w:pPr>
        <w:pStyle w:val="Rubrik3"/>
      </w:pPr>
      <w:bookmarkStart w:id="10" w:name="_Toc441478811"/>
      <w:r w:rsidRPr="004C2594">
        <w:t>Ava</w:t>
      </w:r>
      <w:r w:rsidR="000C49A8">
        <w:t>i</w:t>
      </w:r>
      <w:r w:rsidRPr="004C2594">
        <w:t>lable plugin modules</w:t>
      </w:r>
      <w:bookmarkEnd w:id="10"/>
    </w:p>
    <w:p w:rsidR="007400BB" w:rsidRPr="004C2594" w:rsidRDefault="007400BB" w:rsidP="007400BB"/>
    <w:p w:rsidR="007400BB" w:rsidRPr="004C2594" w:rsidRDefault="007400BB" w:rsidP="007400BB">
      <w:r w:rsidRPr="004C2594">
        <w:lastRenderedPageBreak/>
        <w:t xml:space="preserve">All </w:t>
      </w:r>
      <w:r w:rsidR="005F6C61" w:rsidRPr="004C2594">
        <w:t>plugin</w:t>
      </w:r>
      <w:r w:rsidRPr="004C2594">
        <w:t xml:space="preserve"> modules can be found under the </w:t>
      </w:r>
      <w:r w:rsidR="005F6C61" w:rsidRPr="004C2594">
        <w:t>PLUGIN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F06256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7400BB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:rsidR="007400BB" w:rsidRPr="004C2594" w:rsidRDefault="007400BB" w:rsidP="007400BB"/>
    <w:p w:rsidR="006F422D" w:rsidRPr="004C2594" w:rsidRDefault="006F422D" w:rsidP="006F422D">
      <w:pPr>
        <w:pStyle w:val="Rubrik3"/>
      </w:pPr>
      <w:bookmarkStart w:id="11" w:name="_Toc441478812"/>
      <w:proofErr w:type="spellStart"/>
      <w:r w:rsidRPr="004C2594">
        <w:t>Liquibase</w:t>
      </w:r>
      <w:proofErr w:type="spellEnd"/>
      <w:r w:rsidRPr="004C2594">
        <w:t xml:space="preserve"> – database compa</w:t>
      </w:r>
      <w:r w:rsidR="000C49A8">
        <w:t>ti</w:t>
      </w:r>
      <w:r w:rsidRPr="004C2594">
        <w:t>bility</w:t>
      </w:r>
      <w:bookmarkEnd w:id="11"/>
    </w:p>
    <w:p w:rsidR="006F422D" w:rsidRPr="004C2594" w:rsidRDefault="006F422D" w:rsidP="006F422D"/>
    <w:p w:rsidR="006F422D" w:rsidRPr="004C2594" w:rsidRDefault="006F422D" w:rsidP="006F422D">
      <w:r w:rsidRPr="004C2594">
        <w:t xml:space="preserve">All </w:t>
      </w:r>
      <w:proofErr w:type="spellStart"/>
      <w:r w:rsidRPr="004C2594">
        <w:t>Liquibase</w:t>
      </w:r>
      <w:proofErr w:type="spellEnd"/>
      <w:r w:rsidRPr="004C2594">
        <w:t xml:space="preserve"> scripts can be found under the LIQUIBASE folder</w:t>
      </w:r>
    </w:p>
    <w:p w:rsidR="006F422D" w:rsidRPr="004C2594" w:rsidRDefault="006F422D" w:rsidP="006F422D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6F422D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6F422D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6F422D" w:rsidRPr="004C2594" w:rsidRDefault="006F422D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6F422D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F06256" w:rsidP="009237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Postgres</w:t>
            </w:r>
            <w:proofErr w:type="spellEnd"/>
          </w:p>
        </w:tc>
        <w:tc>
          <w:tcPr>
            <w:tcW w:w="4618" w:type="dxa"/>
          </w:tcPr>
          <w:p w:rsidR="006F422D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9.4.4 with </w:t>
            </w:r>
            <w:proofErr w:type="spellStart"/>
            <w:r>
              <w:rPr>
                <w:sz w:val="18"/>
                <w:szCs w:val="18"/>
              </w:rPr>
              <w:t>PostGis</w:t>
            </w:r>
            <w:proofErr w:type="spellEnd"/>
            <w:r>
              <w:rPr>
                <w:sz w:val="18"/>
                <w:szCs w:val="18"/>
              </w:rPr>
              <w:t xml:space="preserve"> extension</w:t>
            </w:r>
          </w:p>
        </w:tc>
      </w:tr>
    </w:tbl>
    <w:p w:rsidR="006F422D" w:rsidRPr="004C2594" w:rsidRDefault="006F422D" w:rsidP="006F422D"/>
    <w:sectPr w:rsidR="006F422D" w:rsidRPr="004C2594" w:rsidSect="00B05B93">
      <w:headerReference w:type="default" r:id="rId10"/>
      <w:footerReference w:type="default" r:id="rId11"/>
      <w:pgSz w:w="11900" w:h="16840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2A" w:rsidRDefault="0006102A" w:rsidP="00B05B93">
      <w:r>
        <w:separator/>
      </w:r>
    </w:p>
  </w:endnote>
  <w:endnote w:type="continuationSeparator" w:id="0">
    <w:p w:rsidR="0006102A" w:rsidRDefault="0006102A" w:rsidP="00B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fot"/>
      <w:ind w:left="-567"/>
    </w:pPr>
    <w:r w:rsidRPr="004A291C">
      <w:rPr>
        <w:rFonts w:ascii="Helvetica" w:hAnsi="Helvetica"/>
        <w:color w:val="262626" w:themeColor="text1" w:themeTint="D9"/>
        <w:sz w:val="18"/>
        <w:szCs w:val="18"/>
        <w:lang w:val="sv-SE"/>
      </w:rPr>
      <w:t xml:space="preserve">Havs- och vattenmyndigheten - Gullbergs Strandgata 15, Box 11 930, 404 39 Göteborg. </w:t>
    </w:r>
    <w:r w:rsidRPr="00BE175B">
      <w:rPr>
        <w:rFonts w:ascii="Helvetica" w:hAnsi="Helvetica"/>
        <w:color w:val="262626" w:themeColor="text1" w:themeTint="D9"/>
        <w:sz w:val="18"/>
        <w:szCs w:val="18"/>
      </w:rPr>
      <w:t>Tel: 010-698 60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2A" w:rsidRDefault="0006102A" w:rsidP="00B05B93">
      <w:r>
        <w:separator/>
      </w:r>
    </w:p>
  </w:footnote>
  <w:footnote w:type="continuationSeparator" w:id="0">
    <w:p w:rsidR="0006102A" w:rsidRDefault="0006102A" w:rsidP="00B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huvud"/>
      <w:ind w:left="-567"/>
    </w:pPr>
    <w:r>
      <w:rPr>
        <w:noProof/>
        <w:lang w:val="sv-SE" w:eastAsia="sv-SE"/>
      </w:rPr>
      <w:drawing>
        <wp:inline distT="0" distB="0" distL="0" distR="0" wp14:anchorId="51E28C90" wp14:editId="7B374AAC">
          <wp:extent cx="1864895" cy="418250"/>
          <wp:effectExtent l="0" t="0" r="0" b="0"/>
          <wp:docPr id="1" name="Picture 1" descr="Macintosh HD:Users:rux:Dropbox:af_work:HAV:UnionVMS:Design:GraphicAssets:logo_bi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ux:Dropbox:af_work:HAV:UnionVMS:Design:GraphicAssets:logo_big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49" cy="41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B2907"/>
    <w:multiLevelType w:val="hybridMultilevel"/>
    <w:tmpl w:val="3DFEB5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15947"/>
    <w:multiLevelType w:val="hybridMultilevel"/>
    <w:tmpl w:val="A24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E49DC"/>
    <w:multiLevelType w:val="hybridMultilevel"/>
    <w:tmpl w:val="768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12401"/>
    <w:multiLevelType w:val="hybridMultilevel"/>
    <w:tmpl w:val="11CE823C"/>
    <w:lvl w:ilvl="0" w:tplc="72186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A1B1D"/>
    <w:multiLevelType w:val="hybridMultilevel"/>
    <w:tmpl w:val="AD4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322FF"/>
    <w:multiLevelType w:val="hybridMultilevel"/>
    <w:tmpl w:val="CD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571E"/>
    <w:multiLevelType w:val="hybridMultilevel"/>
    <w:tmpl w:val="EE2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13E93"/>
    <w:multiLevelType w:val="hybridMultilevel"/>
    <w:tmpl w:val="C15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A26"/>
    <w:multiLevelType w:val="hybridMultilevel"/>
    <w:tmpl w:val="B7E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B4A5D"/>
    <w:multiLevelType w:val="hybridMultilevel"/>
    <w:tmpl w:val="0A6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11F72"/>
    <w:multiLevelType w:val="hybridMultilevel"/>
    <w:tmpl w:val="263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3"/>
    <w:rsid w:val="000226C1"/>
    <w:rsid w:val="0002404A"/>
    <w:rsid w:val="0006102A"/>
    <w:rsid w:val="000818AE"/>
    <w:rsid w:val="0009706D"/>
    <w:rsid w:val="000A31F9"/>
    <w:rsid w:val="000B0EFC"/>
    <w:rsid w:val="000B671B"/>
    <w:rsid w:val="000C347D"/>
    <w:rsid w:val="000C49A8"/>
    <w:rsid w:val="000D15C1"/>
    <w:rsid w:val="000F699A"/>
    <w:rsid w:val="00112757"/>
    <w:rsid w:val="0013133E"/>
    <w:rsid w:val="00145DD8"/>
    <w:rsid w:val="00184422"/>
    <w:rsid w:val="0019189D"/>
    <w:rsid w:val="00196FA3"/>
    <w:rsid w:val="001A107E"/>
    <w:rsid w:val="001B4433"/>
    <w:rsid w:val="002215D1"/>
    <w:rsid w:val="0024517A"/>
    <w:rsid w:val="00254BA2"/>
    <w:rsid w:val="00282EA0"/>
    <w:rsid w:val="0029159C"/>
    <w:rsid w:val="0029574F"/>
    <w:rsid w:val="00297946"/>
    <w:rsid w:val="002A0097"/>
    <w:rsid w:val="002B5277"/>
    <w:rsid w:val="002C188D"/>
    <w:rsid w:val="002C1EA4"/>
    <w:rsid w:val="002D2657"/>
    <w:rsid w:val="002E7CE7"/>
    <w:rsid w:val="002F4908"/>
    <w:rsid w:val="003178B0"/>
    <w:rsid w:val="00335E4A"/>
    <w:rsid w:val="00346F47"/>
    <w:rsid w:val="00347308"/>
    <w:rsid w:val="00355DFB"/>
    <w:rsid w:val="00360368"/>
    <w:rsid w:val="00362B82"/>
    <w:rsid w:val="00365A03"/>
    <w:rsid w:val="0037780B"/>
    <w:rsid w:val="00384810"/>
    <w:rsid w:val="00387423"/>
    <w:rsid w:val="003A7AF6"/>
    <w:rsid w:val="003B6D52"/>
    <w:rsid w:val="003D70FB"/>
    <w:rsid w:val="0040019E"/>
    <w:rsid w:val="00417A36"/>
    <w:rsid w:val="004225D4"/>
    <w:rsid w:val="00435898"/>
    <w:rsid w:val="00455C43"/>
    <w:rsid w:val="00461EED"/>
    <w:rsid w:val="00464674"/>
    <w:rsid w:val="004775FE"/>
    <w:rsid w:val="004A291C"/>
    <w:rsid w:val="004A538D"/>
    <w:rsid w:val="004B369E"/>
    <w:rsid w:val="004C2594"/>
    <w:rsid w:val="004C6CC8"/>
    <w:rsid w:val="00505042"/>
    <w:rsid w:val="00517385"/>
    <w:rsid w:val="00517836"/>
    <w:rsid w:val="00520F66"/>
    <w:rsid w:val="00522C08"/>
    <w:rsid w:val="0054703D"/>
    <w:rsid w:val="00560ED7"/>
    <w:rsid w:val="00563EAD"/>
    <w:rsid w:val="005A21E3"/>
    <w:rsid w:val="005A25A7"/>
    <w:rsid w:val="005C7B5F"/>
    <w:rsid w:val="005E164B"/>
    <w:rsid w:val="005E6D03"/>
    <w:rsid w:val="005F6C61"/>
    <w:rsid w:val="00603BDD"/>
    <w:rsid w:val="00604ACE"/>
    <w:rsid w:val="0061213B"/>
    <w:rsid w:val="00612957"/>
    <w:rsid w:val="006257F6"/>
    <w:rsid w:val="0064752F"/>
    <w:rsid w:val="00650A76"/>
    <w:rsid w:val="00652860"/>
    <w:rsid w:val="00655CD8"/>
    <w:rsid w:val="00664E4E"/>
    <w:rsid w:val="00665BC7"/>
    <w:rsid w:val="00696953"/>
    <w:rsid w:val="00696C55"/>
    <w:rsid w:val="0069796E"/>
    <w:rsid w:val="006A3665"/>
    <w:rsid w:val="006B12A5"/>
    <w:rsid w:val="006B38EE"/>
    <w:rsid w:val="006E6B9F"/>
    <w:rsid w:val="006F08B9"/>
    <w:rsid w:val="006F357F"/>
    <w:rsid w:val="006F422D"/>
    <w:rsid w:val="00711D6F"/>
    <w:rsid w:val="00713D60"/>
    <w:rsid w:val="00714CCE"/>
    <w:rsid w:val="00717798"/>
    <w:rsid w:val="00722969"/>
    <w:rsid w:val="007362F9"/>
    <w:rsid w:val="007400BB"/>
    <w:rsid w:val="00740626"/>
    <w:rsid w:val="00741FD1"/>
    <w:rsid w:val="0075790A"/>
    <w:rsid w:val="0076306B"/>
    <w:rsid w:val="007654D8"/>
    <w:rsid w:val="007758FB"/>
    <w:rsid w:val="00791EEB"/>
    <w:rsid w:val="007A35E1"/>
    <w:rsid w:val="007A5407"/>
    <w:rsid w:val="007B0191"/>
    <w:rsid w:val="007B0846"/>
    <w:rsid w:val="007B1C19"/>
    <w:rsid w:val="007C0747"/>
    <w:rsid w:val="007D7AF9"/>
    <w:rsid w:val="007E3F5C"/>
    <w:rsid w:val="007F47A0"/>
    <w:rsid w:val="007F4CC6"/>
    <w:rsid w:val="00835139"/>
    <w:rsid w:val="008406B0"/>
    <w:rsid w:val="00846E44"/>
    <w:rsid w:val="00855A1B"/>
    <w:rsid w:val="00861AC4"/>
    <w:rsid w:val="008638E5"/>
    <w:rsid w:val="00867D52"/>
    <w:rsid w:val="00871726"/>
    <w:rsid w:val="00887A45"/>
    <w:rsid w:val="008A3BC6"/>
    <w:rsid w:val="008A70FB"/>
    <w:rsid w:val="008C2B44"/>
    <w:rsid w:val="008E43CF"/>
    <w:rsid w:val="00905D13"/>
    <w:rsid w:val="00910E1F"/>
    <w:rsid w:val="00915BEE"/>
    <w:rsid w:val="009822B6"/>
    <w:rsid w:val="00986C2F"/>
    <w:rsid w:val="00990054"/>
    <w:rsid w:val="00992101"/>
    <w:rsid w:val="009A6492"/>
    <w:rsid w:val="009A768B"/>
    <w:rsid w:val="009B1424"/>
    <w:rsid w:val="009B3F4C"/>
    <w:rsid w:val="009C4B19"/>
    <w:rsid w:val="009C51FC"/>
    <w:rsid w:val="009D3E91"/>
    <w:rsid w:val="009D53AE"/>
    <w:rsid w:val="00A115F7"/>
    <w:rsid w:val="00A11BA6"/>
    <w:rsid w:val="00A2070A"/>
    <w:rsid w:val="00A2198E"/>
    <w:rsid w:val="00A37207"/>
    <w:rsid w:val="00A503D9"/>
    <w:rsid w:val="00A66B01"/>
    <w:rsid w:val="00A86ED9"/>
    <w:rsid w:val="00A87ACF"/>
    <w:rsid w:val="00A94E7E"/>
    <w:rsid w:val="00A9653B"/>
    <w:rsid w:val="00AA1D8C"/>
    <w:rsid w:val="00AB1A5D"/>
    <w:rsid w:val="00AC0232"/>
    <w:rsid w:val="00AC4C87"/>
    <w:rsid w:val="00AD3029"/>
    <w:rsid w:val="00AE2F1A"/>
    <w:rsid w:val="00AF2950"/>
    <w:rsid w:val="00B04048"/>
    <w:rsid w:val="00B0496A"/>
    <w:rsid w:val="00B05B93"/>
    <w:rsid w:val="00B16CF6"/>
    <w:rsid w:val="00B21248"/>
    <w:rsid w:val="00B3096A"/>
    <w:rsid w:val="00B41E35"/>
    <w:rsid w:val="00B4460A"/>
    <w:rsid w:val="00B44E6F"/>
    <w:rsid w:val="00B55107"/>
    <w:rsid w:val="00B60D77"/>
    <w:rsid w:val="00B64792"/>
    <w:rsid w:val="00B87BEE"/>
    <w:rsid w:val="00B930A5"/>
    <w:rsid w:val="00BB49AE"/>
    <w:rsid w:val="00BC0778"/>
    <w:rsid w:val="00BC3ECD"/>
    <w:rsid w:val="00BD697D"/>
    <w:rsid w:val="00BE6038"/>
    <w:rsid w:val="00BE7E51"/>
    <w:rsid w:val="00C07778"/>
    <w:rsid w:val="00C20BCE"/>
    <w:rsid w:val="00C27852"/>
    <w:rsid w:val="00C339E3"/>
    <w:rsid w:val="00C4745C"/>
    <w:rsid w:val="00C62F8D"/>
    <w:rsid w:val="00C774E5"/>
    <w:rsid w:val="00C806A3"/>
    <w:rsid w:val="00C9582E"/>
    <w:rsid w:val="00CB1E9A"/>
    <w:rsid w:val="00CE1106"/>
    <w:rsid w:val="00CF2845"/>
    <w:rsid w:val="00D101C2"/>
    <w:rsid w:val="00D131EB"/>
    <w:rsid w:val="00D13C91"/>
    <w:rsid w:val="00D17EF3"/>
    <w:rsid w:val="00D2586C"/>
    <w:rsid w:val="00D2690B"/>
    <w:rsid w:val="00D27A90"/>
    <w:rsid w:val="00D44C33"/>
    <w:rsid w:val="00D5300E"/>
    <w:rsid w:val="00D60B64"/>
    <w:rsid w:val="00D806D9"/>
    <w:rsid w:val="00D91E73"/>
    <w:rsid w:val="00D949E0"/>
    <w:rsid w:val="00DD381A"/>
    <w:rsid w:val="00DF72FD"/>
    <w:rsid w:val="00E05329"/>
    <w:rsid w:val="00E06CBB"/>
    <w:rsid w:val="00E27706"/>
    <w:rsid w:val="00E47AEA"/>
    <w:rsid w:val="00E61213"/>
    <w:rsid w:val="00E61524"/>
    <w:rsid w:val="00E6405E"/>
    <w:rsid w:val="00E70C80"/>
    <w:rsid w:val="00E745EC"/>
    <w:rsid w:val="00E75F14"/>
    <w:rsid w:val="00E85149"/>
    <w:rsid w:val="00E93D6D"/>
    <w:rsid w:val="00EB02D9"/>
    <w:rsid w:val="00EB091E"/>
    <w:rsid w:val="00EB240D"/>
    <w:rsid w:val="00ED431B"/>
    <w:rsid w:val="00ED4833"/>
    <w:rsid w:val="00EE0548"/>
    <w:rsid w:val="00EE3595"/>
    <w:rsid w:val="00EF29C0"/>
    <w:rsid w:val="00F00D24"/>
    <w:rsid w:val="00F06256"/>
    <w:rsid w:val="00F1398B"/>
    <w:rsid w:val="00F23ED7"/>
    <w:rsid w:val="00F2584B"/>
    <w:rsid w:val="00F314BC"/>
    <w:rsid w:val="00F35FC2"/>
    <w:rsid w:val="00F4006E"/>
    <w:rsid w:val="00F40560"/>
    <w:rsid w:val="00F43376"/>
    <w:rsid w:val="00F452DF"/>
    <w:rsid w:val="00F47DEA"/>
    <w:rsid w:val="00F50B97"/>
    <w:rsid w:val="00F54C93"/>
    <w:rsid w:val="00F57901"/>
    <w:rsid w:val="00F6169C"/>
    <w:rsid w:val="00F72992"/>
    <w:rsid w:val="00F745A9"/>
    <w:rsid w:val="00F80163"/>
    <w:rsid w:val="00F812D7"/>
    <w:rsid w:val="00F817F2"/>
    <w:rsid w:val="00FC3BF3"/>
    <w:rsid w:val="00FC4722"/>
    <w:rsid w:val="00FD2D38"/>
    <w:rsid w:val="00FE097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4775FE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E47AE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4775FE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E47A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532C0-2D16-439E-9DE2-7423BEE6A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831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UnionVms</vt:lpstr>
    </vt:vector>
  </TitlesOfParts>
  <Company>Havs- och vattenmyndigheten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UnionVms</dc:title>
  <dc:creator>Anders Thoresson</dc:creator>
  <cp:lastModifiedBy>andtho</cp:lastModifiedBy>
  <cp:revision>179</cp:revision>
  <dcterms:created xsi:type="dcterms:W3CDTF">2016-01-18T07:39:00Z</dcterms:created>
  <dcterms:modified xsi:type="dcterms:W3CDTF">2016-01-25T09:01:00Z</dcterms:modified>
</cp:coreProperties>
</file>