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Rule="auto"/>
        <w:jc w:val="both"/>
        <w:rPr/>
      </w:pPr>
      <w:bookmarkStart w:colFirst="0" w:colLast="0" w:name="_8o4awhp1w3lr" w:id="0"/>
      <w:bookmarkEnd w:id="0"/>
      <w:r w:rsidDel="00000000" w:rsidR="00000000" w:rsidRPr="00000000">
        <w:rPr>
          <w:rtl w:val="0"/>
        </w:rPr>
        <w:t xml:space="preserve">FloodLAMP assay cart drawer arrangement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Contents of each of the four drawers to be used in the FloodLAMP assay cart are as described and illustrated in the sections below.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STRIPS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PLATES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Drawer 1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48 Strip-of-8 tubes in tip box (2)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12 Strip-of-8 caps in 50 mL Falcon tubes (8)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50 1.5mL snap cap tubes in cryobox (1)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Drawer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48 Strip-of-8 tubes in tip box (2)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12 Strip-of-8 caps in 50 mL Falcon tubes (8)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50 1.5mL snap cap tubes in cryobox (1)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Drawer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1.5mL tube rack (1)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Flipper rack (1)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Versirack (1)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PCR racks (2)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Razor blades 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Drawer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1.5mL tube rack (2)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Flipper rack (1)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Versirack (1)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PCR racks (2)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Razor blades (10)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Drawer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Saline filled Falcon tubes (15)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Saline filled 30mL Chub tubes (5)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100X Inactivation Solution (1)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50mL Falcon tubes (10)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Drawer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Pipette 100-1000uL (1)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Pipette 10-100uL (1)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Pipette fixed 2uL (1)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1000uL tips (1)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200uL tips (1)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10uL tips (1)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Saline filled Falcon tubes (15)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Saline filled 30mL Chub tubes (5)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100X Inactivation Solution (1)</w:t>
            </w:r>
          </w:p>
        </w:tc>
      </w:tr>
      <w:tr>
        <w:trPr>
          <w:cantSplit w:val="0"/>
          <w:trHeight w:val="29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Drawer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Pipette 100-1000uL (1)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Pipette 10-100uL (1)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Pipette fixed 2uL (1)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8 channel pipette (1)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Reagent reservoirs (5)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1000uL tips (1)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200uL tips (1)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10uL tips (1)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Drawer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8 channel pipette (1)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Reagent reservoirs (5)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PCR Plates (10)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Plate Seals (10)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Plate Roller (10)</w:t>
            </w:r>
          </w:p>
        </w:tc>
      </w:tr>
    </w:tbl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20" w:lineRule="auto"/>
        <w:jc w:val="both"/>
        <w:rPr/>
      </w:pPr>
      <w:bookmarkStart w:colFirst="0" w:colLast="0" w:name="_7xb16ug6mi4o" w:id="1"/>
      <w:bookmarkEnd w:id="1"/>
      <w:r w:rsidDel="00000000" w:rsidR="00000000" w:rsidRPr="00000000">
        <w:rPr>
          <w:rtl w:val="0"/>
        </w:rPr>
        <w:t xml:space="preserve">Drawer 1</w:t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10263" cy="789025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263" cy="789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line="240" w:lineRule="auto"/>
        <w:rPr/>
      </w:pPr>
      <w:bookmarkStart w:colFirst="0" w:colLast="0" w:name="_oagox3v1c5hm" w:id="2"/>
      <w:bookmarkEnd w:id="2"/>
      <w:r w:rsidDel="00000000" w:rsidR="00000000" w:rsidRPr="00000000">
        <w:rPr>
          <w:rtl w:val="0"/>
        </w:rPr>
        <w:t xml:space="preserve">Drawer 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834063" cy="777875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777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npcx9yeqxp3w" w:id="3"/>
      <w:bookmarkEnd w:id="3"/>
      <w:r w:rsidDel="00000000" w:rsidR="00000000" w:rsidRPr="00000000">
        <w:rPr>
          <w:rtl w:val="0"/>
        </w:rPr>
        <w:t xml:space="preserve">Drawer 3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0028" cy="7920038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28" cy="7920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5ps8cpr3cmwy" w:id="4"/>
      <w:bookmarkEnd w:id="4"/>
      <w:r w:rsidDel="00000000" w:rsidR="00000000" w:rsidRPr="00000000">
        <w:rPr>
          <w:rtl w:val="0"/>
        </w:rPr>
        <w:t xml:space="preserve">Drawer 4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886450" cy="783907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84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783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080" w:top="1080" w:left="1080" w:right="1080" w:header="720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8">
    <w:pPr>
      <w:jc w:val="both"/>
      <w:rPr>
        <w:rFonts w:ascii="Poppins" w:cs="Poppins" w:eastAsia="Poppins" w:hAnsi="Poppins"/>
        <w:sz w:val="18"/>
        <w:szCs w:val="18"/>
      </w:rPr>
    </w:pPr>
    <w:r w:rsidDel="00000000" w:rsidR="00000000" w:rsidRPr="00000000">
      <w:rPr>
        <w:rFonts w:ascii="Poppins" w:cs="Poppins" w:eastAsia="Poppins" w:hAnsi="Poppins"/>
        <w:b w:val="1"/>
        <w:sz w:val="18"/>
        <w:szCs w:val="18"/>
        <w:rtl w:val="0"/>
      </w:rPr>
      <w:t xml:space="preserve">FloodLAMP Biotechnologies</w:t>
    </w:r>
    <w:r w:rsidDel="00000000" w:rsidR="00000000" w:rsidRPr="00000000">
      <w:rPr>
        <w:rFonts w:ascii="Poppins" w:cs="Poppins" w:eastAsia="Poppins" w:hAnsi="Poppins"/>
        <w:sz w:val="18"/>
        <w:szCs w:val="18"/>
        <w:rtl w:val="0"/>
      </w:rPr>
      <w:t xml:space="preserve">, a Public Benefit Corporation</w:t>
      <w:tab/>
      <w:t xml:space="preserve">floodlamp.bio  •  contact@floodlamp.bio        </w:t>
    </w:r>
    <w:r w:rsidDel="00000000" w:rsidR="00000000" w:rsidRPr="00000000">
      <w:rPr>
        <w:rFonts w:ascii="Poppins" w:cs="Poppins" w:eastAsia="Poppins" w:hAnsi="Poppins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B">
    <w:pPr>
      <w:pageBreakBefore w:val="0"/>
      <w:jc w:val="both"/>
      <w:rPr>
        <w:rFonts w:ascii="Poppins" w:cs="Poppins" w:eastAsia="Poppins" w:hAnsi="Poppins"/>
        <w:sz w:val="18"/>
        <w:szCs w:val="18"/>
      </w:rPr>
    </w:pPr>
    <w:r w:rsidDel="00000000" w:rsidR="00000000" w:rsidRPr="00000000">
      <w:rPr>
        <w:rFonts w:ascii="Poppins" w:cs="Poppins" w:eastAsia="Poppins" w:hAnsi="Poppins"/>
        <w:b w:val="1"/>
        <w:sz w:val="18"/>
        <w:szCs w:val="18"/>
        <w:rtl w:val="0"/>
      </w:rPr>
      <w:t xml:space="preserve">FloodLAMP Biotechnologies</w:t>
    </w:r>
    <w:r w:rsidDel="00000000" w:rsidR="00000000" w:rsidRPr="00000000">
      <w:rPr>
        <w:rFonts w:ascii="Poppins" w:cs="Poppins" w:eastAsia="Poppins" w:hAnsi="Poppins"/>
        <w:sz w:val="18"/>
        <w:szCs w:val="18"/>
        <w:rtl w:val="0"/>
      </w:rPr>
      <w:t xml:space="preserve">, a Public Benefit Corporation</w:t>
      <w:tab/>
      <w:t xml:space="preserve">floodlamp.bio  •  contact@floodlamp.bio        </w:t>
    </w:r>
    <w:r w:rsidDel="00000000" w:rsidR="00000000" w:rsidRPr="00000000">
      <w:rPr>
        <w:rFonts w:ascii="Poppins" w:cs="Poppins" w:eastAsia="Poppins" w:hAnsi="Poppins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9">
    <w:pPr>
      <w:pageBreakBefore w:val="0"/>
      <w:ind w:left="0" w:firstLine="0"/>
      <w:jc w:val="center"/>
      <w:rPr>
        <w:rFonts w:ascii="Poppins" w:cs="Poppins" w:eastAsia="Poppins" w:hAnsi="Poppins"/>
        <w:b w:val="1"/>
        <w:sz w:val="34"/>
        <w:szCs w:val="34"/>
      </w:rPr>
    </w:pPr>
    <w:r w:rsidDel="00000000" w:rsidR="00000000" w:rsidRPr="00000000">
      <w:rPr>
        <w:rFonts w:ascii="Poppins" w:cs="Poppins" w:eastAsia="Poppins" w:hAnsi="Poppins"/>
        <w:b w:val="1"/>
        <w:sz w:val="34"/>
        <w:szCs w:val="34"/>
      </w:rPr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5429250</wp:posOffset>
          </wp:positionH>
          <wp:positionV relativeFrom="page">
            <wp:posOffset>393722</wp:posOffset>
          </wp:positionV>
          <wp:extent cx="530104" cy="449241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0104" cy="4492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Poppins" w:cs="Poppins" w:eastAsia="Poppins" w:hAnsi="Poppins"/>
        <w:b w:val="1"/>
        <w:sz w:val="34"/>
        <w:szCs w:val="34"/>
        <w:rtl w:val="0"/>
      </w:rPr>
      <w:t xml:space="preserve">FloodLAMP Biotechnologies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ageBreakBefore w:val="0"/>
      <w:ind w:left="0" w:firstLine="0"/>
      <w:jc w:val="center"/>
      <w:rPr>
        <w:rFonts w:ascii="Poppins" w:cs="Poppins" w:eastAsia="Poppins" w:hAnsi="Poppins"/>
        <w:color w:val="666666"/>
        <w:sz w:val="20"/>
        <w:szCs w:val="20"/>
      </w:rPr>
    </w:pPr>
    <w:r w:rsidDel="00000000" w:rsidR="00000000" w:rsidRPr="00000000">
      <w:rPr>
        <w:rFonts w:ascii="Poppins" w:cs="Poppins" w:eastAsia="Poppins" w:hAnsi="Poppins"/>
        <w:color w:val="666666"/>
        <w:sz w:val="20"/>
        <w:szCs w:val="20"/>
        <w:rtl w:val="0"/>
      </w:rPr>
      <w:t xml:space="preserve">Mass screening for infectious disease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C">
    <w:pPr>
      <w:jc w:val="center"/>
      <w:rPr>
        <w:rFonts w:ascii="Poppins" w:cs="Poppins" w:eastAsia="Poppins" w:hAnsi="Poppins"/>
        <w:color w:val="666666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