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/>
      </w:pPr>
      <w:r>
        <w:rPr>
          <w:color w:val="FFFFFF"/>
        </w:rPr>
        <w:t>Synaptiq Cohort Builder</w:t>
      </w:r>
    </w:p>
    <w:p>
      <w:pPr>
        <w:pStyle w:val="Heading2"/>
        <w:spacing w:before="280"/>
      </w:pPr>
      <w:r>
        <w:rPr>
          <w:color w:val="005FAF"/>
        </w:rPr>
        <w:t>Product Overview &amp; Technical Reference</w:t>
      </w:r>
    </w:p>
    <w:p>
      <w:r>
        <w:rPr>
          <w:sz w:val="20"/>
        </w:rPr>
      </w:r>
      <w:r>
        <w:rPr>
          <w:b/>
          <w:sz w:val="20"/>
        </w:rPr>
        <w:t>Version:</w:t>
      </w:r>
      <w:r>
        <w:rPr>
          <w:sz w:val="20"/>
        </w:rPr>
        <w:t xml:space="preserve"> 0.1.0 POC &amp;nbsp;|&amp;nbsp; </w:t>
      </w:r>
      <w:r>
        <w:rPr>
          <w:b/>
          <w:sz w:val="20"/>
        </w:rPr>
        <w:t>Platform:</w:t>
      </w:r>
      <w:r>
        <w:rPr>
          <w:sz w:val="20"/>
        </w:rPr>
        <w:t xml:space="preserve"> Azure Databricks &amp;nbsp;|&amp;nbsp; </w:t>
      </w:r>
      <w:r>
        <w:rPr>
          <w:b/>
          <w:sz w:val="20"/>
        </w:rPr>
        <w:t>Date:</w:t>
      </w:r>
      <w:r>
        <w:rPr>
          <w:sz w:val="20"/>
        </w:rPr>
        <w:t xml:space="preserve"> June 2026  </w:t>
      </w:r>
    </w:p>
    <w:p>
      <w:r>
        <w:rPr>
          <w:sz w:val="20"/>
        </w:rPr>
      </w:r>
      <w:r>
        <w:rPr>
          <w:b/>
          <w:sz w:val="20"/>
        </w:rPr>
        <w:t>Author:</w:t>
      </w:r>
      <w:r>
        <w:rPr>
          <w:sz w:val="20"/>
        </w:rPr>
        <w:t xml:space="preserve"> Synaptiq Engineering</w:t>
      </w:r>
    </w:p>
    <w:p/>
    <w:p>
      <w:pPr>
        <w:spacing w:before="400" w:after="120"/>
        <w:shd w:val="clear" w:color="auto" w:fill="005FAF"/>
      </w:pPr>
      <w:r>
        <w:rPr>
          <w:b/>
          <w:color w:val="FFFFFF"/>
          <w:sz w:val="36"/>
        </w:rPr>
        <w:t>SECTION 1 — EXECUTIVE SUMMARY</w:t>
      </w:r>
    </w:p>
    <w:p>
      <w:pPr>
        <w:pStyle w:val="Heading3"/>
        <w:spacing w:before="200"/>
      </w:pPr>
      <w:r>
        <w:rPr>
          <w:color w:val="008C8C"/>
        </w:rPr>
        <w:t>For Clinical Researchers, Research Coordinators &amp; Business Stakeholders</w:t>
      </w:r>
    </w:p>
    <w:p/>
    <w:p>
      <w:pPr>
        <w:pStyle w:val="Heading2"/>
        <w:spacing w:before="280"/>
      </w:pPr>
      <w:r>
        <w:rPr>
          <w:color w:val="005FAF"/>
        </w:rPr>
        <w:t>What Is It?</w:t>
      </w:r>
    </w:p>
    <w:p>
      <w:r>
        <w:rPr>
          <w:sz w:val="20"/>
        </w:rPr>
        <w:t xml:space="preserve">The </w:t>
      </w:r>
      <w:r>
        <w:rPr>
          <w:b/>
          <w:sz w:val="20"/>
        </w:rPr>
        <w:t>Synaptiq Cohort Builder</w:t>
      </w:r>
      <w:r>
        <w:rPr>
          <w:sz w:val="20"/>
        </w:rPr>
        <w:t xml:space="preserve"> is an AI-powered patient cohort identification platform built on Azure Databricks. It allows clinical researchers, research coordinators, and care management analysts to define, preview, and save patient cohorts using structured clinical criteria — ICD-10 diagnoses, RxNorm medications, LOINC lab thresholds — and NLP-derived findings extracted directly from free-text clinical notes, without writing a single line of SQL.</w:t>
      </w:r>
    </w:p>
    <w:p>
      <w:r>
        <w:rPr>
          <w:sz w:val="20"/>
        </w:rPr>
        <w:t xml:space="preserve">It was purpose-built to solve one of the most labor-intensive bottlenecks in clinical research: </w:t>
      </w:r>
      <w:r>
        <w:rPr>
          <w:b/>
          <w:sz w:val="20"/>
        </w:rPr>
        <w:t>identifying the right patients, quickly, with a reproducible and explainable audit trail.</w:t>
      </w:r>
      <w:r>
        <w:rPr>
          <w:sz w:val="20"/>
        </w:rPr>
      </w:r>
    </w:p>
    <w:p/>
    <w:p>
      <w:pPr>
        <w:pStyle w:val="Heading2"/>
        <w:spacing w:before="280"/>
      </w:pPr>
      <w:r>
        <w:rPr>
          <w:color w:val="005FAF"/>
        </w:rPr>
        <w:t>The Problem It Solves</w:t>
      </w:r>
    </w:p>
    <w:p>
      <w:r>
        <w:rPr>
          <w:sz w:val="20"/>
        </w:rPr>
        <w:t>Patient cohort identification touches nearly every function in a health system — clinical trials, quality reporting, population health, care management, and comparative effectiveness research. Today the process is slow, fragmented, and error-prone: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Multi-table SQL written by hand per study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Days to weeks per cohort; bottleneck on data engineering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ICD codes alone miss 20–40% of clinically relevant findings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Incomplete cohorts; patients documented only in notes are invisible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 audit trail of who qualified and why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Compliance risk; results not reproducible across teams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Cohort logic lives in one-off notebooks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Can't be re-used, versioned, or shared across analysts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 standard vocabulary for cohort types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Control cohorts conflated with condition cohorts; study designs poorly documented</w:t>
            </w:r>
          </w:p>
        </w:tc>
      </w:tr>
    </w:tbl>
    <w:p/>
    <w:p>
      <w:r>
        <w:rPr>
          <w:sz w:val="20"/>
        </w:rPr>
        <w:t>The Synaptiq Cohort Builder eliminates these through a point-and-click criteria builder, NLP-powered note mining, and a persistent gold-layer cohort repository in Unity Catalog.</w:t>
      </w:r>
    </w:p>
    <w:p/>
    <w:p>
      <w:pPr>
        <w:pStyle w:val="Heading2"/>
        <w:spacing w:before="280"/>
      </w:pPr>
      <w:r>
        <w:rPr>
          <w:color w:val="005FAF"/>
        </w:rPr>
        <w:t>What It Does</w:t>
      </w:r>
    </w:p>
    <w:p>
      <w:r>
        <w:rPr>
          <w:sz w:val="20"/>
        </w:rPr>
        <w:t>The platform provides a guided four-step workflow and surfaces results through three integrated application pages:</w:t>
      </w:r>
    </w:p>
    <w:p>
      <w:pPr>
        <w:pStyle w:val="Heading3"/>
        <w:spacing w:before="200"/>
      </w:pPr>
      <w:r>
        <w:rPr>
          <w:color w:val="008C8C"/>
        </w:rPr>
        <w:t>Step 1 — Cohort Identity</w:t>
      </w:r>
    </w:p>
    <w:p>
      <w:r>
        <w:rPr>
          <w:sz w:val="20"/>
        </w:rPr>
        <w:t xml:space="preserve">Name the cohort, write a description, classify it by </w:t>
      </w:r>
      <w:r>
        <w:rPr>
          <w:b/>
          <w:sz w:val="20"/>
        </w:rPr>
        <w:t>type</w:t>
      </w:r>
      <w:r>
        <w:rPr>
          <w:sz w:val="20"/>
        </w:rPr>
        <w:t xml:space="preserve"> (condition / exposure / control / operational / administrative) and </w:t>
      </w:r>
      <w:r>
        <w:rPr>
          <w:b/>
          <w:sz w:val="20"/>
        </w:rPr>
        <w:t>study design</w:t>
      </w:r>
      <w:r>
        <w:rPr>
          <w:sz w:val="20"/>
        </w:rPr>
        <w:t xml:space="preserve"> (retrospective / prospective). These classifications are stored with the cohort definition and drive downstream filtering in the review and governance views.</w:t>
      </w:r>
    </w:p>
    <w:p>
      <w:pPr>
        <w:pStyle w:val="Heading3"/>
        <w:spacing w:before="200"/>
      </w:pPr>
      <w:r>
        <w:rPr>
          <w:color w:val="008C8C"/>
        </w:rPr>
        <w:t>Step 2 — Inclusion Criteria (three methods)</w:t>
      </w:r>
    </w:p>
    <w:p>
      <w:r>
        <w:rPr>
          <w:sz w:val="20"/>
        </w:rPr>
      </w:r>
      <w:r>
        <w:rPr>
          <w:b/>
          <w:sz w:val="20"/>
        </w:rPr>
        <w:t>Structured criteria</w:t>
      </w:r>
      <w:r>
        <w:rPr>
          <w:sz w:val="20"/>
        </w:rPr>
        <w:t xml:space="preserve"> — point-and-click selection of:</w:t>
      </w:r>
    </w:p>
    <w:p>
      <w:pPr>
        <w:pStyle w:val="ListBullet"/>
        <w:ind w:left="432"/>
      </w:pPr>
      <w:r>
        <w:rPr>
          <w:sz w:val="20"/>
        </w:rPr>
        <w:t>ICD-10-CM diagnosis codes + clinical status (active / resolved / inactive)</w:t>
      </w:r>
    </w:p>
    <w:p>
      <w:pPr>
        <w:pStyle w:val="ListBullet"/>
        <w:ind w:left="432"/>
      </w:pPr>
      <w:r>
        <w:rPr>
          <w:sz w:val="20"/>
        </w:rPr>
        <w:t>RxNorm medication codes + order status</w:t>
      </w:r>
    </w:p>
    <w:p>
      <w:pPr>
        <w:pStyle w:val="ListBullet"/>
        <w:ind w:left="432"/>
      </w:pPr>
      <w:r>
        <w:rPr>
          <w:sz w:val="20"/>
        </w:rPr>
        <w:t>LOINC lab/vital thresholds with numeric min/max bounds</w:t>
      </w:r>
    </w:p>
    <w:p>
      <w:pPr>
        <w:pStyle w:val="ListBullet"/>
        <w:ind w:left="432"/>
      </w:pPr>
      <w:r>
        <w:rPr>
          <w:sz w:val="20"/>
        </w:rPr>
        <w:t>Date windows and patient demographics (age range, sex)</w:t>
      </w:r>
    </w:p>
    <w:p>
      <w:r>
        <w:rPr>
          <w:sz w:val="20"/>
        </w:rPr>
      </w:r>
      <w:r>
        <w:rPr>
          <w:b/>
          <w:sz w:val="20"/>
        </w:rPr>
        <w:t>NLP-derived criteria</w:t>
      </w:r>
      <w:r>
        <w:rPr>
          <w:sz w:val="20"/>
        </w:rPr>
        <w:t xml:space="preserve"> — patients whose clinical notes contain positively-asserted mentions of a concept, filtered by:</w:t>
      </w:r>
    </w:p>
    <w:p>
      <w:pPr>
        <w:pStyle w:val="ListBullet"/>
        <w:ind w:left="432"/>
      </w:pPr>
      <w:r>
        <w:rPr>
          <w:sz w:val="20"/>
        </w:rPr>
        <w:t>Certainty: positive / uncertain / hypothetical</w:t>
      </w:r>
    </w:p>
    <w:p>
      <w:pPr>
        <w:pStyle w:val="ListBullet"/>
        <w:ind w:left="432"/>
      </w:pPr>
      <w:r>
        <w:rPr>
          <w:sz w:val="20"/>
        </w:rPr>
        <w:t>Temporality: current / historical / family history</w:t>
      </w:r>
    </w:p>
    <w:p>
      <w:pPr>
        <w:pStyle w:val="ListBullet"/>
        <w:ind w:left="432"/>
      </w:pPr>
      <w:r>
        <w:rPr>
          <w:sz w:val="20"/>
        </w:rPr>
        <w:t>Negation automatically excluded (`negation = false`)</w:t>
      </w:r>
    </w:p>
    <w:p>
      <w:r>
        <w:rPr>
          <w:sz w:val="20"/>
        </w:rPr>
      </w:r>
      <w:r>
        <w:rPr>
          <w:b/>
          <w:sz w:val="20"/>
        </w:rPr>
        <w:t>Natural Language (Genie)</w:t>
      </w:r>
      <w:r>
        <w:rPr>
          <w:sz w:val="20"/>
        </w:rPr>
        <w:t xml:space="preserve"> — coming in Phase 2 — send a plain-English description to a Databricks Genie Space; receive back a SQL-translated patient set.</w:t>
      </w:r>
    </w:p>
    <w:p>
      <w:pPr>
        <w:pStyle w:val="Heading3"/>
        <w:spacing w:before="200"/>
      </w:pPr>
      <w:r>
        <w:rPr>
          <w:color w:val="008C8C"/>
        </w:rPr>
        <w:t>Step 3 — Exclusion Criteria</w:t>
      </w:r>
    </w:p>
    <w:p>
      <w:r>
        <w:rPr>
          <w:sz w:val="20"/>
        </w:rPr>
        <w:t>Optional ICD-10 or RxNorm exclusions applied as NOT IN subqueries against the same clinical tables.</w:t>
      </w:r>
    </w:p>
    <w:p>
      <w:pPr>
        <w:pStyle w:val="Heading3"/>
        <w:spacing w:before="200"/>
      </w:pPr>
      <w:r>
        <w:rPr>
          <w:color w:val="008C8C"/>
        </w:rPr>
        <w:t>Step 4 — Preview &amp; Save</w:t>
      </w:r>
    </w:p>
    <w:p>
      <w:pPr>
        <w:pStyle w:val="ListBullet"/>
        <w:ind w:left="432"/>
      </w:pPr>
      <w:r>
        <w:rPr>
          <w:sz w:val="20"/>
        </w:rPr>
        <w:t>Dry-run count with generated SQL always shown (transparency for researchers)</w:t>
      </w:r>
    </w:p>
    <w:p>
      <w:pPr>
        <w:pStyle w:val="ListBullet"/>
        <w:ind w:left="432"/>
      </w:pPr>
      <w:r>
        <w:rPr>
          <w:sz w:val="20"/>
        </w:rPr>
        <w:t>Sample patient table (MRN, DOB, sex, race)</w:t>
      </w:r>
    </w:p>
    <w:p>
      <w:pPr>
        <w:pStyle w:val="ListBullet"/>
        <w:ind w:left="432"/>
      </w:pPr>
      <w:r>
        <w:rPr>
          <w:sz w:val="20"/>
        </w:rPr>
        <w:t>One-click save to `cohort_definition` + `cohort_member` in the gold layer</w:t>
      </w:r>
    </w:p>
    <w:p>
      <w:pPr>
        <w:pStyle w:val="ListBullet"/>
        <w:ind w:left="432"/>
      </w:pPr>
      <w:r>
        <w:rPr>
          <w:sz w:val="20"/>
        </w:rPr>
        <w:t>Each saved member record includes `index_date` (time-zero anchor) and `qualifying_source`</w:t>
      </w:r>
    </w:p>
    <w:p/>
    <w:p>
      <w:pPr>
        <w:pStyle w:val="Heading2"/>
        <w:spacing w:before="280"/>
      </w:pPr>
      <w:r>
        <w:rPr>
          <w:color w:val="005FAF"/>
        </w:rPr>
        <w:t>Key Outputs Per Cohort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Cohort definition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`dev.test_gold_ehr_cohort.cohort_definition`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Name, type, category, criteria JSON, version, created_by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Member roster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`dev.test_gold_ehr_cohort.cohort_member`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patient_sk, index_date, qualifying_source, qualifying_evidence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Patient feature table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`dev.test_gold_ehr_cohort.patient_feature`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Wide per-patient ML features (HbA1c trend, encounter rate, NLP count)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CSV export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Browser download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Full member list via My Cohorts page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Generated SQL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In-app expander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The exact WHERE clause used — always visible, always reproducible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Cohort Classification System</w:t>
      </w:r>
    </w:p>
    <w:p>
      <w:r>
        <w:rPr>
          <w:sz w:val="20"/>
        </w:rPr>
        <w:t>Every saved cohort is tagged along two dimensions, stored permanently in cohort_definition: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Values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`cohort_type`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`condition`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Patients sharing a clinical diagnosis (e.g. T2DM)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`exposure`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Patients on a specific drug, procedure, or intervention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`control`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Patients WITHOUT the condition/exposure — comparator arm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`operational`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High-cost patients, risk stratification, care gap targets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`administrative`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Trial recruitment lists, quality reporting, billing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`cohort_category`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`retrospective`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Built from historical EHR data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`prospective`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Defined on current criteria; captures new patients over time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Why NLP Matters for Cohort Accuracy</w:t>
      </w:r>
    </w:p>
    <w:p>
      <w:r>
        <w:rPr>
          <w:sz w:val="20"/>
        </w:rPr>
        <w:t>The note_nlp_entity table stores extracted clinical mentions with four attributes that make NLP-derived inclusion trustworthy rather than noisy: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Example preventing a false positive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`negation = true`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*"No evidence of pneumonia"* → excluded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`certainty = 'uncertain'`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*"Rule out sepsis"* → excluded from definite-diagnosis cohorts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`temporality = 'family'`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*"Family history of coronary artery disease"* → not attributed to patient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`subject = 'family'`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*"Mother has Type 2 diabetes"* → not attributed to patient</w:t>
            </w:r>
          </w:p>
        </w:tc>
      </w:tr>
    </w:tbl>
    <w:p/>
    <w:p>
      <w:r>
        <w:rPr>
          <w:sz w:val="20"/>
        </w:rPr>
        <w:t>A cohort query using only ICD codes misses patients documented solely in free-text notes. A naïve keyword search catches "no diabetes" as a false positive. This model does neither.</w:t>
      </w:r>
    </w:p>
    <w:p/>
    <w:p>
      <w:pPr>
        <w:pStyle w:val="Heading2"/>
        <w:spacing w:before="280"/>
      </w:pPr>
      <w:r>
        <w:rPr>
          <w:color w:val="005FAF"/>
        </w:rPr>
        <w:t>Who Uses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How They Use It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**Research Coordinators / PIs**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Build trial recruitment cohorts from ICD + medication criteria; export member lists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**Epidemiologists / Data Scientists**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Define retrospective cohorts with index dates; build matched control arms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**Care Management Analysts**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Identify high-risk populations for outreach programs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**Clinical Informatics**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Validate cohort logic against NLP findings; inspect patient timelines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**Data Governance / Compliance**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Audit who defined what cohort, when, and with what criteria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High-Level Topology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SYNAPTIQ COHORT BUILDER                               │</w:t>
        <w:br/>
        <w:t>│                           Azure Databricks Platform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USERS                      DATABRICKS APP                  UNITY CATALOG</w:t>
        <w:br/>
        <w:t xml:space="preserve">  ─────                      ──────────────                  ─────────────</w:t>
        <w:br/>
        <w:br/>
        <w:t xml:space="preserve">  Research                   ┌──────────────────────┐</w:t>
        <w:br/>
        <w:t xml:space="preserve">  Coordinators  ────────────▶│                      │──────▶  dev.test_silver_ehr_clinical</w:t>
        <w:br/>
        <w:t xml:space="preserve">  Data Scientists ──────────▶│   Streamlit UI        │         ├─ patient</w:t>
        <w:br/>
        <w:t xml:space="preserve">  Care Managers ────────────▶│   (Synaptiq Cohort    │         ├─ encounter</w:t>
        <w:br/>
        <w:t xml:space="preserve">  Clinical      ────────────▶│    Builder)           │         ├─ condition</w:t>
        <w:br/>
        <w:t xml:space="preserve">  Informatics                │                      │──────▶  ├─ observation</w:t>
        <w:br/>
        <w:t xml:space="preserve">                             └──────────┬───────────┘         ├─ medication_order</w:t>
        <w:br/>
        <w:t xml:space="preserve">                                        │                      ├─ procedure</w:t>
        <w:br/>
        <w:t xml:space="preserve">                          ┌─────────────▼──────────────┐       ├─ clinical_note</w:t>
        <w:br/>
        <w:t xml:space="preserve">                          │         3 Pages             │       ├─ nlp_run</w:t>
        <w:br/>
        <w:t xml:space="preserve">                          │                            │       └─ note_nlp_entity</w:t>
        <w:br/>
        <w:t xml:space="preserve">                          │  🔬 Cohort Builder          │</w:t>
        <w:br/>
        <w:t xml:space="preserve">                          │  📋 My Cohorts             │──────▶  dev.test_gold_ehr_cohort</w:t>
        <w:br/>
        <w:t xml:space="preserve">                          │  🧑‍⚕️ Patient Explorer       │         ├─ cohort_definition</w:t>
        <w:br/>
        <w:t xml:space="preserve">                          └─────────────┬──────────────┘         ├─ cohort_member</w:t>
        <w:br/>
        <w:t xml:space="preserve">                                        │                         └─ patient_feature</w:t>
        <w:br/>
        <w:t xml:space="preserve">                                        │ databricks-sql-connector</w:t>
        <w:br/>
        <w:t xml:space="preserve">                          ┌─────────────▼──────────────┐</w:t>
        <w:br/>
        <w:t xml:space="preserve">                          │   SQL Warehouse             │</w:t>
        <w:br/>
        <w:t xml:space="preserve">                          │   /sql/1.0/warehouses/      │</w:t>
        <w:br/>
        <w:t xml:space="preserve">                          │   7c48969bf427f0dd          │</w:t>
        <w:br/>
        <w:t xml:space="preserve">                          └────────────────────────────┘</w:t>
        <w:br/>
        <w:t xml:space="preserve">                                        │</w:t>
        <w:br/>
        <w:t xml:space="preserve">                          ┌─────────────▼──────────────┐</w:t>
        <w:br/>
        <w:t xml:space="preserve">                          │   Genie Space (Phase 2)     │</w:t>
        <w:br/>
        <w:t xml:space="preserve">                          │   Natural Language → SQL    │</w:t>
        <w:br/>
        <w:t xml:space="preserve">                          │   over silver tables        │</w:t>
        <w:br/>
        <w:t xml:space="preserve">                          └────────────────────────────┘</w:t>
      </w:r>
    </w:p>
    <w:p/>
    <w:p/>
    <w:p>
      <w:pPr>
        <w:spacing w:before="400" w:after="120"/>
        <w:shd w:val="clear" w:color="auto" w:fill="005FAF"/>
      </w:pPr>
      <w:r>
        <w:rPr>
          <w:b/>
          <w:color w:val="FFFFFF"/>
          <w:sz w:val="36"/>
        </w:rPr>
        <w:t>SECTION 2 — TECHNICAL REFERENCE</w:t>
      </w:r>
    </w:p>
    <w:p>
      <w:pPr>
        <w:pStyle w:val="Heading3"/>
        <w:spacing w:before="200"/>
      </w:pPr>
      <w:r>
        <w:rPr>
          <w:color w:val="008C8C"/>
        </w:rPr>
        <w:t>For Data Engineers &amp; Platform Teams</w:t>
      </w:r>
    </w:p>
    <w:p/>
    <w:p>
      <w:pPr>
        <w:pStyle w:val="Heading2"/>
        <w:spacing w:before="280"/>
      </w:pPr>
      <w:r>
        <w:rPr>
          <w:color w:val="005FAF"/>
        </w:rPr>
        <w:t>Architecture Overview</w:t>
      </w:r>
    </w:p>
    <w:p>
      <w:r>
        <w:rPr>
          <w:sz w:val="20"/>
        </w:rPr>
        <w:t xml:space="preserve">The platform is a </w:t>
      </w:r>
      <w:r>
        <w:rPr>
          <w:b/>
          <w:sz w:val="20"/>
        </w:rPr>
        <w:t>Databricks App</w:t>
      </w:r>
      <w:r>
        <w:rPr>
          <w:sz w:val="20"/>
        </w:rPr>
        <w:t xml:space="preserve"> (containerised Streamlit web application) running on Azure Databricks with serverless compute. It has no external dependencies beyond Azure Databricks. Authentication uses ambient OAuth credentials injected by the Databricks Apps runtime — no service principal secret management required in application code.</w:t>
      </w:r>
    </w:p>
    <w:p>
      <w:pPr>
        <w:pStyle w:val="Heading3"/>
        <w:spacing w:before="200"/>
      </w:pPr>
      <w:r>
        <w:rPr>
          <w:color w:val="008C8C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UI Framework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Streamlit (Python)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Hosting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Databricks Apps (containerised, serverless)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Catalog &amp; Security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Unity Catalog (`dev` catalog; `test_` / `prod_` schema prefix for environment isolation)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Data Storage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Delta Lake tables (silver clinical layer + gold cohort layer)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SQL Execution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`databricks-sql-connector` via SQL warehouse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`databricks-sdk` `WorkspaceClient()` — ambient OAuth (no token management in app code)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NLP Pipeline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Spark NLP or Claude API *(Phase 1 — not yet implemented)*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Conversational AI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Databricks AI/BI Genie Conversation API *(Phase 2 — not yet implemented)*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Synthetic Data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Python + pandas + NumPy; phenotype-driven; written directly to silver via `spark.saveAsTable`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Application Modules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6"/>
        </w:rPr>
        <w:t>.                               ← repo root = app source root (app.yaml here)</w:t>
        <w:br/>
        <w:t>├── app.yaml                    Databricks Apps run command + DATABRICKS_HTTP_PATH env var</w:t>
        <w:br/>
        <w:t>├── app.py                      Home dashboard — population KPIs + recent cohorts</w:t>
        <w:br/>
        <w:t>├── config.py                   All schema/table constants; cohort type &amp; category value sets</w:t>
        <w:br/>
        <w:t>├── db.py                       Connection manager — WorkspaceClient() ambient auth</w:t>
        <w:br/>
        <w:t>├── requirements.txt</w:t>
        <w:br/>
        <w:t>└── pages/</w:t>
        <w:br/>
        <w:t xml:space="preserve">    ├── 01_cohort_builder.py    Step 1–4 cohort definition, criteria builder, preview, save</w:t>
        <w:br/>
        <w:t xml:space="preserve">    ├── 02_cohort_review.py     Browse + filter saved cohorts; member list; CSV export; status mgmt</w:t>
        <w:br/>
        <w:t xml:space="preserve">    └── 03_patient_explorer.py  MRN search → 6-tab clinical timeline (encounters, conditions,</w:t>
        <w:br/>
        <w:t xml:space="preserve">                                labs/vitals with Plotly trend, medications, procedures, notes + NLP)</w:t>
      </w:r>
    </w:p>
    <w:p>
      <w:r>
        <w:rPr>
          <w:sz w:val="20"/>
        </w:rPr>
      </w:r>
      <w:r>
        <w:rPr>
          <w:b/>
          <w:sz w:val="20"/>
        </w:rPr>
        <w:t>Supporting notebooks (Databricks workspace):</w:t>
      </w:r>
      <w:r>
        <w:rPr>
          <w:sz w:val="20"/>
        </w:rPr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6"/>
        </w:rPr>
        <w:t>generate_ehr_silver.py      Synthetic data generator — writes all 7 silver tables</w:t>
        <w:br/>
        <w:t>sample_clinical_notes.py    Clinical note template library — %run'd by generator</w:t>
        <w:br/>
        <w:t>ddl/</w:t>
        <w:br/>
        <w:t xml:space="preserve">  01_catalog_and_schemas.sql   Creates dev.test_silver_ehr_clinical + dev.test_gold_ehr_cohort</w:t>
        <w:br/>
        <w:t xml:space="preserve">  03_silver_clinical_model.sql 7 clinical tables</w:t>
        <w:br/>
        <w:t xml:space="preserve">  04_nlp.sql                   nlp_run + note_nlp_entity</w:t>
        <w:br/>
        <w:t xml:space="preserve">  05_gold_cohort.sql           cohort_definition + cohort_member + patient_feature</w:t>
      </w:r>
    </w:p>
    <w:p/>
    <w:p>
      <w:pPr>
        <w:pStyle w:val="Heading2"/>
        <w:spacing w:before="280"/>
      </w:pPr>
      <w:r>
        <w:rPr>
          <w:color w:val="005FAF"/>
        </w:rPr>
        <w:t>Data Model</w:t>
      </w:r>
    </w:p>
    <w:p>
      <w:r>
        <w:rPr>
          <w:sz w:val="20"/>
        </w:rPr>
        <w:t>Two schemas in the dev Unity Catalog. The test_ prefix isolates the POC environment; swap to prod_ for production — all application code reads constants from config.py.</w:t>
      </w:r>
    </w:p>
    <w:p>
      <w:pPr>
        <w:pStyle w:val="Heading3"/>
        <w:spacing w:before="200"/>
      </w:pPr>
      <w:r>
        <w:rPr>
          <w:color w:val="008C8C"/>
        </w:rPr>
        <w:t>Silver layer — `dev.test_silver_ehr_clinical`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Key columns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`patient`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Demographics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mrn, birth_date, sex, race, ethnicity, zip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`encounter`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All visit types (inpatient / outpatient / ED / telehealth)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encounter_class, period_start, period_end, facility_name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`condition`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ICD-10-CM diagnoses + problem list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condition_code, clinical_status, is_chronic, onset_date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`observation`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LOINC labs + vital signs (one table, category discriminates)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observation_code, category, value_numeric, parent_observation_sk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`medication_order`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RxNorm prescriptions + inpatient orders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med_code, order_status, dose_quantity, route, frequency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`procedure`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CPT / HCPCS procedures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procedure_code, procedure_category, performed_datetime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`clinical_note`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Full free-text note body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note_category, note_type_display, service_date, note_text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`nlp_run`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NLP pipeline execution metadata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pipeline_name, model_version, run_status, notes_processed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`note_nlp_entity`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Extracted clinical entities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concept_code, certainty, negation, temporality, subject, confidence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BP observation pattern:</w:t>
      </w:r>
      <w:r>
        <w:rPr>
          <w:sz w:val="20"/>
        </w:rPr>
        <w:t xml:space="preserve"> Blood pressure is stored as three rows — parent panel (LOINC 85354-9) + systolic component (8480-6) + diastolic component (8462-4), linked via parent_observation_sk. The Patient Explorer filters to parent_observation_sk IS NULL for the top-level display.</w:t>
      </w:r>
    </w:p>
    <w:p>
      <w:pPr>
        <w:pStyle w:val="Heading3"/>
        <w:spacing w:before="200"/>
      </w:pPr>
      <w:r>
        <w:rPr>
          <w:color w:val="008C8C"/>
        </w:rPr>
        <w:t>Gold layer — `dev.test_gold_ehr_cohort`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Key columns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`cohort_definition`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Named cohort criteria, versioned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cohort_type, cohort_category, definition_logic (JSON), primary_concept_code, status, version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`cohort_member`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Who qualified + why + when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patient_sk, index_date, qualifying_source, qualifying_evidence (VARIANT)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`patient_feature`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Wide per-patient ML feature table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*(assembly notebook — Phase 1)*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Cross-schema FK:</w:t>
      </w:r>
      <w:r>
        <w:rPr>
          <w:sz w:val="20"/>
        </w:rPr>
        <w:t xml:space="preserve"> cohort_member.patient_sk → dev.test_silver_ehr_clinical.patient.patient_sk (NOT ENFORCED RELY — optimizer hint, not enforced at write time).</w:t>
      </w:r>
    </w:p>
    <w:p>
      <w:pPr>
        <w:pStyle w:val="Heading3"/>
        <w:spacing w:before="200"/>
      </w:pPr>
      <w:r>
        <w:rPr>
          <w:color w:val="008C8C"/>
        </w:rPr>
        <w:t>DDL conventions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Surrogate keys:</w:t>
      </w:r>
      <w:r>
        <w:rPr>
          <w:sz w:val="20"/>
        </w:rPr>
        <w:t xml:space="preserve"> `BIGINT GENERATED BY DEFAULT AS IDENTITY` — explicit values insertable by generator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Coding pattern:</w:t>
      </w:r>
      <w:r>
        <w:rPr>
          <w:sz w:val="20"/>
        </w:rPr>
        <w:t xml:space="preserve"> every clinical code stored as `(*_code, *_system, *_display)` trio — no vocabulary reference tables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Constraints:</w:t>
      </w:r>
      <w:r>
        <w:rPr>
          <w:sz w:val="20"/>
        </w:rPr>
        <w:t xml:space="preserve"> `PRIMARY KEY` / `FOREIGN KEY` with `NOT ENFORCED RELY` — informational only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Clustering:</w:t>
      </w:r>
      <w:r>
        <w:rPr>
          <w:sz w:val="20"/>
        </w:rPr>
        <w:t xml:space="preserve"> `CLUSTER BY` (liquid clustering) — no static partitioning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Column defaults:</w:t>
      </w:r>
      <w:r>
        <w:rPr>
          <w:sz w:val="20"/>
        </w:rPr>
        <w:t xml:space="preserve"> all tables include `TBLPROPERTIES ('delta.feature.allowColumnDefaults' = 'supported')` — required for serverless SQL warehouses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No UNIQUE constraints:</w:t>
      </w:r>
      <w:r>
        <w:rPr>
          <w:sz w:val="20"/>
        </w:rPr>
        <w:t xml:space="preserve"> disabled on serverless (`spark.databricks.sql.dsv2.unique.enabled` not settable via SQL)</w:t>
      </w:r>
    </w:p>
    <w:p/>
    <w:p>
      <w:pPr>
        <w:pStyle w:val="Heading2"/>
        <w:spacing w:before="280"/>
      </w:pPr>
      <w:r>
        <w:rPr>
          <w:color w:val="005FAF"/>
        </w:rPr>
        <w:t>Synthetic Data Generator</w:t>
      </w:r>
    </w:p>
    <w:p>
      <w:pPr>
        <w:pStyle w:val="Heading3"/>
        <w:spacing w:before="200"/>
      </w:pPr>
      <w:r>
        <w:rPr>
          <w:color w:val="008C8C"/>
        </w:rPr>
        <w:t>Phenotype-driven generation</w:t>
      </w:r>
    </w:p>
    <w:p>
      <w:r>
        <w:rPr>
          <w:sz w:val="20"/>
        </w:rPr>
        <w:t>500 patients (scalable to 5,000) are assigned one of six clinical phenotypes at creation time. The phenotype drives conditions, medications, labs, note templates, and encounter frequency — ensuring the demo cohort query returns a realistic and explainable result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Phenotype</w:t>
            </w:r>
          </w:p>
        </w:tc>
        <w:tc>
          <w:tcPr>
            <w:tcW w:type="dxa" w:w="234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234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~N (500-pt)</w:t>
            </w:r>
          </w:p>
        </w:tc>
        <w:tc>
          <w:tcPr>
            <w:tcW w:type="dxa" w:w="234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Clinical profile</w:t>
            </w:r>
          </w:p>
        </w:tc>
      </w:tr>
      <w:tr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`t2dm_cvd`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**Primary demo target** — T2DM + metformin + CAD or heart failure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`t2dm_only`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T2DM on metformin, no cardiovascular history</w:t>
            </w:r>
          </w:p>
        </w:tc>
      </w:tr>
      <w:tr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`t2dm_alt_med`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T2DM on Januvia or insulin — intentionally excluded from metformin cohort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`hypertension`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Essential HTN, no diabetes</w:t>
            </w:r>
          </w:p>
        </w:tc>
      </w:tr>
      <w:tr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`prediabetes`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4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Borderline glucose, lifestyle management only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`general`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175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Mixed background population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Date range:</w:t>
      </w:r>
      <w:r>
        <w:rPr>
          <w:sz w:val="20"/>
        </w:rPr>
        <w:t xml:space="preserve"> 2025-01-01 → 2026-12-31  </w:t>
      </w:r>
    </w:p>
    <w:p>
      <w:r>
        <w:rPr>
          <w:sz w:val="20"/>
        </w:rPr>
      </w:r>
      <w:r>
        <w:rPr>
          <w:b/>
          <w:sz w:val="20"/>
        </w:rPr>
        <w:t>Seed:</w:t>
      </w:r>
      <w:r>
        <w:rPr>
          <w:sz w:val="20"/>
        </w:rPr>
        <w:t xml:space="preserve"> SEED = 42 (change for a different population; all runs reproducible)</w:t>
      </w:r>
    </w:p>
    <w:p>
      <w:pPr>
        <w:pStyle w:val="Heading3"/>
        <w:spacing w:before="200"/>
      </w:pPr>
      <w:r>
        <w:rPr>
          <w:color w:val="008C8C"/>
        </w:rPr>
        <w:t>Clinical note strategy</w:t>
      </w:r>
    </w:p>
    <w:p>
      <w:r>
        <w:rPr>
          <w:sz w:val="20"/>
        </w:rPr>
        <w:t>Each encounter gets one clinical note. Note category and template are selected by encounter class and patient phenotype. The template library in sample_clinical_notes.py includes all four certainty values and all three temporality values — giving the NLP pipeline realistic training and validation material.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Encounter class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Note category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Example content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Inpatient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Discharge summary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Heart failure + T2DM admission; metformin held/resumed; negated PE and MI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First outpatient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History &amp; Physical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New T2DM presentation; rule-out T1DM vs T2DM; slow-healing wound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Follow-up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Progress note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Diabetes monitoring; peripheral neuropathy; negated retinopathy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Prediabetes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Progress note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Asymptomatic; family history T2DM; lifestyle counseling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General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Acute care note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URI, rule-out pneumonia; negated diabetes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Deployment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App name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`cohort-builder`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App URL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*(available in Databricks workspace → Compute → Apps)*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SQL warehouse HTTP path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`/sql/1.0/warehouses/7c48969bf427f0dd`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`https://adb-7405619521761591.11.azuredatabricks.net`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Catalog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`dev`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Silver schema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`dev.test_silver_ehr_clinical`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Gold schema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`dev.test_gold_ehr_cohort`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Source repo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`github.com/synaptiq/Synatpq-cohort-app` (branch: `main`)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Sync from `main` in Databricks Repos → redeploy app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2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`WorkspaceClient()` ambient OAuth (no token)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Databricks Apps injects credentials at runtime; no secret management in code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Schema isolation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`test_` / `prod_` prefix on schema names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Single `dev` catalog available; environment swap is a one-line change in `config.py`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 Bronze layer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Synthetic data written directly to silver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POC has no real source system; FHIR/Clarity integration documented in `docs/` for Phase 3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Vocabulary storage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Inline `(*_code, *_system, *_display)` trios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No separate vocab tables needed for POC; avoids join complexity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BP observations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3-row parent + systolic + diastolic pattern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Matches FHIR `Observation.component` model; preserves component-level codes for LOINC queries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Cohort save pattern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INSERT to gold tables (not Spark write)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SQL connector available in Apps container; no SparkSession needed for single-record inserts</w:t>
            </w:r>
          </w:p>
        </w:tc>
      </w:tr>
      <w:tr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NLP false-positive prevention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`negation`, `certainty`, `temporality`, `subject` columns</w:t>
            </w:r>
          </w:p>
        </w:tc>
        <w:tc>
          <w:tcPr>
            <w:tcW w:type="dxa" w:w="312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Naïve keyword search catches negated/family mentions as false positives; this model does not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Generated SQL always visible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Expander shown even when n=0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Researchers need to verify the criteria logic; essential for debugging and trust</w:t>
            </w:r>
          </w:p>
        </w:tc>
      </w:tr>
    </w:tbl>
    <w:p/>
    <w:p/>
    <w:p/>
    <w:p>
      <w:pPr>
        <w:spacing w:before="400" w:after="120"/>
        <w:shd w:val="clear" w:color="auto" w:fill="005FAF"/>
      </w:pPr>
      <w:r>
        <w:rPr>
          <w:b/>
          <w:color w:val="FFFFFF"/>
          <w:sz w:val="36"/>
        </w:rPr>
        <w:t>SECTION 3 — ROADMAP &amp; MILESTONES</w:t>
      </w:r>
    </w:p>
    <w:p/>
    <w:p>
      <w:pPr>
        <w:pStyle w:val="Heading2"/>
        <w:spacing w:before="280"/>
      </w:pPr>
      <w:r>
        <w:rPr>
          <w:color w:val="005FAF"/>
        </w:rPr>
        <w:t>Current State (POC v0.1 —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Structured cohort builder (ICD-10 / RxNorm / LOINC / demographics)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Cohort type + category classification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Preview with generated SQL transparency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Save cohort definition + member roster to gold layer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My Cohorts — browse, filter, export CSV, manage status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Patient Explorer — MRN search, 6-tab clinical timeline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Labs &amp; vitals trend charts (Plotly)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Clinical note viewer with NLP entity panel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 (NLP panel ready; awaits pipeline data)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Synthetic 500-patient dataset (6 phenotypes, 2025–2026)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Databricks App deployment (ambient OAuth, no PAT)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✅ Complete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Phase 1 — NLP &amp; Feature Engineering (Target: Q3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**NLP extraction pipeline**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Run Spark NLP or Claude API over `clinical_note` → populate `note_nlp_entity`. Unlocks the NLP-derived criteria tab in Cohort Builder.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**NLP-derived cohort builder**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NLP tab currently returns 0 (no pipeline data). Once pipeline runs, validate concept_code matching and certainty/temporality filters.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**`patient_feature` assembly notebook**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Compute HbA1c trend slope, encounter utilization rate, NLP finding count, chronic condition burden → write to `patient_feature` for ML/risk use cases.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**Risk scoring**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HCC risk score and basic cardiovascular risk flag computed from conditions + medications → appended to `patient_feature`.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**Scale to 5,000 patients**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Change `N_PATIENTS = 5000` in generator; re-run after validating 500-patient cohort queries.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Phase 2 — Intelligence &amp; Natural Language (Target: Q4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**Genie Space configuration**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Configure a Databricks AI/BI Genie Space over `dev.test_silver_ehr_clinical` with curated sample queries. Enables the Natural Language tab in Cohort Builder.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**Genie cohort builder integration**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Wire `genie_chat.py`-style API calls into the NL tab — send plain-English cohort description, receive back SQL + patient set.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**Cohort comparison view**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Side-by-side demographic and clinical summary for condition cohort vs matched control cohort — age, sex, comorbidity distributions.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**Cohort versioning diff**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Compare v1 vs v2 of the same cohort definition — which patients were added/dropped between runs.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**Boolean logic builder**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Allow AND/OR grouping of criteria blocks (currently all criteria are AND-joined).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Phase 3 — Production Readiness (Target: H1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**Real EHR data integration**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FHIR R4 → silver conformance layer. Mapping documented in `docs/ehr-source-schemas.md`. Epic Clarity and athenahealth source schemas mapped.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**Bronze landing layer**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Reintroduce `bronze_` schemas for raw FHIR bundles / Clarity extracts before silver conformance.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**`prod_` schema promotion**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Rename schemas from `test_` to `prod_`; update `config.py` `SILVER_SCHEMA` / `GOLD_SCHEMA`. Full regression test against real data.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**Multi-user cohort sharing**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Cohort definitions visible to team members; `created_by` filters; cohort status workflow (draft → active → archived).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**Temporal pattern matching**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Index event + lookback/follow-up window enforcement (condition A must precede medication B by ≤90 days). Uses `index_date` + `lookback_days` / `follow_up_days` columns already in `cohort_definition`.</w:t>
            </w:r>
          </w:p>
        </w:tc>
      </w:tr>
    </w:tbl>
    <w:p/>
    <w:p/>
    <w:p>
      <w:pPr>
        <w:pStyle w:val="Heading2"/>
        <w:spacing w:before="280"/>
      </w:pPr>
      <w:r>
        <w:rPr>
          <w:color w:val="005FAF"/>
        </w:rPr>
        <w:t>Phase 4 — Advanced Analytics (Target: H2 2027)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val="clear" w:color="auto" w:fill="005F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**Survival analysis**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Kaplan-Meier curves for time-to-event outcomes (e.g. time to first CVD event in T2DM cohort)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**FHIR bundle export**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Export cohort + qualifying evidence as FHIR Bundle for integration with trial management systems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**Email / notification on membership change**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Alert when a prospective cohort gains / loses members vs prior run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**Automated cohort refresh**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Scheduled Databricks Job to re-execute cohort SQL and update `cohort_member` nightly</w:t>
            </w:r>
          </w:p>
        </w:tc>
      </w:tr>
      <w:tr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**External system integration**</w:t>
            </w:r>
          </w:p>
        </w:tc>
        <w:tc>
          <w:tcPr>
            <w:tcW w:type="dxa" w:w="4680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18"/>
              </w:rPr>
              <w:t>Push cohort member lists to REDCap, Epic Orders, or CTMS via API</w:t>
            </w:r>
          </w:p>
        </w:tc>
      </w:tr>
    </w:tbl>
    <w:p/>
    <w:p/>
    <w:p>
      <w:r>
        <w:rPr>
          <w:sz w:val="20"/>
        </w:rPr>
        <w:t>Document maintained in docs/cohort-app-overview.md — update as milestones complete.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