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DataTools Measurements Viewer</w:t>
      </w:r>
    </w:p>
    <w:p>
      <w:r>
        <w:t>This manual covers the full workflow for loading APx measurement CSV files,</w:t>
      </w:r>
    </w:p>
    <w:p>
      <w:r>
        <w:t>visualising frequency-response charts, and generating reference curves and limit files.</w:t>
      </w:r>
    </w:p>
    <w:p>
      <w:pPr>
        <w:pStyle w:val="Heading2"/>
      </w:pPr>
      <w:r>
        <w:t>Overview</w:t>
      </w:r>
    </w:p>
    <w:p>
      <w:r>
        <w:t>The Measurements viewer provides three main functions:</w:t>
      </w:r>
    </w:p>
    <w:p>
      <w:pPr>
        <w:pStyle w:val="ListNumber"/>
      </w:pPr>
      <w:r>
        <w:rPr>
          <w:b/>
        </w:rPr>
        <w:t>Select Measurements</w:t>
      </w:r>
      <w:r>
        <w:t xml:space="preserve"> — choose a product category and one or more result folders.</w:t>
      </w:r>
    </w:p>
    <w:p>
      <w:pPr>
        <w:pStyle w:val="ListNumber"/>
      </w:pPr>
      <w:r>
        <w:rPr>
          <w:b/>
        </w:rPr>
        <w:t>Chart</w:t>
      </w:r>
      <w:r>
        <w:t xml:space="preserve"> — visualise individual runs, medians, limits and sub-channel curves.</w:t>
      </w:r>
    </w:p>
    <w:p>
      <w:pPr>
        <w:pStyle w:val="ListNumber"/>
      </w:pPr>
      <w:r>
        <w:rPr>
          <w:b/>
        </w:rPr>
        <w:t>Create Refs...</w:t>
      </w:r>
      <w:r>
        <w:t xml:space="preserve"> — compute median reference curves and statistical limits; export CSVs, PNG plots and a README.</w:t>
      </w:r>
    </w:p>
    <w:p>
      <w:pPr>
        <w:pStyle w:val="Heading2"/>
      </w:pPr>
      <w:r>
        <w:t>Home Screen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Click the </w:t>
      </w:r>
      <w:r>
        <w:rPr>
          <w:b/>
        </w:rPr>
        <w:t>Measurements</w:t>
      </w:r>
      <w:r>
        <w:t xml:space="preserve"> tile to open the viewer.</w:t>
      </w:r>
    </w:p>
    <w:p>
      <w:pPr>
        <w:pStyle w:val="Heading2"/>
      </w:pPr>
      <w:r>
        <w:t>Selecting Measurements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The </w:t>
      </w:r>
      <w:r>
        <w:rPr>
          <w:b/>
        </w:rPr>
        <w:t>Select Measurements</w:t>
      </w:r>
      <w:r>
        <w:t xml:space="preserve"> popup opens automatically when the viewer starts.</w:t>
      </w:r>
    </w:p>
    <w:p>
      <w:r>
        <w:t xml:space="preserve">It can also be reopened at any time via the </w:t>
      </w:r>
      <w:r>
        <w:rPr>
          <w:b/>
        </w:rPr>
        <w:t>Select Measurements</w:t>
      </w:r>
      <w:r>
        <w:t xml:space="preserve"> button.</w:t>
      </w:r>
    </w:p>
    <w:p>
      <w:pPr>
        <w:pStyle w:val="Heading3"/>
      </w:pPr>
      <w:r>
        <w:t>Step 1 — Choose a Category</w:t>
      </w:r>
    </w:p>
    <w:p>
      <w:r>
        <w:t>Toggle buttons at the top select the measurement category: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---</w:t>
            </w:r>
          </w:p>
        </w:tc>
        <w:tc>
          <w:tcPr>
            <w:tcW w:type="dxa" w:w="4320"/>
          </w:tcPr>
          <w:p>
            <w:r>
              <w:t>---</w:t>
            </w:r>
          </w:p>
        </w:tc>
      </w:tr>
      <w:tr>
        <w:tc>
          <w:tcPr>
            <w:tcW w:type="dxa" w:w="4320"/>
          </w:tcPr>
          <w:p>
            <w:r>
              <w:t>EOL</w:t>
            </w:r>
          </w:p>
        </w:tc>
        <w:tc>
          <w:tcPr>
            <w:tcW w:type="dxa" w:w="4320"/>
          </w:tcPr>
          <w:p>
            <w:r>
              <w:t>End-of-line production measurements</w:t>
            </w:r>
          </w:p>
        </w:tc>
      </w:tr>
      <w:tr>
        <w:tc>
          <w:tcPr>
            <w:tcW w:type="dxa" w:w="4320"/>
          </w:tcPr>
          <w:p>
            <w:r>
              <w:t>GoldenSample</w:t>
            </w:r>
          </w:p>
        </w:tc>
        <w:tc>
          <w:tcPr>
            <w:tcW w:type="dxa" w:w="4320"/>
          </w:tcPr>
          <w:p>
            <w:r>
              <w:t>Reference golden-sample measurements</w:t>
            </w:r>
          </w:p>
        </w:tc>
      </w:tr>
      <w:tr>
        <w:tc>
          <w:tcPr>
            <w:tcW w:type="dxa" w:w="4320"/>
          </w:tcPr>
          <w:p>
            <w:r>
              <w:t>Reference</w:t>
            </w:r>
          </w:p>
        </w:tc>
        <w:tc>
          <w:tcPr>
            <w:tcW w:type="dxa" w:w="4320"/>
          </w:tcPr>
          <w:p>
            <w:r>
              <w:t>Reference measurements for limit generation</w:t>
            </w:r>
          </w:p>
        </w:tc>
      </w:tr>
    </w:tbl>
    <w:p>
      <w:pPr>
        <w:pStyle w:val="Heading3"/>
      </w:pPr>
      <w:r>
        <w:t>Step 2 — Select Result Folders</w:t>
      </w:r>
    </w:p>
    <w:p>
      <w:r>
        <w:t xml:space="preserve">The scrollable list shows all available result folders under </w:t>
      </w:r>
      <w:r>
        <w:rPr>
          <w:rFonts w:ascii="Courier New" w:hAnsi="Courier New"/>
          <w:sz w:val="18"/>
        </w:rPr>
        <w:t>Measurements/&lt;Category&gt;/</w:t>
      </w:r>
      <w:r>
        <w:t>.</w:t>
      </w:r>
    </w:p>
    <w:p>
      <w:r>
        <w:t>Multiple folders can be selected at once — all selected runs are loaded together.</w:t>
      </w:r>
    </w:p>
    <w:p>
      <w:r>
        <w:t xml:space="preserve">Click </w:t>
      </w:r>
      <w:r>
        <w:rPr>
          <w:b/>
        </w:rPr>
        <w:t>Open</w:t>
      </w:r>
      <w:r>
        <w:t xml:space="preserve"> to load the selection into the chart.</w:t>
      </w:r>
    </w:p>
    <w:p>
      <w:pPr>
        <w:pStyle w:val="Heading2"/>
      </w:pPr>
      <w:r>
        <w:t>Chart — Stereo Example (H715)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Measurement Type</w:t>
      </w:r>
    </w:p>
    <w:p>
      <w:r>
        <w:t xml:space="preserve">Buttons in the </w:t>
      </w:r>
      <w:r>
        <w:rPr>
          <w:b/>
        </w:rPr>
        <w:t>Measurement</w:t>
      </w:r>
      <w:r>
        <w:t xml:space="preserve"> row switch the plotted data type: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Y-axis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---</w:t>
            </w:r>
          </w:p>
        </w:tc>
        <w:tc>
          <w:tcPr>
            <w:tcW w:type="dxa" w:w="2880"/>
          </w:tcPr>
          <w:p>
            <w:r>
              <w:t>---</w:t>
            </w:r>
          </w:p>
        </w:tc>
        <w:tc>
          <w:tcPr>
            <w:tcW w:type="dxa" w:w="2880"/>
          </w:tcPr>
          <w:p>
            <w:r>
              <w:t>---</w:t>
            </w:r>
          </w:p>
        </w:tc>
      </w:tr>
      <w:tr>
        <w:tc>
          <w:tcPr>
            <w:tcW w:type="dxa" w:w="2880"/>
          </w:tcPr>
          <w:p>
            <w:r>
              <w:t>RMS Level</w:t>
            </w:r>
          </w:p>
        </w:tc>
        <w:tc>
          <w:tcPr>
            <w:tcW w:type="dxa" w:w="2880"/>
          </w:tcPr>
          <w:p>
            <w:r>
              <w:t>dBSPL</w:t>
            </w:r>
          </w:p>
        </w:tc>
        <w:tc>
          <w:tcPr>
            <w:tcW w:type="dxa" w:w="2880"/>
          </w:tcPr>
          <w:p>
            <w:r>
              <w:t>Frequency-response amplitude</w:t>
            </w:r>
          </w:p>
        </w:tc>
      </w:tr>
      <w:tr>
        <w:tc>
          <w:tcPr>
            <w:tcW w:type="dxa" w:w="2880"/>
          </w:tcPr>
          <w:p>
            <w:r>
              <w:t>Phase</w:t>
            </w:r>
          </w:p>
        </w:tc>
        <w:tc>
          <w:tcPr>
            <w:tcW w:type="dxa" w:w="2880"/>
          </w:tcPr>
          <w:p>
            <w:r>
              <w:t>degrees</w:t>
            </w:r>
          </w:p>
        </w:tc>
        <w:tc>
          <w:tcPr>
            <w:tcW w:type="dxa" w:w="2880"/>
          </w:tcPr>
          <w:p>
            <w:r>
              <w:t>Frequency-response phase</w:t>
            </w:r>
          </w:p>
        </w:tc>
      </w:tr>
      <w:tr>
        <w:tc>
          <w:tcPr>
            <w:tcW w:type="dxa" w:w="2880"/>
          </w:tcPr>
          <w:p>
            <w:r>
              <w:t>THD</w:t>
            </w:r>
          </w:p>
        </w:tc>
        <w:tc>
          <w:tcPr>
            <w:tcW w:type="dxa" w:w="2880"/>
          </w:tcPr>
          <w:p>
            <w:r>
              <w:t>%</w:t>
            </w:r>
          </w:p>
        </w:tc>
        <w:tc>
          <w:tcPr>
            <w:tcW w:type="dxa" w:w="2880"/>
          </w:tcPr>
          <w:p>
            <w:r>
              <w:t>Total Harmonic Distortion</w:t>
            </w:r>
          </w:p>
        </w:tc>
      </w:tr>
      <w:tr>
        <w:tc>
          <w:tcPr>
            <w:tcW w:type="dxa" w:w="2880"/>
          </w:tcPr>
          <w:p>
            <w:r>
              <w:t>RnB Crest</w:t>
            </w:r>
          </w:p>
        </w:tc>
        <w:tc>
          <w:tcPr>
            <w:tcW w:type="dxa" w:w="2880"/>
          </w:tcPr>
          <w:p>
            <w:r>
              <w:t>dB</w:t>
            </w:r>
          </w:p>
        </w:tc>
        <w:tc>
          <w:tcPr>
            <w:tcW w:type="dxa" w:w="2880"/>
          </w:tcPr>
          <w:p>
            <w:r>
              <w:t>Rub-and-Buzz crest factor</w:t>
            </w:r>
          </w:p>
        </w:tc>
      </w:tr>
      <w:tr>
        <w:tc>
          <w:tcPr>
            <w:tcW w:type="dxa" w:w="2880"/>
          </w:tcPr>
          <w:p>
            <w:r>
              <w:t>RnB Peak Ratio</w:t>
            </w:r>
          </w:p>
        </w:tc>
        <w:tc>
          <w:tcPr>
            <w:tcW w:type="dxa" w:w="2880"/>
          </w:tcPr>
          <w:p>
            <w:r>
              <w:t>dB</w:t>
            </w:r>
          </w:p>
        </w:tc>
        <w:tc>
          <w:tcPr>
            <w:tcW w:type="dxa" w:w="2880"/>
          </w:tcPr>
          <w:p>
            <w:r>
              <w:t>Rub-and-Buzz peak ratio</w:t>
            </w:r>
          </w:p>
        </w:tc>
      </w:tr>
      <w:tr>
        <w:tc>
          <w:tcPr>
            <w:tcW w:type="dxa" w:w="2880"/>
          </w:tcPr>
          <w:p>
            <w:r>
              <w:t>L-R Compensation</w:t>
            </w:r>
          </w:p>
        </w:tc>
        <w:tc>
          <w:tcPr>
            <w:tcW w:type="dxa" w:w="2880"/>
          </w:tcPr>
          <w:p>
            <w:r>
              <w:t>dB</w:t>
            </w:r>
          </w:p>
        </w:tc>
        <w:tc>
          <w:tcPr>
            <w:tcW w:type="dxa" w:w="2880"/>
          </w:tcPr>
          <w:p>
            <w:r>
              <w:t>Left-Right difference curve (only when loaded)</w:t>
            </w:r>
          </w:p>
        </w:tc>
      </w:tr>
    </w:tbl>
    <w:p>
      <w:pPr>
        <w:pStyle w:val="Heading3"/>
      </w:pPr>
      <w:r>
        <w:t>Display Mode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Mode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---</w:t>
            </w:r>
          </w:p>
        </w:tc>
        <w:tc>
          <w:tcPr>
            <w:tcW w:type="dxa" w:w="4320"/>
          </w:tcPr>
          <w:p>
            <w:r>
              <w:t>---</w:t>
            </w:r>
          </w:p>
        </w:tc>
      </w:tr>
      <w:tr>
        <w:tc>
          <w:tcPr>
            <w:tcW w:type="dxa" w:w="4320"/>
          </w:tcPr>
          <w:p>
            <w:r>
              <w:t>Raw</w:t>
            </w:r>
          </w:p>
        </w:tc>
        <w:tc>
          <w:tcPr>
            <w:tcW w:type="dxa" w:w="4320"/>
          </w:tcPr>
          <w:p>
            <w:r>
              <w:t>All individual measurement curves (semi-transparent)</w:t>
            </w:r>
          </w:p>
        </w:tc>
      </w:tr>
      <w:tr>
        <w:tc>
          <w:tcPr>
            <w:tcW w:type="dxa" w:w="4320"/>
          </w:tcPr>
          <w:p>
            <w:r>
              <w:t>Median</w:t>
            </w:r>
          </w:p>
        </w:tc>
        <w:tc>
          <w:tcPr>
            <w:tcW w:type="dxa" w:w="4320"/>
          </w:tcPr>
          <w:p>
            <w:r>
              <w:t>Per-channel median curve only</w:t>
            </w:r>
          </w:p>
        </w:tc>
      </w:tr>
      <w:tr>
        <w:tc>
          <w:tcPr>
            <w:tcW w:type="dxa" w:w="4320"/>
          </w:tcPr>
          <w:p>
            <w:r>
              <w:t>Norm.</w:t>
            </w:r>
          </w:p>
        </w:tc>
        <w:tc>
          <w:tcPr>
            <w:tcW w:type="dxa" w:w="4320"/>
          </w:tcPr>
          <w:p>
            <w:r>
              <w:t>Each curve shown as deviation from its channel median</w:t>
            </w:r>
          </w:p>
        </w:tc>
      </w:tr>
    </w:tbl>
    <w:p>
      <w:pPr>
        <w:pStyle w:val="Heading3"/>
      </w:pPr>
      <w:r>
        <w:t>Input Channel</w:t>
      </w:r>
    </w:p>
    <w:p>
      <w:r>
        <w:t xml:space="preserve">For multi-input measurements, the </w:t>
      </w:r>
      <w:r>
        <w:rPr>
          <w:b/>
        </w:rPr>
        <w:t>Input</w:t>
      </w:r>
      <w:r>
        <w:t xml:space="preserve"> row filters to one input channel at a time.</w:t>
      </w:r>
    </w:p>
    <w:p>
      <w:pPr>
        <w:pStyle w:val="Heading3"/>
      </w:pPr>
      <w:r>
        <w:t>Sub-Channel (Channel row)</w:t>
      </w:r>
    </w:p>
    <w:p>
      <w:r>
        <w:t>When a measurement type has multiple sub-columns (e.g. Left / Right for stereo),</w:t>
      </w:r>
    </w:p>
    <w:p>
      <w:r>
        <w:t>individual sub-channels can be toggled on and off independently.</w:t>
      </w:r>
    </w:p>
    <w:p>
      <w:pPr>
        <w:pStyle w:val="Heading3"/>
      </w:pPr>
      <w:r>
        <w:t>L-R Compensation (stereo RMS Level only)</w:t>
      </w:r>
    </w:p>
    <w:p>
      <w:r>
        <w:t xml:space="preserve">When a </w:t>
      </w:r>
      <w:r>
        <w:rPr>
          <w:rFonts w:ascii="Courier New" w:hAnsi="Courier New"/>
          <w:sz w:val="18"/>
        </w:rPr>
        <w:t>L-R-Diff.csv</w:t>
      </w:r>
      <w:r>
        <w:t xml:space="preserve"> fixture compensation curve is present,</w:t>
      </w:r>
    </w:p>
    <w:p>
      <w:r>
        <w:t xml:space="preserve">the </w:t>
      </w:r>
      <w:r>
        <w:rPr>
          <w:b/>
        </w:rPr>
        <w:t>Compensation</w:t>
      </w:r>
      <w:r>
        <w:t xml:space="preserve"> row appears for RMS Level in stereo mode: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Setting</w:t>
            </w:r>
          </w:p>
        </w:tc>
        <w:tc>
          <w:tcPr>
            <w:tcW w:type="dxa" w:w="4320"/>
          </w:tcPr>
          <w:p>
            <w:r>
              <w:rPr>
                <w:b/>
              </w:rPr>
              <w:t>Effect</w:t>
            </w:r>
          </w:p>
        </w:tc>
      </w:tr>
      <w:tr>
        <w:tc>
          <w:tcPr>
            <w:tcW w:type="dxa" w:w="4320"/>
          </w:tcPr>
          <w:p>
            <w:r>
              <w:t>---</w:t>
            </w:r>
          </w:p>
        </w:tc>
        <w:tc>
          <w:tcPr>
            <w:tcW w:type="dxa" w:w="4320"/>
          </w:tcPr>
          <w:p>
            <w:r>
              <w:t>---</w:t>
            </w:r>
          </w:p>
        </w:tc>
      </w:tr>
      <w:tr>
        <w:tc>
          <w:tcPr>
            <w:tcW w:type="dxa" w:w="4320"/>
          </w:tcPr>
          <w:p>
            <w:r>
              <w:t>Off</w:t>
            </w:r>
          </w:p>
        </w:tc>
        <w:tc>
          <w:tcPr>
            <w:tcW w:type="dxa" w:w="4320"/>
          </w:tcPr>
          <w:p>
            <w:r>
              <w:t>Raw levels displayed</w:t>
            </w:r>
          </w:p>
        </w:tc>
      </w:tr>
      <w:tr>
        <w:tc>
          <w:tcPr>
            <w:tcW w:type="dxa" w:w="4320"/>
          </w:tcPr>
          <w:p>
            <w:r>
              <w:t>On</w:t>
            </w:r>
          </w:p>
        </w:tc>
        <w:tc>
          <w:tcPr>
            <w:tcW w:type="dxa" w:w="4320"/>
          </w:tcPr>
          <w:p>
            <w:r>
              <w:t>L-R difference applied (±½ diff per channel) to equalise fixture offsets</w:t>
            </w:r>
          </w:p>
        </w:tc>
      </w:tr>
    </w:tbl>
    <w:p>
      <w:pPr>
        <w:pStyle w:val="Heading2"/>
      </w:pPr>
      <w:r>
        <w:t>Chart — Phase View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Switching to the </w:t>
      </w:r>
      <w:r>
        <w:rPr>
          <w:b/>
        </w:rPr>
        <w:t>Phase</w:t>
      </w:r>
      <w:r>
        <w:t xml:space="preserve"> type shows the frequency-response phase curves.</w:t>
      </w:r>
    </w:p>
    <w:p>
      <w:r>
        <w:t>Reference limit bands (if available) are overlaid automatically.</w:t>
      </w:r>
    </w:p>
    <w:p>
      <w:pPr>
        <w:pStyle w:val="Heading2"/>
      </w:pPr>
      <w:r>
        <w:t>Chart — Mono Example (Sub8PRO)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Measurements with a single data column show one curve set.</w:t>
      </w:r>
    </w:p>
    <w:p>
      <w:r>
        <w:t>The Channel sub-column row and the Compensation toggle are not shown.</w:t>
      </w:r>
    </w:p>
    <w:p>
      <w:r>
        <w:t>A single-input product can still have Left/Right sub-columns — in that case</w:t>
      </w:r>
    </w:p>
    <w:p>
      <w:r>
        <w:t>the Channel row and Compensation toggle appear just as they do for multi-input data.</w:t>
      </w:r>
    </w:p>
    <w:p>
      <w:pPr>
        <w:pStyle w:val="Heading2"/>
      </w:pPr>
      <w:r>
        <w:t>Analysis Dialog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Open via the </w:t>
      </w:r>
      <w:r>
        <w:rPr>
          <w:b/>
        </w:rPr>
        <w:t>Create Refs...</w:t>
      </w:r>
      <w:r>
        <w:t xml:space="preserve"> button (available after data is loaded).</w:t>
      </w:r>
    </w:p>
    <w:p>
      <w:pPr>
        <w:pStyle w:val="Heading3"/>
      </w:pPr>
      <w:r>
        <w:t>Reference Type (stereo only)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Option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---</w:t>
            </w:r>
          </w:p>
        </w:tc>
        <w:tc>
          <w:tcPr>
            <w:tcW w:type="dxa" w:w="4320"/>
          </w:tcPr>
          <w:p>
            <w:r>
              <w:t>---</w:t>
            </w:r>
          </w:p>
        </w:tc>
      </w:tr>
      <w:tr>
        <w:tc>
          <w:tcPr>
            <w:tcW w:type="dxa" w:w="4320"/>
          </w:tcPr>
          <w:p>
            <w:r>
              <w:t>Stereo</w:t>
            </w:r>
          </w:p>
        </w:tc>
        <w:tc>
          <w:tcPr>
            <w:tcW w:type="dxa" w:w="4320"/>
          </w:tcPr>
          <w:p>
            <w:r>
              <w:t>Separate Left and Right reference curves</w:t>
            </w:r>
          </w:p>
        </w:tc>
      </w:tr>
      <w:tr>
        <w:tc>
          <w:tcPr>
            <w:tcW w:type="dxa" w:w="4320"/>
          </w:tcPr>
          <w:p>
            <w:r>
              <w:t>Mono</w:t>
            </w:r>
          </w:p>
        </w:tc>
        <w:tc>
          <w:tcPr>
            <w:tcW w:type="dxa" w:w="4320"/>
          </w:tcPr>
          <w:p>
            <w:r>
              <w:t>Average Left and Right into a single reference curve</w:t>
            </w:r>
          </w:p>
        </w:tc>
      </w:tr>
    </w:tbl>
    <w:p>
      <w:pPr>
        <w:pStyle w:val="Heading3"/>
      </w:pPr>
      <w:r>
        <w:t>Compensation (stereo only)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Option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---</w:t>
            </w:r>
          </w:p>
        </w:tc>
        <w:tc>
          <w:tcPr>
            <w:tcW w:type="dxa" w:w="4320"/>
          </w:tcPr>
          <w:p>
            <w:r>
              <w:t>---</w:t>
            </w:r>
          </w:p>
        </w:tc>
      </w:tr>
      <w:tr>
        <w:tc>
          <w:tcPr>
            <w:tcW w:type="dxa" w:w="4320"/>
          </w:tcPr>
          <w:p>
            <w:r>
              <w:t>On</w:t>
            </w:r>
          </w:p>
        </w:tc>
        <w:tc>
          <w:tcPr>
            <w:tcW w:type="dxa" w:w="4320"/>
          </w:tcPr>
          <w:p>
            <w:r>
              <w:t>Apply L-R fixture compensation before computing the reference</w:t>
            </w:r>
          </w:p>
        </w:tc>
      </w:tr>
      <w:tr>
        <w:tc>
          <w:tcPr>
            <w:tcW w:type="dxa" w:w="4320"/>
          </w:tcPr>
          <w:p>
            <w:r>
              <w:t>Off</w:t>
            </w:r>
          </w:p>
        </w:tc>
        <w:tc>
          <w:tcPr>
            <w:tcW w:type="dxa" w:w="4320"/>
          </w:tcPr>
          <w:p>
            <w:r>
              <w:t>Compute reference without compensation</w:t>
            </w:r>
          </w:p>
        </w:tc>
      </w:tr>
    </w:tbl>
    <w:p>
      <w:pPr>
        <w:pStyle w:val="Heading3"/>
      </w:pPr>
      <w:r>
        <w:t>L-R Diff (stereo only)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Option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---</w:t>
            </w:r>
          </w:p>
        </w:tc>
        <w:tc>
          <w:tcPr>
            <w:tcW w:type="dxa" w:w="4320"/>
          </w:tcPr>
          <w:p>
            <w:r>
              <w:t>---</w:t>
            </w:r>
          </w:p>
        </w:tc>
      </w:tr>
      <w:tr>
        <w:tc>
          <w:tcPr>
            <w:tcW w:type="dxa" w:w="4320"/>
          </w:tcPr>
          <w:p>
            <w:r>
              <w:t>Use existing</w:t>
            </w:r>
          </w:p>
        </w:tc>
        <w:tc>
          <w:tcPr>
            <w:tcW w:type="dxa" w:w="4320"/>
          </w:tcPr>
          <w:p>
            <w:r>
              <w:t>Load `L-R-Diff.csv` from the References folder</w:t>
            </w:r>
          </w:p>
        </w:tc>
      </w:tr>
      <w:tr>
        <w:tc>
          <w:tcPr>
            <w:tcW w:type="dxa" w:w="4320"/>
          </w:tcPr>
          <w:p>
            <w:r>
              <w:t>Compute new</w:t>
            </w:r>
          </w:p>
        </w:tc>
        <w:tc>
          <w:tcPr>
            <w:tcW w:type="dxa" w:w="4320"/>
          </w:tcPr>
          <w:p>
            <w:r>
              <w:t>Recompute from current measurements and export Right−Left</w:t>
            </w:r>
          </w:p>
        </w:tc>
      </w:tr>
    </w:tbl>
    <w:p>
      <w:pPr>
        <w:pStyle w:val="Heading3"/>
      </w:pPr>
      <w:r>
        <w:t>Smoothing</w:t>
      </w:r>
    </w:p>
    <w:p>
      <w:r>
        <w:t>1/N octave log-scale smoothing applied to reference and limit curves before export.</w:t>
      </w:r>
    </w:p>
    <w:p>
      <w:r>
        <w:rPr>
          <w:rFonts w:ascii="Courier New" w:hAnsi="Courier New"/>
          <w:sz w:val="18"/>
        </w:rPr>
        <w:t>None</w:t>
      </w:r>
      <w:r>
        <w:t xml:space="preserve"> disables smoothing.</w:t>
      </w:r>
    </w:p>
    <w:p>
      <w:pPr>
        <w:pStyle w:val="Heading3"/>
      </w:pPr>
      <w:r>
        <w:t>Per-Type Limit Settings</w:t>
      </w:r>
    </w:p>
    <w:p>
      <w:r>
        <w:t>Each measurement type (RMS Level, Phase, THD) has independent limit settings: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Control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---</w:t>
            </w:r>
          </w:p>
        </w:tc>
        <w:tc>
          <w:tcPr>
            <w:tcW w:type="dxa" w:w="4320"/>
          </w:tcPr>
          <w:p>
            <w:r>
              <w:t>---</w:t>
            </w:r>
          </w:p>
        </w:tc>
      </w:tr>
      <w:tr>
        <w:tc>
          <w:tcPr>
            <w:tcW w:type="dxa" w:w="4320"/>
          </w:tcPr>
          <w:p>
            <w:r>
              <w:t>σ×</w:t>
            </w:r>
          </w:p>
        </w:tc>
        <w:tc>
          <w:tcPr>
            <w:tcW w:type="dxa" w:w="4320"/>
          </w:tcPr>
          <w:p>
            <w:r>
              <w:t>Limit width = value × standard deviation (frequency-dependent)</w:t>
            </w:r>
          </w:p>
        </w:tc>
      </w:tr>
      <w:tr>
        <w:tc>
          <w:tcPr>
            <w:tcW w:type="dxa" w:w="4320"/>
          </w:tcPr>
          <w:p>
            <w:r>
              <w:t>+/−</w:t>
            </w:r>
          </w:p>
        </w:tc>
        <w:tc>
          <w:tcPr>
            <w:tcW w:type="dxa" w:w="4320"/>
          </w:tcPr>
          <w:p>
            <w:r>
              <w:t>Fixed absolute offset — stored as a constant 2-point boundary line</w:t>
            </w:r>
          </w:p>
        </w:tc>
      </w:tr>
      <w:tr>
        <w:tc>
          <w:tcPr>
            <w:tcW w:type="dxa" w:w="4320"/>
          </w:tcPr>
          <w:p>
            <w:r>
              <w:t>Value</w:t>
            </w:r>
          </w:p>
        </w:tc>
        <w:tc>
          <w:tcPr>
            <w:tcW w:type="dxa" w:w="4320"/>
          </w:tcPr>
          <w:p>
            <w:r>
              <w:t>Multiplier (σ× mode) or offset magnitude (+/− mode)</w:t>
            </w:r>
          </w:p>
        </w:tc>
      </w:tr>
      <w:tr>
        <w:tc>
          <w:tcPr>
            <w:tcW w:type="dxa" w:w="4320"/>
          </w:tcPr>
          <w:p>
            <w:r>
              <w:t>f low</w:t>
            </w:r>
          </w:p>
        </w:tc>
        <w:tc>
          <w:tcPr>
            <w:tcW w:type="dxa" w:w="4320"/>
          </w:tcPr>
          <w:p>
            <w:r>
              <w:t>Lower frequency bound for limit computation [Hz]</w:t>
            </w:r>
          </w:p>
        </w:tc>
      </w:tr>
      <w:tr>
        <w:tc>
          <w:tcPr>
            <w:tcW w:type="dxa" w:w="4320"/>
          </w:tcPr>
          <w:p>
            <w:r>
              <w:t>f high</w:t>
            </w:r>
          </w:p>
        </w:tc>
        <w:tc>
          <w:tcPr>
            <w:tcW w:type="dxa" w:w="4320"/>
          </w:tcPr>
          <w:p>
            <w:r>
              <w:t>Upper frequency bound for limit computation [Hz]</w:t>
            </w:r>
          </w:p>
        </w:tc>
      </w:tr>
    </w:tbl>
    <w:p>
      <w:pPr>
        <w:pStyle w:val="Heading3"/>
      </w:pPr>
      <w:r>
        <w:t>Output Path</w:t>
      </w:r>
    </w:p>
    <w:p>
      <w:r>
        <w:t xml:space="preserve">The output folder is set via the </w:t>
      </w:r>
      <w:r>
        <w:rPr>
          <w:b/>
        </w:rPr>
        <w:t>…</w:t>
      </w:r>
      <w:r>
        <w:t xml:space="preserve"> Browse button.</w:t>
      </w:r>
    </w:p>
    <w:p>
      <w:r>
        <w:t>All files are written into this folder: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 / Folder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Content</w:t>
            </w:r>
          </w:p>
        </w:tc>
      </w:tr>
      <w:tr>
        <w:tc>
          <w:tcPr>
            <w:tcW w:type="dxa" w:w="4320"/>
          </w:tcPr>
          <w:p>
            <w:r>
              <w:t>---</w:t>
            </w:r>
          </w:p>
        </w:tc>
        <w:tc>
          <w:tcPr>
            <w:tcW w:type="dxa" w:w="4320"/>
          </w:tcPr>
          <w:p>
            <w:r>
              <w:t>---</w:t>
            </w:r>
          </w:p>
        </w:tc>
      </w:tr>
      <w:tr>
        <w:tc>
          <w:tcPr>
            <w:tcW w:type="dxa" w:w="4320"/>
          </w:tcPr>
          <w:p>
            <w:r>
              <w:t>`RMS.csv`</w:t>
            </w:r>
          </w:p>
        </w:tc>
        <w:tc>
          <w:tcPr>
            <w:tcW w:type="dxa" w:w="4320"/>
          </w:tcPr>
          <w:p>
            <w:r>
              <w:t>Median RMS reference curve(s)</w:t>
            </w:r>
          </w:p>
        </w:tc>
      </w:tr>
      <w:tr>
        <w:tc>
          <w:tcPr>
            <w:tcW w:type="dxa" w:w="4320"/>
          </w:tcPr>
          <w:p>
            <w:r>
              <w:t>`Phase.csv`</w:t>
            </w:r>
          </w:p>
        </w:tc>
        <w:tc>
          <w:tcPr>
            <w:tcW w:type="dxa" w:w="4320"/>
          </w:tcPr>
          <w:p>
            <w:r>
              <w:t>Median phase reference curve(s)</w:t>
            </w:r>
          </w:p>
        </w:tc>
      </w:tr>
      <w:tr>
        <w:tc>
          <w:tcPr>
            <w:tcW w:type="dxa" w:w="4320"/>
          </w:tcPr>
          <w:p>
            <w:r>
              <w:t>`THD.csv`</w:t>
            </w:r>
          </w:p>
        </w:tc>
        <w:tc>
          <w:tcPr>
            <w:tcW w:type="dxa" w:w="4320"/>
          </w:tcPr>
          <w:p>
            <w:r>
              <w:t>Median THD reference curve(s)</w:t>
            </w:r>
          </w:p>
        </w:tc>
      </w:tr>
      <w:tr>
        <w:tc>
          <w:tcPr>
            <w:tcW w:type="dxa" w:w="4320"/>
          </w:tcPr>
          <w:p>
            <w:r>
              <w:t>`L-R-Diff.csv`</w:t>
            </w:r>
          </w:p>
        </w:tc>
        <w:tc>
          <w:tcPr>
            <w:tcW w:type="dxa" w:w="4320"/>
          </w:tcPr>
          <w:p>
            <w:r>
              <w:t>Right−Left compensation curve (if Compute new selected)</w:t>
            </w:r>
          </w:p>
        </w:tc>
      </w:tr>
      <w:tr>
        <w:tc>
          <w:tcPr>
            <w:tcW w:type="dxa" w:w="4320"/>
          </w:tcPr>
          <w:p>
            <w:r>
              <w:t>`Limits/`</w:t>
            </w:r>
          </w:p>
        </w:tc>
        <w:tc>
          <w:tcPr>
            <w:tcW w:type="dxa" w:w="4320"/>
          </w:tcPr>
          <w:p>
            <w:r>
              <w:t>Six limit CSVs (upper/lower per type)</w:t>
            </w:r>
          </w:p>
        </w:tc>
      </w:tr>
      <w:tr>
        <w:tc>
          <w:tcPr>
            <w:tcW w:type="dxa" w:w="4320"/>
          </w:tcPr>
          <w:p>
            <w:r>
              <w:t>`Plots/`</w:t>
            </w:r>
          </w:p>
        </w:tc>
        <w:tc>
          <w:tcPr>
            <w:tcW w:type="dxa" w:w="4320"/>
          </w:tcPr>
          <w:p>
            <w:r>
              <w:t>PNG plots: individual curves + median + limit bands</w:t>
            </w:r>
          </w:p>
        </w:tc>
      </w:tr>
      <w:tr>
        <w:tc>
          <w:tcPr>
            <w:tcW w:type="dxa" w:w="4320"/>
          </w:tcPr>
          <w:p>
            <w:r>
              <w:t>`README.md`</w:t>
            </w:r>
          </w:p>
        </w:tc>
        <w:tc>
          <w:tcPr>
            <w:tcW w:type="dxa" w:w="4320"/>
          </w:tcPr>
          <w:p>
            <w:r>
              <w:t>Deployment instructions and file overview</w:t>
            </w:r>
          </w:p>
        </w:tc>
      </w:tr>
    </w:tbl>
    <w:p>
      <w:r>
        <w:t xml:space="preserve">Click </w:t>
      </w:r>
      <w:r>
        <w:rPr>
          <w:b/>
        </w:rPr>
        <w:t>Generate</w:t>
      </w:r>
      <w:r>
        <w:t xml:space="preserve"> to run the analysis and save all files.</w:t>
      </w:r>
    </w:p>
    <w:p>
      <w:pPr>
        <w:pStyle w:val="Heading2"/>
      </w:pPr>
      <w:r>
        <w:t>Deploying the Analysis Output</w:t>
      </w:r>
    </w:p>
    <w:p>
      <w:r>
        <w:t xml:space="preserve">The workstation reads references from a </w:t>
      </w:r>
      <w:r>
        <w:rPr>
          <w:rFonts w:ascii="Courier New" w:hAnsi="Courier New"/>
          <w:sz w:val="18"/>
        </w:rPr>
        <w:t>References/</w:t>
      </w:r>
      <w:r>
        <w:t xml:space="preserve"> folder inside the</w:t>
      </w:r>
    </w:p>
    <w:p>
      <w:r>
        <w:t xml:space="preserve">measurements root directory (configured in </w:t>
      </w:r>
      <w:r>
        <w:rPr>
          <w:b/>
        </w:rPr>
        <w:t>Settings → Measurements Root Folder</w:t>
      </w:r>
      <w:r>
        <w:t>).</w:t>
      </w:r>
    </w:p>
    <w:p>
      <w:r>
        <w:t>Copy the generated files as follows:</w:t>
      </w:r>
    </w:p>
    <w:p>
      <w:pPr>
        <w:pStyle w:val="NoSpacing"/>
      </w:pPr>
      <w:r>
        <w:rPr>
          <w:rFonts w:ascii="Courier New" w:hAnsi="Courier New"/>
          <w:sz w:val="16"/>
        </w:rPr>
        <w:t>&lt;Measurements root&gt;/</w:t>
        <w:br/>
        <w:t>├── References/</w:t>
        <w:br/>
        <w:t>│   ├── EOL/                 ← or GoldenSample — mirrors the Measurements structure</w:t>
        <w:br/>
        <w:t>│   │   ├── RMS.csv</w:t>
        <w:br/>
        <w:t>│   │   ├── Phase.csv</w:t>
        <w:br/>
        <w:t>│   │   ├── THD.csv</w:t>
        <w:br/>
        <w:t>│   │   └── Limits/          ← copy the limit files here</w:t>
        <w:br/>
        <w:t>│   │       ├── RMS.csv</w:t>
        <w:br/>
        <w:t>│   │       ├── PhaseUpper.csv</w:t>
        <w:br/>
        <w:t>│   │       ├── PhaseLower.csv</w:t>
        <w:br/>
        <w:t>│   │       └── THD.csv</w:t>
        <w:br/>
        <w:t>│   ├── GoldenSample/        ← same structure if GoldenSample refs exist</w:t>
        <w:br/>
        <w:t>│   │   └── ...</w:t>
        <w:br/>
        <w:t>│   └── L-R-Diff.csv         ← stereo only: shared Left/Right compensation curve</w:t>
        <w:br/>
        <w:t>└── ...</w:t>
      </w:r>
    </w:p>
    <w:p>
      <w:r>
        <w:t xml:space="preserve">&gt; </w:t>
      </w:r>
      <w:r>
        <w:rPr>
          <w:b/>
        </w:rPr>
        <w:t>Note:</w:t>
      </w:r>
      <w:r>
        <w:t xml:space="preserve"> The </w:t>
      </w:r>
      <w:r>
        <w:rPr>
          <w:rFonts w:ascii="Courier New" w:hAnsi="Courier New"/>
          <w:sz w:val="18"/>
        </w:rPr>
        <w:t>Plots/</w:t>
      </w:r>
      <w:r>
        <w:t xml:space="preserve"> subfolder contains PNG overview charts for visual</w:t>
      </w:r>
    </w:p>
    <w:p>
      <w:r>
        <w:t xml:space="preserve">&gt; inspection. These plots are </w:t>
      </w:r>
      <w:r>
        <w:rPr>
          <w:b/>
        </w:rPr>
        <w:t>not</w:t>
      </w:r>
      <w:r>
        <w:t xml:space="preserve"> used by the workstation.</w:t>
      </w:r>
    </w:p>
    <w:p>
      <w:pPr>
        <w:pStyle w:val="Heading3"/>
      </w:pPr>
      <w:r>
        <w:t>Exported File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Unit</w:t>
            </w:r>
          </w:p>
        </w:tc>
      </w:tr>
      <w:tr>
        <w:tc>
          <w:tcPr>
            <w:tcW w:type="dxa" w:w="2880"/>
          </w:tcPr>
          <w:p>
            <w:r>
              <w:t>---</w:t>
            </w:r>
          </w:p>
        </w:tc>
        <w:tc>
          <w:tcPr>
            <w:tcW w:type="dxa" w:w="2880"/>
          </w:tcPr>
          <w:p>
            <w:r>
              <w:t>---</w:t>
            </w:r>
          </w:p>
        </w:tc>
        <w:tc>
          <w:tcPr>
            <w:tcW w:type="dxa" w:w="2880"/>
          </w:tcPr>
          <w:p>
            <w:r>
              <w:t>---</w:t>
            </w:r>
          </w:p>
        </w:tc>
      </w:tr>
      <w:tr>
        <w:tc>
          <w:tcPr>
            <w:tcW w:type="dxa" w:w="2880"/>
          </w:tcPr>
          <w:p>
            <w:r>
              <w:t>`RMS.csv`</w:t>
            </w:r>
          </w:p>
        </w:tc>
        <w:tc>
          <w:tcPr>
            <w:tcW w:type="dxa" w:w="2880"/>
          </w:tcPr>
          <w:p>
            <w:r>
              <w:t>Median RMS level reference curve(s)</w:t>
            </w:r>
          </w:p>
        </w:tc>
        <w:tc>
          <w:tcPr>
            <w:tcW w:type="dxa" w:w="2880"/>
          </w:tcPr>
          <w:p>
            <w:r>
              <w:t>dBSPL</w:t>
            </w:r>
          </w:p>
        </w:tc>
      </w:tr>
      <w:tr>
        <w:tc>
          <w:tcPr>
            <w:tcW w:type="dxa" w:w="2880"/>
          </w:tcPr>
          <w:p>
            <w:r>
              <w:t>`Phase.csv`</w:t>
            </w:r>
          </w:p>
        </w:tc>
        <w:tc>
          <w:tcPr>
            <w:tcW w:type="dxa" w:w="2880"/>
          </w:tcPr>
          <w:p>
            <w:r>
              <w:t>Median phase reference curve(s)</w:t>
            </w:r>
          </w:p>
        </w:tc>
        <w:tc>
          <w:tcPr>
            <w:tcW w:type="dxa" w:w="2880"/>
          </w:tcPr>
          <w:p>
            <w:r>
              <w:t>deg</w:t>
            </w:r>
          </w:p>
        </w:tc>
      </w:tr>
      <w:tr>
        <w:tc>
          <w:tcPr>
            <w:tcW w:type="dxa" w:w="2880"/>
          </w:tcPr>
          <w:p>
            <w:r>
              <w:t>`THD.csv`</w:t>
            </w:r>
          </w:p>
        </w:tc>
        <w:tc>
          <w:tcPr>
            <w:tcW w:type="dxa" w:w="2880"/>
          </w:tcPr>
          <w:p>
            <w:r>
              <w:t>Median THD reference curve(s)</w:t>
            </w:r>
          </w:p>
        </w:tc>
        <w:tc>
          <w:tcPr>
            <w:tcW w:type="dxa" w:w="2880"/>
          </w:tcPr>
          <w:p>
            <w:r>
              <w:t>%</w:t>
            </w:r>
          </w:p>
        </w:tc>
      </w:tr>
      <w:tr>
        <w:tc>
          <w:tcPr>
            <w:tcW w:type="dxa" w:w="2880"/>
          </w:tcPr>
          <w:p>
            <w:r>
              <w:t>`L-R-Diff.csv`</w:t>
            </w:r>
          </w:p>
        </w:tc>
        <w:tc>
          <w:tcPr>
            <w:tcW w:type="dxa" w:w="2880"/>
          </w:tcPr>
          <w:p>
            <w:r>
              <w:t>Median Right−Left difference curve (stereo only)</w:t>
            </w:r>
          </w:p>
        </w:tc>
        <w:tc>
          <w:tcPr>
            <w:tcW w:type="dxa" w:w="2880"/>
          </w:tcPr>
          <w:p>
            <w:r>
              <w:t>dB</w:t>
            </w:r>
          </w:p>
        </w:tc>
      </w:tr>
      <w:tr>
        <w:tc>
          <w:tcPr>
            <w:tcW w:type="dxa" w:w="2880"/>
          </w:tcPr>
          <w:p>
            <w:r>
              <w:t>`Limits/RMS.csv`</w:t>
            </w:r>
          </w:p>
        </w:tc>
        <w:tc>
          <w:tcPr>
            <w:tcW w:type="dxa" w:w="2880"/>
          </w:tcPr>
          <w:p>
            <w:r>
              <w:t>RMS tolerance — half-width of the pass band</w:t>
            </w:r>
          </w:p>
        </w:tc>
        <w:tc>
          <w:tcPr>
            <w:tcW w:type="dxa" w:w="2880"/>
          </w:tcPr>
          <w:p>
            <w:r>
              <w:t>dB</w:t>
            </w:r>
          </w:p>
        </w:tc>
      </w:tr>
      <w:tr>
        <w:tc>
          <w:tcPr>
            <w:tcW w:type="dxa" w:w="2880"/>
          </w:tcPr>
          <w:p>
            <w:r>
              <w:t>`Limits/PhaseUpper.csv`</w:t>
            </w:r>
          </w:p>
        </w:tc>
        <w:tc>
          <w:tcPr>
            <w:tcW w:type="dxa" w:w="2880"/>
          </w:tcPr>
          <w:p>
            <w:r>
              <w:t>Phase upper tolerance</w:t>
            </w:r>
          </w:p>
        </w:tc>
        <w:tc>
          <w:tcPr>
            <w:tcW w:type="dxa" w:w="2880"/>
          </w:tcPr>
          <w:p>
            <w:r>
              <w:t>deg</w:t>
            </w:r>
          </w:p>
        </w:tc>
      </w:tr>
      <w:tr>
        <w:tc>
          <w:tcPr>
            <w:tcW w:type="dxa" w:w="2880"/>
          </w:tcPr>
          <w:p>
            <w:r>
              <w:t>`Limits/PhaseLower.csv`</w:t>
            </w:r>
          </w:p>
        </w:tc>
        <w:tc>
          <w:tcPr>
            <w:tcW w:type="dxa" w:w="2880"/>
          </w:tcPr>
          <w:p>
            <w:r>
              <w:t>Phase lower tolerance (negated)</w:t>
            </w:r>
          </w:p>
        </w:tc>
        <w:tc>
          <w:tcPr>
            <w:tcW w:type="dxa" w:w="2880"/>
          </w:tcPr>
          <w:p>
            <w:r>
              <w:t>deg</w:t>
            </w:r>
          </w:p>
        </w:tc>
      </w:tr>
      <w:tr>
        <w:tc>
          <w:tcPr>
            <w:tcW w:type="dxa" w:w="2880"/>
          </w:tcPr>
          <w:p>
            <w:r>
              <w:t>`Limits/THD.csv`</w:t>
            </w:r>
          </w:p>
        </w:tc>
        <w:tc>
          <w:tcPr>
            <w:tcW w:type="dxa" w:w="2880"/>
          </w:tcPr>
          <w:p>
            <w:r>
              <w:t>THD tolerance as a relative factor</w:t>
            </w:r>
          </w:p>
        </w:tc>
        <w:tc>
          <w:tcPr>
            <w:tcW w:type="dxa" w:w="2880"/>
          </w:tcPr>
          <w:p>
            <w:r>
              <w:t>%</w:t>
            </w:r>
          </w:p>
        </w:tc>
      </w:tr>
    </w:tbl>
    <w:p>
      <w:r>
        <w:t xml:space="preserve">All CSV files use the </w:t>
      </w:r>
      <w:r>
        <w:rPr>
          <w:b/>
        </w:rPr>
        <w:t>AP 4-header format</w:t>
      </w:r>
      <w:r>
        <w:t>: 4 rows of header followed by X/Y data pairs.</w:t>
      </w:r>
    </w:p>
    <w:p>
      <w:pPr>
        <w:pStyle w:val="Heading3"/>
      </w:pPr>
      <w:r>
        <w:t>Limit Modes</w:t>
      </w:r>
    </w:p>
    <w:p>
      <w:r>
        <w:t>Each measurement type can use one of two limit modes: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Mode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Stored as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---</w:t>
            </w:r>
          </w:p>
        </w:tc>
        <w:tc>
          <w:tcPr>
            <w:tcW w:type="dxa" w:w="2880"/>
          </w:tcPr>
          <w:p>
            <w:r>
              <w:t>---</w:t>
            </w:r>
          </w:p>
        </w:tc>
        <w:tc>
          <w:tcPr>
            <w:tcW w:type="dxa" w:w="2880"/>
          </w:tcPr>
          <w:p>
            <w:r>
              <w:t>---</w:t>
            </w:r>
          </w:p>
        </w:tc>
      </w:tr>
      <w:tr>
        <w:tc>
          <w:tcPr>
            <w:tcW w:type="dxa" w:w="2880"/>
          </w:tcPr>
          <w:p>
            <w:r>
              <w:t>**σ×**</w:t>
            </w:r>
          </w:p>
        </w:tc>
        <w:tc>
          <w:tcPr>
            <w:tcW w:type="dxa" w:w="2880"/>
          </w:tcPr>
          <w:p>
            <w:r>
              <w:t>Full-resolution curve</w:t>
            </w:r>
          </w:p>
        </w:tc>
        <w:tc>
          <w:tcPr>
            <w:tcW w:type="dxa" w:w="2880"/>
          </w:tcPr>
          <w:p>
            <w:r>
              <w:t>Limit = value × standard deviation at each frequency point</w:t>
            </w:r>
          </w:p>
        </w:tc>
      </w:tr>
      <w:tr>
        <w:tc>
          <w:tcPr>
            <w:tcW w:type="dxa" w:w="2880"/>
          </w:tcPr>
          <w:p>
            <w:r>
              <w:t>**+/−**</w:t>
            </w:r>
          </w:p>
        </w:tc>
        <w:tc>
          <w:tcPr>
            <w:tcW w:type="dxa" w:w="2880"/>
          </w:tcPr>
          <w:p>
            <w:r>
              <w:t>2-point boundary line</w:t>
            </w:r>
          </w:p>
        </w:tc>
        <w:tc>
          <w:tcPr>
            <w:tcW w:type="dxa" w:w="2880"/>
          </w:tcPr>
          <w:p>
            <w:r>
              <w:t>Fixed absolute offset — constant across the frequency range</w:t>
            </w:r>
          </w:p>
        </w:tc>
      </w:tr>
    </w:tbl>
    <w:p>
      <w:r>
        <w:t xml:space="preserve">The chosen mode and value are recorded in the </w:t>
      </w:r>
      <w:r>
        <w:rPr>
          <w:rFonts w:ascii="Courier New" w:hAnsi="Courier New"/>
          <w:sz w:val="18"/>
        </w:rPr>
        <w:t>README.md</w:t>
      </w:r>
      <w:r>
        <w:t xml:space="preserve"> inside the export folder.</w:t>
      </w:r>
    </w:p>
    <w:p>
      <w:pPr>
        <w:pStyle w:val="Heading2"/>
      </w:pPr>
      <w:r>
        <w:t>Measurements Root Folder</w:t>
      </w:r>
    </w:p>
    <w:p>
      <w:r>
        <w:t>The root folder must follow this structure:</w:t>
      </w:r>
    </w:p>
    <w:p>
      <w:pPr>
        <w:pStyle w:val="NoSpacing"/>
      </w:pPr>
      <w:r>
        <w:rPr>
          <w:rFonts w:ascii="Courier New" w:hAnsi="Courier New"/>
          <w:sz w:val="16"/>
        </w:rPr>
        <w:t>Root/</w:t>
        <w:br/>
        <w:t xml:space="preserve">  Measurements/</w:t>
        <w:br/>
        <w:t xml:space="preserve">    EOL/                 ← or GoldenSample</w:t>
        <w:br/>
        <w:t xml:space="preserve">      2026/</w:t>
        <w:br/>
        <w:t xml:space="preserve">        6_25/            ← result folder (one run = one set of CSV files)</w:t>
        <w:br/>
        <w:t xml:space="preserve">    GoldenSample/        ← same structure</w:t>
        <w:br/>
        <w:t xml:space="preserve">      2026/</w:t>
        <w:br/>
        <w:t xml:space="preserve">        ...</w:t>
        <w:br/>
        <w:t xml:space="preserve">  References/            ← mirrors the Measurements category structure</w:t>
        <w:br/>
        <w:t xml:space="preserve">    EOL/</w:t>
        <w:br/>
        <w:t xml:space="preserve">      RMS.csv            ← median reference (generated by Create Refs...)</w:t>
        <w:br/>
        <w:t xml:space="preserve">      Phase.csv</w:t>
        <w:br/>
        <w:t xml:space="preserve">      THD.csv</w:t>
        <w:br/>
        <w:t xml:space="preserve">      Limits/</w:t>
        <w:br/>
        <w:t xml:space="preserve">    GoldenSample/        ← same structure</w:t>
        <w:br/>
        <w:t xml:space="preserve">      ...</w:t>
        <w:br/>
        <w:t xml:space="preserve">    L-R-Diff.csv         ← stereo only: shared compensation curve</w:t>
      </w:r>
    </w:p>
    <w:p>
      <w:r>
        <w:t xml:space="preserve">Configure the root folder in </w:t>
      </w:r>
      <w:r>
        <w:rPr>
          <w:b/>
        </w:rPr>
        <w:t>Settings → Measurements Root Folder</w:t>
      </w:r>
      <w: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