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i w:val="0"/>
          <w:color w:val="000000"/>
        </w:rPr>
        <w:t>Accelerating Column Generation and Branch-and-Price with Traditional and Learning-Guided Methods: A Critical Review</w:t>
      </w:r>
    </w:p>
    <w:p>
      <w:pPr/>
      <w:r>
        <w:rPr>
          <w:rFonts w:ascii="Times New Roman" w:hAnsi="Times New Roman"/>
          <w:b w:val="0"/>
          <w:i w:val="0"/>
          <w:color w:val="000000"/>
        </w:rPr>
        <w:t>Xinran Yang</w:t>
      </w:r>
      <w:r>
        <w:rPr>
          <w:rFonts w:ascii="Times New Roman" w:hAnsi="Times New Roman"/>
          <w:b w:val="0"/>
          <w:i w:val="0"/>
          <w:color w:val="000000"/>
          <w:vertAlign w:val="superscript"/>
        </w:rPr>
        <w:t>a,*</w:t>
      </w:r>
    </w:p>
    <w:p>
      <w:pPr/>
      <w:r>
        <w:rPr>
          <w:rFonts w:ascii="Times New Roman" w:hAnsi="Times New Roman"/>
          <w:b w:val="0"/>
          <w:i w:val="0"/>
          <w:color w:val="000000"/>
          <w:vertAlign w:val="superscript"/>
        </w:rPr>
        <w:t>a</w:t>
      </w:r>
      <w:r>
        <w:rPr>
          <w:rFonts w:ascii="Times New Roman" w:hAnsi="Times New Roman"/>
          <w:b w:val="0"/>
          <w:i w:val="0"/>
          <w:color w:val="000000"/>
        </w:rPr>
        <w:t xml:space="preserve"> School of Management and Engineering, Capital University of Economics and Business, 121 Zhangjialukou, Huaxiang, Fengtai District, Beijing 100070, China</w:t>
      </w:r>
    </w:p>
    <w:p>
      <w:pPr/>
      <w:r>
        <w:rPr>
          <w:rFonts w:ascii="Times New Roman" w:hAnsi="Times New Roman"/>
          <w:b w:val="0"/>
          <w:i w:val="0"/>
          <w:color w:val="000000"/>
          <w:vertAlign w:val="superscript"/>
        </w:rPr>
        <w:t>*</w:t>
      </w:r>
      <w:r>
        <w:rPr>
          <w:rFonts w:ascii="Times New Roman" w:hAnsi="Times New Roman"/>
          <w:b w:val="0"/>
          <w:i w:val="0"/>
          <w:color w:val="000000"/>
        </w:rPr>
        <w:t xml:space="preserve"> Corresponding author. E-mail: 22025213033@cueb.edu.cn</w:t>
      </w:r>
    </w:p>
    <w:p>
      <w:pPr>
        <w:pStyle w:val="Heading2"/>
      </w:pPr>
      <w:r>
        <w:rPr>
          <w:rFonts w:ascii="Times New Roman" w:hAnsi="Times New Roman"/>
          <w:b/>
          <w:i w:val="0"/>
          <w:color w:val="000000"/>
        </w:rPr>
        <w:t>Abstract</w:t>
      </w:r>
    </w:p>
    <w:p>
      <w:pPr/>
      <w:r>
        <w:rPr>
          <w:rFonts w:ascii="Times New Roman" w:hAnsi="Times New Roman"/>
          <w:b w:val="0"/>
          <w:i w:val="0"/>
          <w:color w:val="000000"/>
        </w:rPr>
        <w:t xml:space="preserve">Column generation (CG) and branch-and-price (B&amp;P) can be accelerated by classical mechanisms, such as stabilization, dominance and column management, and increasingly by machine learning. Whether an acceleration helps depends on the decision it changes, the argument that protects the result and the endpoint measured. This critical review codes each method variant by intervention layer, from tree control to generated-column management, by guarantee mechanism and by empirical scope, from offline prediction to complete trees. A bounded sample of 80 core and 8 supporting study families yields 146 variants, 72 traditional and 74 learning-guided. A two-customer routing example shows why column discovery may be heuristic, whereas valid bounds and closure require full-domain information. Within-study comparisons support conditional gains from dual initialization for related repeated solves, matched five-column admission and, each in one study, learned screening of branching candidates and recoverable pricing cutoffs. They also show that a classical reduced-cost filter can outperform learned-only graph restriction, that a distribution shift can reverse a stabilization gain, and that fewer pricing calls need not reduce elapsed time. Learning-guided variants are evaluated mainly offline or at the root: 18 of their 123 scope memberships in the current coding snapshot involve partial or complete trees, against 53 of 116 for traditional variants, and only 24 core families report complete-tree evaluation. A practitioner protocol specifies the comparators and the timing, completion and recovery information that comparisons need. Research priorities are adaptive allocation of certification effort, joint design of restriction and recovery, and reusable pricing-state benchmarks linked to complete solver runs.</w:t>
      </w:r>
    </w:p>
    <w:p>
      <w:pPr/>
      <w:r>
        <w:rPr>
          <w:rFonts w:ascii="Times New Roman" w:hAnsi="Times New Roman"/>
          <w:b/>
          <w:i w:val="0"/>
          <w:color w:val="000000"/>
        </w:rPr>
        <w:t>Keywords:</w:t>
      </w:r>
      <w:r>
        <w:rPr>
          <w:rFonts w:ascii="Times New Roman" w:hAnsi="Times New Roman"/>
          <w:b w:val="0"/>
          <w:i w:val="0"/>
          <w:color w:val="000000"/>
        </w:rPr>
        <w:t xml:space="preserve"> column generation; branch-and-price; branch-price-and-cut; learning to optimize; pricing; stabilization; machine learning</w:t>
      </w:r>
    </w:p>
    <w:p>
      <w:pPr>
        <w:pStyle w:val="Heading1"/>
      </w:pPr>
      <w:r>
        <w:rPr>
          <w:rFonts w:ascii="Times New Roman" w:hAnsi="Times New Roman"/>
          <w:b/>
          <w:i w:val="0"/>
          <w:color w:val="000000"/>
        </w:rPr>
        <w:t>1 Introduction</w:t>
      </w:r>
    </w:p>
    <w:p>
      <w:pPr/>
      <w:r>
        <w:rPr>
          <w:rFonts w:ascii="Times New Roman" w:hAnsi="Times New Roman"/>
          <w:b w:val="0"/>
          <w:i w:val="0"/>
          <w:color w:val="000000"/>
        </w:rPr>
        <w:t>Classical stabilization and learned guidance can both reduce column-generation work, but their advantages depend on the problem distribution and the comparator. In peer-reviewed cutting-stock experiments, learned sparse dual predictions used as stability centers of the penalty stabilization of du Merle et al. (1999) reduced mean time from 5.62 to 3.08 s against classical center updates across 500 synthetic cases, yet took 128.51 s against 99.48 s across 6195 BPPLIB cases (Kraul et al., 2023). In routing, a classical reduced-cost filter was faster than learned-only filtering in the reported groups, although combining the two helped some groups (Morabit et al., 2023). These contrasts motivate the central question of this review: which intervention improves a competitive solver at the required endpoint?</w:t>
      </w:r>
    </w:p>
    <w:p>
      <w:pPr/>
      <w:r>
        <w:rPr>
          <w:rFonts w:ascii="Times New Roman" w:hAnsi="Times New Roman"/>
          <w:b w:val="0"/>
          <w:i w:val="0"/>
          <w:color w:val="000000"/>
        </w:rPr>
        <w:t>Column generation (CG) solves linear programs with too many variables to list explicitly. A restricted master problem (RMP) assigns dual values to its constraints; pricing uses those values to discover useful variables or certify that no improving variable remains. Embedding this exchange in a complete branch-and-price (B&amp;P) or branch-price-and-cut (BPC) algorithm extends the approach to integer optimization. Routes, duties, cutting patterns, schedules and independent sets all fit this architecture (Barnhart et al., 1998; Lübbecke and Desrosiers, 2005; Petris et al., 2025).</w:t>
      </w:r>
    </w:p>
    <w:p>
      <w:pPr/>
      <w:r>
        <w:rPr>
          <w:rFonts w:ascii="Times New Roman" w:hAnsi="Times New Roman"/>
          <w:b w:val="0"/>
          <w:i w:val="0"/>
          <w:color w:val="000000"/>
        </w:rPr>
        <w:t>The architecture offers several places to save work, each with a different mathematical responsibility. An acceleration claim must identify the decision changed, the computation measured and the condition that protects the intended result.</w:t>
      </w:r>
    </w:p>
    <w:p>
      <w:pPr/>
      <w:r>
        <w:rPr>
          <w:rFonts w:ascii="Times New Roman" w:hAnsi="Times New Roman"/>
          <w:b w:val="0"/>
          <w:i w:val="0"/>
          <w:color w:val="000000"/>
        </w:rPr>
        <w:t>Reordering labels can leave the pricing search intact. Deleting arcs can remove its optimum. Selecting generated columns can reduce master size after their generation cost has already been paid. A branching policy can reduce the number of nodes while making each node harder to price.</w:t>
      </w:r>
    </w:p>
    <w:p>
      <w:pPr/>
      <w:r>
        <w:rPr>
          <w:rFonts w:ascii="Times New Roman" w:hAnsi="Times New Roman"/>
          <w:b w:val="0"/>
          <w:i w:val="0"/>
          <w:color w:val="000000"/>
        </w:rPr>
        <w:t>Traditional optimization already supplies strong mechanisms at these interfaces. Stabilization controls dual movement; dominance and completion bounds remove redundant search; resource relaxations simplify pricing; pools and multiple-column admission regulate master growth. Learning can choose among these mechanisms, predict useful reference information, or construct promising columns. Its incremental value depends on the classical alternative it improves and on the cost of the checks or recovery that follow (Baldacci et al., 2011; Pessoa et al., 2018; Pessoa et al., 2020; Sadykov et al., 2021).</w:t>
      </w:r>
    </w:p>
    <w:p>
      <w:pPr/>
      <w:r>
        <w:rPr>
          <w:rFonts w:ascii="Times New Roman" w:hAnsi="Times New Roman"/>
          <w:b w:val="0"/>
          <w:i w:val="0"/>
          <w:color w:val="000000"/>
        </w:rPr>
        <w:t xml:space="preserve">This review develops a common account of that incremental value. It joins three complementary descriptors at the level of an individual method variant: </w:t>
      </w:r>
      <w:r>
        <w:rPr>
          <w:rFonts w:ascii="Times New Roman" w:hAnsi="Times New Roman"/>
          <w:b/>
          <w:i w:val="0"/>
          <w:color w:val="000000"/>
        </w:rPr>
        <w:t>intervention location</w:t>
      </w:r>
      <w:r>
        <w:rPr>
          <w:rFonts w:ascii="Times New Roman" w:hAnsi="Times New Roman"/>
          <w:b w:val="0"/>
          <w:i w:val="0"/>
          <w:color w:val="000000"/>
        </w:rPr>
        <w:t xml:space="preserve">, </w:t>
      </w:r>
      <w:r>
        <w:rPr>
          <w:rFonts w:ascii="Times New Roman" w:hAnsi="Times New Roman"/>
          <w:b/>
          <w:i w:val="0"/>
          <w:color w:val="000000"/>
        </w:rPr>
        <w:t>guarantee mechanism</w:t>
      </w:r>
      <w:r>
        <w:rPr>
          <w:rFonts w:ascii="Times New Roman" w:hAnsi="Times New Roman"/>
          <w:b w:val="0"/>
          <w:i w:val="0"/>
          <w:color w:val="000000"/>
        </w:rPr>
        <w:t xml:space="preserve">, and </w:t>
      </w:r>
      <w:r>
        <w:rPr>
          <w:rFonts w:ascii="Times New Roman" w:hAnsi="Times New Roman"/>
          <w:b/>
          <w:i w:val="0"/>
          <w:color w:val="000000"/>
        </w:rPr>
        <w:t>empirical scope</w:t>
      </w:r>
      <w:r>
        <w:rPr>
          <w:rFonts w:ascii="Times New Roman" w:hAnsi="Times New Roman"/>
          <w:b w:val="0"/>
          <w:i w:val="0"/>
          <w:color w:val="000000"/>
        </w:rPr>
        <w:t>. Six intervention layers locate the changed decision, from tree control to generated-column management. Guarantee labels identify whether the method preserves a search order, restores a restriction, proves a deletion safe, exploits a valid relaxation, or leaves the intended certificate incomplete. Evidence scopes distinguish offline prediction, standalone pricing, CG, nonroot components and complete trees.</w:t>
      </w:r>
    </w:p>
    <w:p>
      <w:pPr/>
      <w:r>
        <w:rPr>
          <w:rFonts w:ascii="Times New Roman" w:hAnsi="Times New Roman"/>
          <w:b w:val="0"/>
          <w:i w:val="0"/>
          <w:color w:val="000000"/>
        </w:rPr>
        <w:t>The resulting synthesis answers three practical questions.</w:t>
      </w:r>
    </w:p>
    <w:p>
      <w:pPr>
        <w:pStyle w:val="ListBullet"/>
      </w:pPr>
      <w:r>
        <w:rPr>
          <w:rFonts w:ascii="Times New Roman" w:hAnsi="Times New Roman"/>
          <w:b w:val="0"/>
          <w:i w:val="0"/>
          <w:color w:val="000000"/>
        </w:rPr>
        <w:t>Which computational bottleneck is addressed, and which established mechanism acts at the same interface?</w:t>
      </w:r>
    </w:p>
    <w:p>
      <w:pPr>
        <w:pStyle w:val="ListBullet"/>
      </w:pPr>
      <w:r>
        <w:rPr>
          <w:rFonts w:ascii="Times New Roman" w:hAnsi="Times New Roman"/>
          <w:b w:val="0"/>
          <w:i w:val="0"/>
          <w:color w:val="000000"/>
        </w:rPr>
        <w:t>What mathematical condition connects the accelerated computation to a valid bound or complete solution?</w:t>
      </w:r>
    </w:p>
    <w:p>
      <w:pPr>
        <w:pStyle w:val="ListBullet"/>
      </w:pPr>
      <w:r>
        <w:rPr>
          <w:rFonts w:ascii="Times New Roman" w:hAnsi="Times New Roman"/>
          <w:b w:val="0"/>
          <w:i w:val="0"/>
          <w:color w:val="000000"/>
        </w:rPr>
        <w:t>Does the experiment include the costs and failures through which the local improvement could disappear?</w:t>
      </w:r>
    </w:p>
    <w:p>
      <w:pPr/>
      <w:r>
        <w:rPr>
          <w:rFonts w:ascii="Times New Roman" w:hAnsi="Times New Roman"/>
          <w:b w:val="0"/>
          <w:i w:val="0"/>
          <w:color w:val="000000"/>
        </w:rPr>
        <w:t>Existing reviews establish the theoretical and algorithmic foundations for CG and B&amp;P. They explain duality, stabilization, pricing and integer completion, and recent learning surveys already distinguish column selection from column construction and discuss generalization and computational overhead (Costa et al., 2019; Fan et al., 2026; Lübbecke and Desrosiers, 2005; Petris et al., 2025; Wilhelm, 2001; Zhou et al., 2025).</w:t>
      </w:r>
    </w:p>
    <w:p>
      <w:pPr/>
      <w:r>
        <w:rPr>
          <w:rFonts w:ascii="Times New Roman" w:hAnsi="Times New Roman"/>
          <w:b w:val="0"/>
          <w:i w:val="0"/>
          <w:color w:val="000000"/>
        </w:rPr>
        <w:t xml:space="preserve">Table 1 summarizes the conclusions enabled by comparing intervention layers, guarantees and evaluation endpoints. Matching five-column admission in Yuan et al. (2024), and matching the ten-column candidate pool in Hu et al. (2025), yield smaller gains than comparisons with single-column admission. Separating direct and recovered dual restrictions reveals that their runtimes concern different bound targets. Comparing completion with conditional runtime distinguishes fewer pricing calls from faster reliable solves. These conclusions require variant-specific mathematical and computational records, beyond an inventory of learning architectures (Fan et al., 2026; Hu et al., 2025; You et al., 2026a; Yuan et al., 2024; Zhou et al., 2025).</w:t>
      </w:r>
    </w:p>
    <w:p>
      <w:pPr/>
      <w:r>
        <w:rPr>
          <w:rFonts w:ascii="Times New Roman" w:hAnsi="Times New Roman"/>
          <w:b w:val="0"/>
          <w:i w:val="0"/>
          <w:color w:val="000000"/>
        </w:rPr>
        <w:t>A small vehicle-routing example makes these distinctions concrete throughout the review. It shows how a plausible arc filter can hide useful routes, why the resulting pricing value cannot certify the full master, and what full-graph recovery repairs. The same reasoning then extends to stabilization, dominance, column fixing and branching. The final sections use the evidence to develop a reporting protocol and a research agenda centered on the cost of obtaining certificates, with reusable pricing states paired with complete solver runs.</w:t>
      </w:r>
    </w:p>
    <w:p>
      <w:pPr/>
      <w:r>
        <w:rPr>
          <w:rFonts w:ascii="Times New Roman" w:hAnsi="Times New Roman"/>
          <w:b w:val="0"/>
          <w:i w:val="0"/>
          <w:color w:val="000000"/>
        </w:rPr>
        <w:t xml:space="preserve">Broader accounts of learning in optimization explain algorithm selection, imitation of costly decisions and distribution-dependent evaluation (Bengio et al., 2021; Lodi and Zarpellon, 2017; Scavuzzo et al., 2026). Classical foundations include the edited volume </w:t>
      </w:r>
      <w:r>
        <w:rPr>
          <w:rFonts w:ascii="Times New Roman" w:hAnsi="Times New Roman"/>
          <w:b w:val="0"/>
          <w:i/>
          <w:color w:val="000000"/>
        </w:rPr>
        <w:t>Column Generation</w:t>
      </w:r>
      <w:r>
        <w:rPr>
          <w:rFonts w:ascii="Times New Roman" w:hAnsi="Times New Roman"/>
          <w:b w:val="0"/>
          <w:i w:val="0"/>
          <w:color w:val="000000"/>
        </w:rPr>
        <w:t xml:space="preserve"> and the recent </w:t>
      </w:r>
      <w:r>
        <w:rPr>
          <w:rFonts w:ascii="Times New Roman" w:hAnsi="Times New Roman"/>
          <w:b w:val="0"/>
          <w:i/>
          <w:color w:val="000000"/>
        </w:rPr>
        <w:t>Branch-and-Price</w:t>
      </w:r>
      <w:r>
        <w:rPr>
          <w:rFonts w:ascii="Times New Roman" w:hAnsi="Times New Roman"/>
          <w:b w:val="0"/>
          <w:i w:val="0"/>
          <w:color w:val="000000"/>
        </w:rPr>
        <w:t xml:space="preserve"> monograph (Desaulniers et al., 2005; Desrosiers et al., 2026). Here, </w:t>
      </w:r>
      <w:r>
        <w:rPr>
          <w:rFonts w:ascii="Times New Roman" w:hAnsi="Times New Roman"/>
          <w:b/>
          <w:i w:val="0"/>
          <w:color w:val="000000"/>
        </w:rPr>
        <w:t>traditional</w:t>
      </w:r>
      <w:r>
        <w:rPr>
          <w:rFonts w:ascii="Times New Roman" w:hAnsi="Times New Roman"/>
          <w:b w:val="0"/>
          <w:i w:val="0"/>
          <w:color w:val="000000"/>
        </w:rPr>
        <w:t xml:space="preserve"> means a non-learned optimization method, including exact bounds, stabilization and heuristic pricing. </w:t>
      </w:r>
      <w:r>
        <w:rPr>
          <w:rFonts w:ascii="Times New Roman" w:hAnsi="Times New Roman"/>
          <w:b/>
          <w:i w:val="0"/>
          <w:color w:val="000000"/>
        </w:rPr>
        <w:t>Heuristic pricing</w:t>
      </w:r>
      <w:r>
        <w:rPr>
          <w:rFonts w:ascii="Times New Roman" w:hAnsi="Times New Roman"/>
          <w:b w:val="0"/>
          <w:i w:val="0"/>
          <w:color w:val="000000"/>
        </w:rPr>
        <w:t xml:space="preserve"> specifically denotes a proposal procedure that does not itself certify the pricing minimum. The title uses the broader term because both classes are necessary comparators.</w:t>
      </w:r>
    </w:p>
    <w:p>
      <w:pPr>
        <w:keepNext/>
        <w:keepLines/>
        <w:spacing w:before="120" w:after="60"/>
        <w:jc w:val="center"/>
      </w:pPr>
      <w:r>
        <w:drawing>
          <wp:inline xmlns:a="http://schemas.openxmlformats.org/drawingml/2006/main" xmlns:pic="http://schemas.openxmlformats.org/drawingml/2006/picture">
            <wp:extent cx="5943600" cy="3252558"/>
            <wp:docPr id="1" name="Picture 1" descr="F1_intervention_layers"/>
            <wp:cNvGraphicFramePr>
              <a:graphicFrameLocks noChangeAspect="1"/>
            </wp:cNvGraphicFramePr>
            <a:graphic>
              <a:graphicData uri="http://schemas.openxmlformats.org/drawingml/2006/picture">
                <pic:pic>
                  <pic:nvPicPr>
                    <pic:cNvPr id="0" name="F1_intervention_layers.png"/>
                    <pic:cNvPicPr/>
                  </pic:nvPicPr>
                  <pic:blipFill>
                    <a:blip r:embed="rId10"/>
                    <a:stretch>
                      <a:fillRect/>
                    </a:stretch>
                  </pic:blipFill>
                  <pic:spPr>
                    <a:xfrm>
                      <a:off x="0" y="0"/>
                      <a:ext cx="5943600" cy="3252558"/>
                    </a:xfrm>
                    <a:prstGeom prst="rect"/>
                  </pic:spPr>
                </pic:pic>
              </a:graphicData>
            </a:graphic>
          </wp:inline>
        </w:drawing>
      </w:r>
    </w:p>
    <w:p>
      <w:pPr>
        <w:pStyle w:val="Caption"/>
        <w:keepLines/>
      </w:pPr>
      <w:r>
        <w:rPr>
          <w:b/>
        </w:rPr>
        <w:t xml:space="preserve">Figure 1. </w:t>
      </w:r>
      <w:r>
        <w:rPr>
          <w:b w:val="0"/>
        </w:rPr>
        <w:t>Six intervention layers in column generation and branch-and-price. (a) L1 acts on the integer-search tree. (b) L2–L6 act during column generation at a node: the RMP passes duals to pricing, pricing returns candidate columns, and L6 admits, stores or removes them. The node LP closes only when a valid lower bound covers the full current domain of every pricing block. Python rendering used code assisted by OpenAI GPT-series models via Codex and Notion AI. Exact model versions were not recorded.</w:t>
      </w:r>
    </w:p>
    <w:p>
      <w:pPr>
        <w:pStyle w:val="Caption"/>
        <w:keepNext/>
        <w:keepLines/>
      </w:pPr>
      <w:r>
        <w:rPr>
          <w:rFonts w:ascii="Times New Roman" w:hAnsi="Times New Roman"/>
          <w:b/>
          <w:i w:val="0"/>
          <w:color w:val="000000"/>
        </w:rPr>
        <w:t>Table 1. What the present comparison adds to related reviews.</w:t>
      </w:r>
    </w:p>
    <w:tbl>
      <w:tblPr>
        <w:tblW w:type="auto" w:w="0"/>
        <w:jc w:val="center"/>
        <w:tblLayout w:type="fixed"/>
        <w:tblLook w:val="0000" w:firstRow="0" w:lastRow="0" w:firstColumn="0" w:lastColumn="0" w:noHBand="1" w:noVBand="1"/>
        <w:tblBorders>
          <w:top w:val="single" w:sz="8" w:color="000000"/>
          <w:left w:val="nil"/>
          <w:bottom w:val="single" w:sz="8" w:color="000000"/>
          <w:right w:val="nil"/>
          <w:insideH w:val="nil"/>
          <w:insideV w:val="nil"/>
          <w:start w:val="nil"/>
          <w:end w:val="nil"/>
        </w:tblBorders>
        <w:tblLayout w:type="fixed"/>
        <w:tblCellMar>
          <w:top w:w="70" w:type="dxa"/>
          <w:bottom w:w="70" w:type="dxa"/>
          <w:left w:w="85" w:type="dxa"/>
          <w:right w:w="85" w:type="dxa"/>
        </w:tblCellMar>
      </w:tblPr>
      <w:tblGrid>
        <w:gridCol w:w="1944"/>
        <w:gridCol w:w="3600"/>
        <w:gridCol w:w="3816"/>
      </w:tblGrid>
      <w:tr>
        <w:trPr>
          <w:cantSplit/>
          <w:tblHeader w:val="true"/>
        </w:trPr>
        <w:tc>
          <w:tcPr>
            <w:tcW w:type="dxa" w:w="1944"/>
            <w:vAlign w:val="center"/>
            <w:tcBorders>
              <w:bottom w:val="single" w:sz="4" w:color="000000"/>
            </w:tcBorders>
          </w:tcPr>
          <w:p>
            <w:pPr>
              <w:keepNext/>
              <w:widowControl w:val="0"/>
              <w:spacing w:after="0" w:line="245" w:lineRule="auto"/>
            </w:pPr>
            <w:r>
              <w:rPr>
                <w:rFonts w:ascii="Times New Roman" w:hAnsi="Times New Roman"/>
                <w:b/>
                <w:i w:val="0"/>
                <w:color w:val="000000"/>
                <w:sz w:val="19"/>
              </w:rPr>
              <w:t>Review</w:t>
            </w:r>
          </w:p>
        </w:tc>
        <w:tc>
          <w:tcPr>
            <w:tcW w:type="dxa" w:w="3600"/>
            <w:vAlign w:val="center"/>
            <w:tcBorders>
              <w:bottom w:val="single" w:sz="4" w:color="000000"/>
            </w:tcBorders>
          </w:tcPr>
          <w:p>
            <w:pPr>
              <w:keepNext/>
              <w:widowControl w:val="0"/>
              <w:spacing w:after="0" w:line="245" w:lineRule="auto"/>
            </w:pPr>
            <w:r>
              <w:rPr>
                <w:rFonts w:ascii="Times New Roman" w:hAnsi="Times New Roman"/>
                <w:b/>
                <w:i w:val="0"/>
                <w:color w:val="000000"/>
                <w:sz w:val="19"/>
              </w:rPr>
              <w:t>Established coverage</w:t>
            </w:r>
          </w:p>
        </w:tc>
        <w:tc>
          <w:tcPr>
            <w:tcW w:type="dxa" w:w="3816"/>
            <w:vAlign w:val="center"/>
            <w:tcBorders>
              <w:bottom w:val="single" w:sz="4" w:color="000000"/>
            </w:tcBorders>
          </w:tcPr>
          <w:p>
            <w:pPr>
              <w:keepNext/>
              <w:widowControl w:val="0"/>
              <w:spacing w:after="0" w:line="245" w:lineRule="auto"/>
            </w:pPr>
            <w:r>
              <w:rPr>
                <w:rFonts w:ascii="Times New Roman" w:hAnsi="Times New Roman"/>
                <w:b/>
                <w:i w:val="0"/>
                <w:color w:val="000000"/>
                <w:sz w:val="19"/>
              </w:rPr>
              <w:t>Additional conclusion supported here</w:t>
            </w:r>
          </w:p>
        </w:tc>
      </w:tr>
      <w:tr>
        <w:trPr>
          <w:cantSplit/>
        </w:trPr>
        <w:tc>
          <w:tcPr>
            <w:tcW w:type="dxa" w:w="1944"/>
            <w:vAlign w:val="center"/>
          </w:tcPr>
          <w:p>
            <w:pPr>
              <w:keepNext w:val="0"/>
              <w:widowControl w:val="0"/>
              <w:spacing w:after="0" w:line="245" w:lineRule="auto"/>
            </w:pPr>
            <w:r>
              <w:rPr>
                <w:rFonts w:ascii="Times New Roman" w:hAnsi="Times New Roman"/>
                <w:b w:val="0"/>
                <w:i w:val="0"/>
                <w:color w:val="000000"/>
                <w:sz w:val="19"/>
              </w:rPr>
              <w:t>(Lübbecke and Desrosiers, 2005; Wilhelm, 2001)</w:t>
            </w:r>
          </w:p>
        </w:tc>
        <w:tc>
          <w:tcPr>
            <w:tcW w:type="dxa" w:w="3600"/>
            <w:vAlign w:val="center"/>
          </w:tcPr>
          <w:p>
            <w:pPr>
              <w:keepNext w:val="0"/>
              <w:widowControl w:val="0"/>
              <w:spacing w:after="0" w:line="245" w:lineRule="auto"/>
            </w:pPr>
            <w:r>
              <w:rPr>
                <w:rFonts w:ascii="Times New Roman" w:hAnsi="Times New Roman"/>
                <w:b w:val="0"/>
                <w:i w:val="0"/>
                <w:color w:val="000000"/>
                <w:sz w:val="19"/>
              </w:rPr>
              <w:t>Duality, stabilization, pricing schedules and integer completion</w:t>
            </w:r>
          </w:p>
        </w:tc>
        <w:tc>
          <w:tcPr>
            <w:tcW w:type="dxa" w:w="3816"/>
            <w:vAlign w:val="center"/>
          </w:tcPr>
          <w:p>
            <w:pPr>
              <w:keepNext w:val="0"/>
              <w:widowControl w:val="0"/>
              <w:spacing w:after="0" w:line="245" w:lineRule="auto"/>
            </w:pPr>
            <w:r>
              <w:rPr>
                <w:rFonts w:ascii="Times New Roman" w:hAnsi="Times New Roman"/>
                <w:b w:val="0"/>
                <w:i w:val="0"/>
                <w:color w:val="000000"/>
                <w:sz w:val="19"/>
              </w:rPr>
              <w:t>Current learned proposals are separated from the mathematical procedure needed to certify their target</w:t>
            </w:r>
          </w:p>
        </w:tc>
      </w:tr>
      <w:tr>
        <w:trPr>
          <w:cantSplit/>
        </w:trPr>
        <w:tc>
          <w:tcPr>
            <w:tcW w:type="dxa" w:w="1944"/>
            <w:vAlign w:val="center"/>
          </w:tcPr>
          <w:p>
            <w:pPr>
              <w:keepNext w:val="0"/>
              <w:widowControl w:val="0"/>
              <w:spacing w:after="0" w:line="245" w:lineRule="auto"/>
            </w:pPr>
            <w:r>
              <w:rPr>
                <w:rFonts w:ascii="Times New Roman" w:hAnsi="Times New Roman"/>
                <w:b w:val="0"/>
                <w:i w:val="0"/>
                <w:color w:val="000000"/>
                <w:sz w:val="19"/>
              </w:rPr>
              <w:t>(Costa et al., 2019; Petris et al., 2025)</w:t>
            </w:r>
          </w:p>
        </w:tc>
        <w:tc>
          <w:tcPr>
            <w:tcW w:type="dxa" w:w="3600"/>
            <w:vAlign w:val="center"/>
          </w:tcPr>
          <w:p>
            <w:pPr>
              <w:keepNext w:val="0"/>
              <w:widowControl w:val="0"/>
              <w:spacing w:after="0" w:line="245" w:lineRule="auto"/>
            </w:pPr>
            <w:r>
              <w:rPr>
                <w:rFonts w:ascii="Times New Roman" w:hAnsi="Times New Roman"/>
                <w:b w:val="0"/>
                <w:i w:val="0"/>
                <w:color w:val="000000"/>
                <w:sz w:val="19"/>
              </w:rPr>
              <w:t>Exact routing and BPC implementation, including cuts and relaxation</w:t>
            </w:r>
          </w:p>
        </w:tc>
        <w:tc>
          <w:tcPr>
            <w:tcW w:type="dxa" w:w="3816"/>
            <w:vAlign w:val="center"/>
          </w:tcPr>
          <w:p>
            <w:pPr>
              <w:keepNext w:val="0"/>
              <w:widowControl w:val="0"/>
              <w:spacing w:after="0" w:line="245" w:lineRule="auto"/>
            </w:pPr>
            <w:r>
              <w:rPr>
                <w:rFonts w:ascii="Times New Roman" w:hAnsi="Times New Roman"/>
                <w:b w:val="0"/>
                <w:i w:val="0"/>
                <w:color w:val="000000"/>
                <w:sz w:val="19"/>
              </w:rPr>
              <w:t>Root, incomplete-search and complete-tree claims are compared across applications without transferring guarantees between them</w:t>
            </w:r>
          </w:p>
        </w:tc>
      </w:tr>
      <w:tr>
        <w:trPr>
          <w:cantSplit/>
        </w:trPr>
        <w:tc>
          <w:tcPr>
            <w:tcW w:type="dxa" w:w="1944"/>
            <w:vAlign w:val="center"/>
          </w:tcPr>
          <w:p>
            <w:pPr>
              <w:keepNext w:val="0"/>
              <w:widowControl w:val="0"/>
              <w:spacing w:after="0" w:line="245" w:lineRule="auto"/>
            </w:pPr>
            <w:r>
              <w:rPr>
                <w:rFonts w:ascii="Times New Roman" w:hAnsi="Times New Roman"/>
                <w:b w:val="0"/>
                <w:i w:val="0"/>
                <w:color w:val="000000"/>
                <w:sz w:val="19"/>
              </w:rPr>
              <w:t>(Bengio et al., 2021; Lodi and Zarpellon, 2017; Scavuzzo et al., 2026)</w:t>
            </w:r>
          </w:p>
        </w:tc>
        <w:tc>
          <w:tcPr>
            <w:tcW w:type="dxa" w:w="3600"/>
            <w:vAlign w:val="center"/>
          </w:tcPr>
          <w:p>
            <w:pPr>
              <w:keepNext w:val="0"/>
              <w:widowControl w:val="0"/>
              <w:spacing w:after="0" w:line="245" w:lineRule="auto"/>
            </w:pPr>
            <w:r>
              <w:rPr>
                <w:rFonts w:ascii="Times New Roman" w:hAnsi="Times New Roman"/>
                <w:b w:val="0"/>
                <w:i w:val="0"/>
                <w:color w:val="000000"/>
                <w:sz w:val="19"/>
              </w:rPr>
              <w:t>Learning in optimization and branch-and-bound decisions</w:t>
            </w:r>
          </w:p>
        </w:tc>
        <w:tc>
          <w:tcPr>
            <w:tcW w:type="dxa" w:w="3816"/>
            <w:vAlign w:val="center"/>
          </w:tcPr>
          <w:p>
            <w:pPr>
              <w:keepNext w:val="0"/>
              <w:widowControl w:val="0"/>
              <w:spacing w:after="0" w:line="245" w:lineRule="auto"/>
            </w:pPr>
            <w:r>
              <w:rPr>
                <w:rFonts w:ascii="Times New Roman" w:hAnsi="Times New Roman"/>
                <w:b w:val="0"/>
                <w:i w:val="0"/>
                <w:color w:val="000000"/>
                <w:sz w:val="19"/>
              </w:rPr>
              <w:t>A learned branch score must be assessed with the child-CG cost and pricing-compatible candidate family</w:t>
            </w:r>
          </w:p>
        </w:tc>
      </w:tr>
      <w:tr>
        <w:trPr>
          <w:cantSplit/>
        </w:trPr>
        <w:tc>
          <w:tcPr>
            <w:tcW w:type="dxa" w:w="1944"/>
            <w:vAlign w:val="center"/>
          </w:tcPr>
          <w:p>
            <w:pPr>
              <w:keepNext w:val="0"/>
              <w:widowControl w:val="0"/>
              <w:spacing w:after="0" w:line="245" w:lineRule="auto"/>
            </w:pPr>
            <w:r>
              <w:rPr>
                <w:rFonts w:ascii="Times New Roman" w:hAnsi="Times New Roman"/>
                <w:b w:val="0"/>
                <w:i w:val="0"/>
                <w:color w:val="000000"/>
                <w:sz w:val="19"/>
              </w:rPr>
              <w:t>(Zhou et al., 2025)</w:t>
            </w:r>
          </w:p>
        </w:tc>
        <w:tc>
          <w:tcPr>
            <w:tcW w:type="dxa" w:w="3600"/>
            <w:vAlign w:val="center"/>
          </w:tcPr>
          <w:p>
            <w:pPr>
              <w:keepNext w:val="0"/>
              <w:widowControl w:val="0"/>
              <w:spacing w:after="0" w:line="245" w:lineRule="auto"/>
            </w:pPr>
            <w:r>
              <w:rPr>
                <w:rFonts w:ascii="Times New Roman" w:hAnsi="Times New Roman"/>
                <w:b w:val="0"/>
                <w:i w:val="0"/>
                <w:color w:val="000000"/>
                <w:sz w:val="19"/>
              </w:rPr>
              <w:t>Learning for routing, component selection and generalization</w:t>
            </w:r>
          </w:p>
        </w:tc>
        <w:tc>
          <w:tcPr>
            <w:tcW w:type="dxa" w:w="3816"/>
            <w:vAlign w:val="center"/>
          </w:tcPr>
          <w:p>
            <w:pPr>
              <w:keepNext w:val="0"/>
              <w:widowControl w:val="0"/>
              <w:spacing w:after="0" w:line="245" w:lineRule="auto"/>
            </w:pPr>
            <w:r>
              <w:rPr>
                <w:rFonts w:ascii="Times New Roman" w:hAnsi="Times New Roman"/>
                <w:b w:val="0"/>
                <w:i w:val="0"/>
                <w:color w:val="000000"/>
                <w:sz w:val="19"/>
              </w:rPr>
              <w:t>Reduced-cost filtering can outperform learned-only filtering; the combined result depends on the instance group</w:t>
            </w:r>
          </w:p>
        </w:tc>
      </w:tr>
      <w:tr>
        <w:trPr>
          <w:cantSplit/>
        </w:trPr>
        <w:tc>
          <w:tcPr>
            <w:tcW w:type="dxa" w:w="1944"/>
            <w:vAlign w:val="center"/>
          </w:tcPr>
          <w:p>
            <w:pPr>
              <w:keepNext w:val="0"/>
              <w:widowControl w:val="0"/>
              <w:spacing w:after="0" w:line="245" w:lineRule="auto"/>
            </w:pPr>
            <w:r>
              <w:rPr>
                <w:rFonts w:ascii="Times New Roman" w:hAnsi="Times New Roman"/>
                <w:b w:val="0"/>
                <w:i w:val="0"/>
                <w:color w:val="000000"/>
                <w:sz w:val="19"/>
              </w:rPr>
              <w:t>(Fan et al., 2026)</w:t>
            </w:r>
          </w:p>
        </w:tc>
        <w:tc>
          <w:tcPr>
            <w:tcW w:type="dxa" w:w="3600"/>
            <w:vAlign w:val="center"/>
          </w:tcPr>
          <w:p>
            <w:pPr>
              <w:keepNext w:val="0"/>
              <w:widowControl w:val="0"/>
              <w:spacing w:after="0" w:line="245" w:lineRule="auto"/>
            </w:pPr>
            <w:r>
              <w:rPr>
                <w:rFonts w:ascii="Times New Roman" w:hAnsi="Times New Roman"/>
                <w:b w:val="0"/>
                <w:i w:val="0"/>
                <w:color w:val="000000"/>
                <w:sz w:val="19"/>
              </w:rPr>
              <w:t>Column selection versus generation and AI across optimization</w:t>
            </w:r>
          </w:p>
        </w:tc>
        <w:tc>
          <w:tcPr>
            <w:tcW w:type="dxa" w:w="3816"/>
            <w:vAlign w:val="center"/>
          </w:tcPr>
          <w:p>
            <w:pPr>
              <w:keepNext w:val="0"/>
              <w:widowControl w:val="0"/>
              <w:spacing w:after="0" w:line="245" w:lineRule="auto"/>
            </w:pPr>
            <w:r>
              <w:rPr>
                <w:rFonts w:ascii="Times New Roman" w:hAnsi="Times New Roman"/>
                <w:b w:val="0"/>
                <w:i w:val="0"/>
                <w:color w:val="000000"/>
                <w:sz w:val="19"/>
              </w:rPr>
              <w:t>Matched batching gives a smaller identifiable learning gain than a single-column baseline; direct and recovered dual inequalities concern different bound targets</w:t>
            </w:r>
          </w:p>
        </w:tc>
      </w:tr>
    </w:tbl>
    <w:p>
      <w:pPr>
        <w:spacing w:after="40" w:before="0" w:line="240" w:lineRule="auto"/>
      </w:pPr>
      <w:r>
        <w:rPr>
          <w:rFonts w:ascii="Times New Roman" w:hAnsi="Times New Roman"/>
          <w:color w:val="000000"/>
          <w:sz w:val="2"/>
        </w:rPr>
      </w:r>
    </w:p>
    <w:p>
      <w:pPr/>
      <w:r>
        <w:rPr>
          <w:rFonts w:ascii="Times New Roman" w:hAnsi="Times New Roman"/>
          <w:b w:val="0"/>
          <w:i w:val="0"/>
          <w:color w:val="000000"/>
        </w:rPr>
        <w:t>Note. The linked erratum to Wilhelm's review is recorded within its reference entry, not counted as a separate review.</w:t>
      </w:r>
    </w:p>
    <w:p>
      <w:pPr>
        <w:pStyle w:val="Heading1"/>
      </w:pPr>
      <w:r>
        <w:rPr>
          <w:rFonts w:ascii="Times New Roman" w:hAnsi="Times New Roman"/>
          <w:b/>
          <w:i w:val="0"/>
          <w:color w:val="000000"/>
        </w:rPr>
        <w:t>2 Targeted methodological review and critical synthesis</w:t>
      </w:r>
    </w:p>
    <w:p>
      <w:pPr/>
      <w:r>
        <w:rPr>
          <w:rFonts w:ascii="Times New Roman" w:hAnsi="Times New Roman"/>
          <w:b w:val="0"/>
          <w:i w:val="0"/>
          <w:color w:val="000000"/>
        </w:rPr>
        <w:t xml:space="preserve">This review uses a traceable critical sample to compare acceleration mechanisms and their computational consequences. It does not estimate field prevalence or pool speedups. Review objectives and methods differ (Schryen and Sperling, 2023); the critical orientation here is the present review’s stated purpose. A method variant, with an identifiable action, protection condition and experimental target, is the unit of coding.</w:t>
      </w:r>
    </w:p>
    <w:p>
      <w:pPr>
        <w:pStyle w:val="Heading2"/>
      </w:pPr>
      <w:r>
        <w:rPr>
          <w:rFonts w:ascii="Times New Roman" w:hAnsi="Times New Roman"/>
          <w:b/>
          <w:i w:val="0"/>
          <w:color w:val="000000"/>
        </w:rPr>
        <w:t>2.1 Eligibility and discovery</w:t>
      </w:r>
    </w:p>
    <w:p>
      <w:pPr/>
      <w:r>
        <w:rPr>
          <w:rFonts w:ascii="Times New Roman" w:hAnsi="Times New Roman"/>
          <w:b w:val="0"/>
          <w:i w:val="0"/>
          <w:color w:val="000000"/>
        </w:rPr>
        <w:t>Core studies change a decision within CG, B&amp;P or BPC. Supporting studies examine a pricing primitive or prediction task with a specified connection to those interfaces. Background sources supply theory or related review coverage. General mixed-integer learning and the choice of whether to use decomposition are contextual literature, not evidence that a particular CG component is faster. Classical methods have no starting-year restriction. The six layers cover operations after a decomposition has been chosen.</w:t>
      </w:r>
    </w:p>
    <w:p>
      <w:pPr/>
      <w:r>
        <w:rPr>
          <w:rFonts w:ascii="Times New Roman" w:hAnsi="Times New Roman"/>
          <w:b w:val="0"/>
          <w:i w:val="0"/>
          <w:color w:val="000000"/>
        </w:rPr>
        <w:t>The recorded public-discovery phase began on 11 October 2026 and used web and Crossref queries, publisher and conference records, arXiv, Optimization Online, SSRN, and author or institutional repositories. Identity and version checks continued on 12–13 October. On 14 October, targeted supplementary lookups checked named classical and learning references, publication details, versions and full-text access. The retained query indexes and access outcomes are provided with the data, including unsuccessful retrieval attempts. Query-level zero-result searches cannot be reconstructed from these records. These records are separate from the author's initial collection described below. Bibliographies of included papers supplied additional leads. The review does not claim an exhaustive backward and forward citation census.</w:t>
      </w:r>
    </w:p>
    <w:p>
      <w:pPr>
        <w:pageBreakBefore/>
      </w:pPr>
      <w:r>
        <w:rPr>
          <w:rFonts w:ascii="Times New Roman" w:hAnsi="Times New Roman"/>
          <w:b w:val="0"/>
          <w:i w:val="0"/>
          <w:color w:val="000000"/>
        </w:rPr>
        <w:t>The author supplied an initial full-text frame of 101 reports representing 100 candidate families, obtained through searches in Web of Science, ScienceDirect, SSRN and other sources. Complete search strings and query-level results for this initial collection were not retained. The separately recorded public searches and selected reference-list checks informed the acquisition list and subsequent additions. Three studies identified in the logged Crossref follow-up were added later. The frame is purposive and reflects the mechanism-based comparison and full-text access. Of the resulting 104 reports and 103 families, one report is an erratum attached to its review, and four adjacent surveys were excluded from method coding, leaving 99 families. The targeted supplementary lookups added one fully read core family on diving (Sadykov et al., 2019). The review therefore covers 80 core, 8 supporting and 12 background families, and the 88 core or supporting families contribute 146 coded variants. Appendix A reconstructs the recorded selection (Figure A.1) and lists every coded variant; Table A.2 records the access depth of contextual sources.</w:t>
      </w:r>
    </w:p>
    <w:p>
      <w:pPr>
        <w:pageBreakBefore w:val="0"/>
      </w:pPr>
      <w:r>
        <w:rPr>
          <w:rFonts w:ascii="Times New Roman" w:hAnsi="Times New Roman"/>
          <w:b w:val="0"/>
          <w:i w:val="0"/>
          <w:color w:val="000000"/>
        </w:rPr>
        <w:t xml:space="preserve">The Crossref follow-up left 74 unselected lead records representing 73 independent works (Supplementary Table S1). These were assessed at title and available-abstract level and are not full-text exclusions. CL074 and CL075 identify the same work under two DOIs and are counted once as a work. Final category totals remain unresolved because several classifications require further evidence; cspy explicitly provides a CG interface and cannot be classified on the contrary premise. Identified classical context includes proximal trust-region and analytic-centre stabilization (Ben Amor and Desrosiers, 2006; Karimi and Seifi, 2015), extra dual cuts (Valério de Carvalho, 2005), dual-variable-based fathoming and partial dominance in labeling (Heßler and Irnich, 2023; Lübbecke, 2005), and routing and crew-scheduling strategies (Desaulniers et al., 2002). These sources were not coded as additional variants. Their presence among the unselected leads limits the classical coverage of this inventory.</w:t>
      </w:r>
    </w:p>
    <w:p>
      <w:pPr>
        <w:pStyle w:val="Heading2"/>
      </w:pPr>
      <w:r>
        <w:rPr>
          <w:rFonts w:ascii="Times New Roman" w:hAnsi="Times New Roman"/>
          <w:b/>
          <w:i w:val="0"/>
          <w:color w:val="000000"/>
        </w:rPr>
        <w:t>2.2 Reading versions and coding</w:t>
      </w:r>
    </w:p>
    <w:p>
      <w:pPr/>
      <w:r>
        <w:rPr>
          <w:rFonts w:ascii="Times New Roman" w:hAnsi="Times New Roman"/>
          <w:b w:val="0"/>
          <w:i w:val="0"/>
          <w:color w:val="000000"/>
        </w:rPr>
        <w:t>The retained main papers and their embedded appendices were read in full; external supplements were tracked separately. For two included families an additional report was also read: the extended FFCG report with its training and test appendices (Hu et al., 2024; Hu et al., 2025) and the extended HAL report of the earlier in-out smoothing study linked to the included stabilization family (Pessoa et al., 2013; Pessoa et al., 2018). Neither adds a study. The diving study was read in its HAL author-manuscript version, associated with the 2019 journal article (Sadykov et al., 2019). Citations use verified publication metadata, whereas evidence locators identify the version actually read. An accepted manuscript is not assumed identical to the version of record.</w:t>
      </w:r>
    </w:p>
    <w:p>
      <w:pPr/>
      <w:r>
        <w:rPr>
          <w:rFonts w:ascii="Times New Roman" w:hAnsi="Times New Roman"/>
          <w:b w:val="0"/>
          <w:i w:val="0"/>
          <w:color w:val="000000"/>
        </w:rPr>
        <w:t xml:space="preserve">The codebook in Appendix B specifies the controlled object, intended target, guarantee decision, documentation status and empirical scope. Records also capture training and test populations, classical comparators, timing components, completion, limitations and source locations. Primary and secondary layers refer to the objects directly changed by the named variant. Shared solver components and downstream effects are not additional interventions. Mechanisms can overlap, so primary labels are operational summaries and secondary mechanisms are retained. Variants whose mechanism cannot be assigned are marked unassigned (GU); GU is not a sixth guarantee mechanism. Counts describe the assigned labels in this sample and are not independent measures of effectiveness or methodological quality.</w:t>
      </w:r>
    </w:p>
    <w:p>
      <w:pPr/>
      <w:r>
        <w:rPr>
          <w:rFonts w:ascii="Times New Roman" w:hAnsi="Times New Roman"/>
          <w:b w:val="0"/>
          <w:i w:val="0"/>
          <w:color w:val="000000"/>
        </w:rPr>
        <w:t xml:space="preserve">OpenAI GPT-series models accessed through Codex and Notion AI assisted literature discovery, screening, data extraction, initial coding and source checks. Their coverage and unresolved coding questions are documented in the accompanying audit. The author approved the explicit corrections and the direct-intervention coding rule recorded on 15 October 2026; other flagged fields remain unresolved. No independent human double screening or double coding was performed, and no inter-rater reliability statistic is reported. The 146-variant frame was frozen for a re-coding pack (Appendix B.3), comprising a random sample of 24 variants drawn with seed 20261014, four prespecified boundary cases, coding definitions, blank forms and an agreement script. The inventory and Figure 3 are descriptive maps; the synthesis rests on located within-study comparisons rather than on category frequencies.</w:t>
      </w:r>
    </w:p>
    <w:p>
      <w:pPr>
        <w:pStyle w:val="Heading2"/>
      </w:pPr>
      <w:r>
        <w:rPr>
          <w:rFonts w:ascii="Times New Roman" w:hAnsi="Times New Roman"/>
          <w:b/>
          <w:i w:val="0"/>
          <w:color w:val="000000"/>
        </w:rPr>
        <w:t>2.3 Evidence synthesis</w:t>
      </w:r>
    </w:p>
    <w:p>
      <w:pPr/>
      <w:r>
        <w:rPr>
          <w:rFonts w:ascii="Times New Roman" w:hAnsi="Times New Roman"/>
          <w:b w:val="0"/>
          <w:i w:val="0"/>
          <w:color w:val="000000"/>
        </w:rPr>
        <w:t>Main comparisons use peer-reviewed reports with accessible information on the reported population and endpoint. Table 4 presents selected within-study contrasts, characterized in Section 7.1, and Table 5 gives the resulting layer-by-layer assessment. Preprints and cases with material supplement gaps remain visible in Appendix C as illustrations. No pooled effect is estimated across different hardware, formulations or stopping rules. Missing proof details narrow a guarantee claim, and missing timing components narrow a speed claim. Unexplained numerical differences are reported as unresolved interpretation questions.</w:t>
      </w:r>
    </w:p>
    <w:p>
      <w:pPr/>
      <w:r>
        <w:rPr>
          <w:rFonts w:ascii="Times New Roman" w:hAnsi="Times New Roman"/>
          <w:b w:val="0"/>
          <w:i w:val="0"/>
          <w:color w:val="000000"/>
        </w:rPr>
        <w:t xml:space="preserve">Figures 1 and 2 are conceptual diagrams drawn from the review definitions. Figures 3 and A.1 use the coding and selection records after the approved corrections. The four figures use Python scripts developed with assistance from OpenAI GPT-series models through Codex and Notion AI; exact model versions were not recorded, and no source-study experimental image was generated. The archived review dataset remains version 1.7 (Yang, 2026). This working manuscript revision uses local corrected records and updated Figure 3 and Figure A.1 scripts; those revisions have not yet replaced the archived dataset.</w:t>
      </w:r>
    </w:p>
    <w:p>
      <w:pPr/>
      <w:r>
        <w:rPr>
          <w:rFonts w:ascii="Times New Roman" w:hAnsi="Times New Roman"/>
          <w:b w:val="0"/>
          <w:i w:val="0"/>
          <w:color w:val="000000"/>
        </w:rPr>
        <w:t xml:space="preserve">Several cited studies were available only as preprints at the review cutoff. They are marked in the references and remain provisional pending peer review. The short discovery window, the purposive full-text frame, the 73 independent unselected works and single-coder labeling limit coverage and the reliability of aggregate classifications. These limits do not turn a reported root experiment into tree evidence or substitute an unverified prediction for a valid bound.</w:t>
      </w:r>
    </w:p>
    <w:p>
      <w:pPr>
        <w:pStyle w:val="Heading1"/>
      </w:pPr>
      <w:r>
        <w:rPr>
          <w:rFonts w:ascii="Times New Roman" w:hAnsi="Times New Roman"/>
          <w:b/>
          <w:i w:val="0"/>
          <w:color w:val="000000"/>
        </w:rPr>
        <w:t>3 The mathematical interface and a running example</w:t>
      </w:r>
    </w:p>
    <w:p>
      <w:pPr/>
      <w:r>
        <w:rPr>
          <w:rFonts w:ascii="Times New Roman" w:hAnsi="Times New Roman"/>
          <w:b w:val="0"/>
          <w:i w:val="0"/>
          <w:color w:val="000000"/>
        </w:rPr>
        <w:t>Column discovery can use an incomplete search, but valid lower bounds and stopping decisions require information covering the relevant pricing domain. The following formulation and routing example make that distinction explicit.</w:t>
      </w:r>
    </w:p>
    <w:p>
      <w:pPr>
        <w:pStyle w:val="Heading2"/>
      </w:pPr>
      <w:r>
        <w:rPr>
          <w:rFonts w:ascii="Times New Roman" w:hAnsi="Times New Roman"/>
          <w:b/>
          <w:i w:val="0"/>
          <w:color w:val="000000"/>
        </w:rPr>
        <w:t>3.1 Column discovery and dual certification</w:t>
      </w:r>
    </w:p>
    <w:p>
      <w:pPr/>
      <w:r>
        <w:rPr>
          <w:rFonts w:ascii="Times New Roman" w:hAnsi="Times New Roman"/>
          <w:b w:val="0"/>
          <w:i w:val="0"/>
          <w:color w:val="000000"/>
        </w:rPr>
        <w:t xml:space="preserve">Consider a minimization master with a finite but potentially enormous set of legal columns </w:t>
      </w:r>
      <w:r>
        <w:rPr>
          <w:rFonts w:ascii="Times New Roman" w:hAnsi="Times New Roman"/>
          <w:b w:val="0"/>
          <w:i/>
          <w:color w:val="000000"/>
        </w:rPr>
        <w:t>J</w:t>
      </w:r>
      <w:r>
        <w:rPr>
          <w:rFonts w:ascii="Times New Roman" w:hAnsi="Times New Roman"/>
          <w:b w:val="0"/>
          <w:i w:val="0"/>
          <w:color w:val="000000"/>
        </w:rPr>
        <w:t>. A covering form of its linear programming (LP) relaxation is</w:t>
      </w:r>
    </w:p>
    <w:p>
      <w:pPr>
        <w:keepLines/>
        <w:spacing w:before="100" w:after="160"/>
        <w:jc w:val="center"/>
      </w:pPr>
      <m:oMath xmlns:mml="http://www.w3.org/1998/Math/MathML">
        <m:sSub>
          <m:e>
            <m:r>
              <w:rPr>
                <w:rFonts w:ascii="Cambria Math" w:hAnsi="Cambria Math"/>
                <w:sz w:val="22"/>
              </w:rPr>
              <m:t>z</m:t>
            </m:r>
          </m:e>
          <m:sub>
            <m:r>
              <w:rPr>
                <w:rFonts w:ascii="Cambria Math" w:hAnsi="Cambria Math"/>
                <w:sz w:val="22"/>
              </w:rPr>
              <m:t>LP</m:t>
            </m:r>
          </m:sub>
        </m:sSub>
        <m:r>
          <w:rPr>
            <w:rFonts w:ascii="Cambria Math" w:hAnsi="Cambria Math"/>
            <w:sz w:val="22"/>
          </w:rPr>
          <m:t>=</m:t>
        </m:r>
        <m:sSub>
          <m:e>
            <m:r>
              <m:rPr>
                <m:nor m:val="1"/>
                <m:sty m:val="p"/>
              </m:rPr>
              <w:rPr>
                <w:rFonts w:ascii="Cambria Math" w:hAnsi="Cambria Math"/>
                <w:sz w:val="22"/>
                <w:i w:val="0"/>
              </w:rPr>
              <m:t>min</m:t>
            </m:r>
          </m:e>
          <m:sub>
            <m:r>
              <w:rPr>
                <w:rFonts w:ascii="Cambria Math" w:hAnsi="Cambria Math"/>
                <w:sz w:val="22"/>
              </w:rPr>
              <m:t>λ≥0</m:t>
            </m:r>
          </m:sub>
        </m:sSub>
        <m:r>
          <w:rPr>
            <w:rFonts w:ascii="Cambria Math" w:hAnsi="Cambria Math"/>
            <w:sz w:val="22"/>
          </w:rPr>
          <m:t>{</m:t>
        </m:r>
        <m:nary>
          <m:naryPr>
            <m:chr m:val="∑"/>
            <m:limLoc m:val="subSup"/>
            <m:grow m:val="1"/>
            <m:subHide m:val="off"/>
            <m:supHide m:val="on"/>
          </m:naryPr>
          <m:sub>
            <m:r>
              <w:rPr>
                <w:rFonts w:ascii="Cambria Math" w:hAnsi="Cambria Math"/>
                <w:sz w:val="22"/>
              </w:rPr>
              <m:t>j∈J</m:t>
            </m:r>
          </m:sub>
          <m:sup/>
          <m:e>
            <m:sSub>
              <m:e>
                <m:r>
                  <w:rPr>
                    <w:rFonts w:ascii="Cambria Math" w:hAnsi="Cambria Math"/>
                    <w:sz w:val="22"/>
                  </w:rPr>
                  <m:t>c</m:t>
                </m:r>
              </m:e>
              <m:sub>
                <m:r>
                  <w:rPr>
                    <w:rFonts w:ascii="Cambria Math" w:hAnsi="Cambria Math"/>
                    <w:sz w:val="22"/>
                  </w:rPr>
                  <m:t>j</m:t>
                </m:r>
              </m:sub>
            </m:sSub>
            <m:sSub>
              <m:e>
                <m:r>
                  <w:rPr>
                    <w:rFonts w:ascii="Cambria Math" w:hAnsi="Cambria Math"/>
                    <w:sz w:val="22"/>
                  </w:rPr>
                  <m:t>λ</m:t>
                </m:r>
              </m:e>
              <m:sub>
                <m:r>
                  <w:rPr>
                    <w:rFonts w:ascii="Cambria Math" w:hAnsi="Cambria Math"/>
                    <w:sz w:val="22"/>
                  </w:rPr>
                  <m:t>j</m:t>
                </m:r>
              </m:sub>
            </m:sSub>
          </m:e>
        </m:nary>
        <m:r>
          <w:rPr>
            <w:rFonts w:ascii="Cambria Math" w:hAnsi="Cambria Math"/>
            <w:sz w:val="22"/>
          </w:rPr>
          <m:t>:</m:t>
        </m:r>
        <m:nary>
          <m:naryPr>
            <m:chr m:val="∑"/>
            <m:limLoc m:val="subSup"/>
            <m:grow m:val="1"/>
            <m:subHide m:val="off"/>
            <m:supHide m:val="on"/>
          </m:naryPr>
          <m:sub>
            <m:r>
              <w:rPr>
                <w:rFonts w:ascii="Cambria Math" w:hAnsi="Cambria Math"/>
                <w:sz w:val="22"/>
              </w:rPr>
              <m:t>j∈J</m:t>
            </m:r>
          </m:sub>
          <m:sup/>
          <m:e>
            <m:sSub>
              <m:e>
                <m:r>
                  <w:rPr>
                    <w:rFonts w:ascii="Cambria Math" w:hAnsi="Cambria Math"/>
                    <w:sz w:val="22"/>
                  </w:rPr>
                  <m:t>a</m:t>
                </m:r>
              </m:e>
              <m:sub>
                <m:r>
                  <w:rPr>
                    <w:rFonts w:ascii="Cambria Math" w:hAnsi="Cambria Math"/>
                    <w:sz w:val="22"/>
                  </w:rPr>
                  <m:t>j</m:t>
                </m:r>
              </m:sub>
            </m:sSub>
            <m:sSub>
              <m:e>
                <m:r>
                  <w:rPr>
                    <w:rFonts w:ascii="Cambria Math" w:hAnsi="Cambria Math"/>
                    <w:sz w:val="22"/>
                  </w:rPr>
                  <m:t>λ</m:t>
                </m:r>
              </m:e>
              <m:sub>
                <m:r>
                  <w:rPr>
                    <w:rFonts w:ascii="Cambria Math" w:hAnsi="Cambria Math"/>
                    <w:sz w:val="22"/>
                  </w:rPr>
                  <m:t>j</m:t>
                </m:r>
              </m:sub>
            </m:sSub>
          </m:e>
        </m:nary>
        <m:r>
          <w:rPr>
            <w:rFonts w:ascii="Cambria Math" w:hAnsi="Cambria Math"/>
            <w:sz w:val="22"/>
          </w:rPr>
          <m:t>≥b}</m:t>
        </m:r>
        <m:r>
          <w:rPr>
            <w:rFonts w:ascii="Cambria Math" w:hAnsi="Cambria Math"/>
            <w:sz w:val="22"/>
          </w:rPr>
          <m:t>.</m:t>
        </m:r>
      </m:oMath>
      <w:r>
        <w:rPr>
          <w:rFonts w:ascii="Times New Roman" w:hAnsi="Times New Roman"/>
          <w:color w:val="000000"/>
          <w:sz w:val="22"/>
        </w:rPr>
        <w:t xml:space="preserve">    (1)</w:t>
      </w:r>
    </w:p>
    <w:p>
      <w:pPr/>
      <w:r>
        <w:rPr>
          <w:rFonts w:ascii="Times New Roman" w:hAnsi="Times New Roman"/>
          <w:b w:val="0"/>
          <w:i w:val="0"/>
          <w:color w:val="000000"/>
        </w:rPr>
        <w:t xml:space="preserve">Equality, convexity, branching and cutting-plane rows can be included with their appropriate dual signs. An RMP retains only a subset </w:t>
      </w:r>
      <w:r>
        <w:rPr>
          <w:rFonts w:ascii="Times New Roman" w:hAnsi="Times New Roman"/>
          <w:b w:val="0"/>
          <w:i/>
          <w:color w:val="000000"/>
        </w:rPr>
        <w:t>R</w:t>
      </w:r>
      <w:r>
        <w:rPr>
          <w:rFonts w:ascii="Times New Roman" w:hAnsi="Times New Roman"/>
          <w:b w:val="0"/>
          <w:i w:val="0"/>
          <w:color w:val="000000"/>
        </w:rPr>
        <w:t xml:space="preserve"> of the legal columns. Its dual vector </w:t>
      </w:r>
      <w:r>
        <w:rPr>
          <w:rFonts w:ascii="Times New Roman" w:hAnsi="Times New Roman"/>
          <w:b w:val="0"/>
          <w:i/>
          <w:color w:val="000000"/>
        </w:rPr>
        <w:t>π</w:t>
      </w:r>
      <w:r>
        <w:rPr>
          <w:rFonts w:ascii="Times New Roman" w:hAnsi="Times New Roman"/>
          <w:b w:val="0"/>
          <w:i w:val="0"/>
          <w:color w:val="000000"/>
        </w:rPr>
        <w:t xml:space="preserve"> defines the reduced cost</w:t>
      </w:r>
    </w:p>
    <w:p>
      <w:pPr>
        <w:keepLines/>
        <w:spacing w:before="100" w:after="160"/>
        <w:jc w:val="center"/>
      </w:pPr>
      <m:oMath xmlns:mml="http://www.w3.org/1998/Math/MathML">
        <m:sSub>
          <m:e>
            <m:bar>
              <m:barPr>
                <m:pos m:val="top"/>
              </m:barPr>
              <m:e>
                <m:r>
                  <w:rPr>
                    <w:rFonts w:ascii="Cambria Math" w:hAnsi="Cambria Math"/>
                    <w:sz w:val="22"/>
                  </w:rPr>
                  <m:t>c</m:t>
                </m:r>
              </m:e>
            </m:bar>
          </m:e>
          <m:sub>
            <m:r>
              <w:rPr>
                <w:rFonts w:ascii="Cambria Math" w:hAnsi="Cambria Math"/>
                <w:sz w:val="22"/>
              </w:rPr>
              <m:t>j</m:t>
            </m:r>
          </m:sub>
        </m:sSub>
        <m:r>
          <w:rPr>
            <w:rFonts w:ascii="Cambria Math" w:hAnsi="Cambria Math"/>
            <w:sz w:val="22"/>
          </w:rPr>
          <m:t>(π)=</m:t>
        </m:r>
        <m:sSub>
          <m:e>
            <m:r>
              <w:rPr>
                <w:rFonts w:ascii="Cambria Math" w:hAnsi="Cambria Math"/>
                <w:sz w:val="22"/>
              </w:rPr>
              <m:t>c</m:t>
            </m:r>
          </m:e>
          <m:sub>
            <m:r>
              <w:rPr>
                <w:rFonts w:ascii="Cambria Math" w:hAnsi="Cambria Math"/>
                <w:sz w:val="22"/>
              </w:rPr>
              <m:t>j</m:t>
            </m:r>
          </m:sub>
        </m:sSub>
        <m:r>
          <w:rPr>
            <w:rFonts w:ascii="Cambria Math" w:hAnsi="Cambria Math"/>
            <w:sz w:val="22"/>
          </w:rPr>
          <m:t>−</m:t>
        </m:r>
        <m:sSubSup>
          <m:e>
            <m:r>
              <w:rPr>
                <w:rFonts w:ascii="Cambria Math" w:hAnsi="Cambria Math"/>
                <w:sz w:val="22"/>
              </w:rPr>
              <m:t>a</m:t>
            </m:r>
          </m:e>
          <m:sub>
            <m:r>
              <w:rPr>
                <w:rFonts w:ascii="Cambria Math" w:hAnsi="Cambria Math"/>
                <w:sz w:val="22"/>
              </w:rPr>
              <m:t>j</m:t>
            </m:r>
          </m:sub>
          <m:sup>
            <m:r>
              <m:rPr>
                <m:scr m:val="sans-serif"/>
                <m:sty m:val="p"/>
              </m:rPr>
              <w:rPr>
                <w:rFonts w:ascii="Cambria Math" w:hAnsi="Cambria Math"/>
                <w:sz w:val="22"/>
              </w:rPr>
              <m:t>T</m:t>
            </m:r>
          </m:sup>
        </m:sSubSup>
        <m:r>
          <w:rPr>
            <w:rFonts w:ascii="Cambria Math" w:hAnsi="Cambria Math"/>
            <w:sz w:val="22"/>
          </w:rPr>
          <m:t>π.</m:t>
        </m:r>
      </m:oMath>
      <w:r>
        <w:rPr>
          <w:rFonts w:ascii="Times New Roman" w:hAnsi="Times New Roman"/>
          <w:color w:val="000000"/>
          <w:sz w:val="22"/>
        </w:rPr>
        <w:t xml:space="preserve">    (2)</w:t>
      </w:r>
    </w:p>
    <w:p>
      <w:pPr/>
      <w:r>
        <w:rPr>
          <w:rFonts w:ascii="Times New Roman" w:hAnsi="Times New Roman"/>
          <w:b w:val="0"/>
          <w:i w:val="0"/>
          <w:color w:val="000000"/>
        </w:rPr>
        <w:t>Finding one legal column with negative reduced cost establishes a violated full-dual constraint. It does not guarantee an immediate decrease in the primal objective, because the RMP can be degenerate. Conversely, a valid proof that all legal reduced costs are nonnegative makes an optimal RMP dual feasible for the full dual and closes the LP. Exact pricing is one route to that proof. A valid lower bound from a relaxation can also suffice (Feillet, 2010; Lübbecke and Desrosiers, 2005).</w:t>
      </w:r>
    </w:p>
    <w:p>
      <w:pPr/>
      <w:r>
        <w:rPr>
          <w:rFonts w:ascii="Times New Roman" w:hAnsi="Times New Roman"/>
          <w:b w:val="0"/>
          <w:i w:val="0"/>
          <w:color w:val="000000"/>
        </w:rPr>
        <w:t>Finding one improving column is enough to continue CG. Certifying that none exists requires a bound or search result that covers every relevant column.</w:t>
      </w:r>
    </w:p>
    <w:p>
      <w:pPr/>
      <w:r>
        <w:rPr>
          <w:rFonts w:ascii="Times New Roman" w:hAnsi="Times New Roman"/>
          <w:b w:val="0"/>
          <w:i w:val="0"/>
          <w:color w:val="000000"/>
        </w:rPr>
        <w:t>For minimization, restricting columns raises the LP optimum. Thus an RMP objective is an upper bound on the full LP optimum, not an unconditional lower bound on the integer optimum. An integer solution made from legal columns can provide a valid incumbent, but the restriction does not prove that a better integer solution is absent.</w:t>
      </w:r>
    </w:p>
    <w:p>
      <w:pPr/>
      <w:r>
        <w:rPr>
          <w:rFonts w:ascii="Times New Roman" w:hAnsi="Times New Roman"/>
          <w:b w:val="0"/>
          <w:i w:val="0"/>
          <w:color w:val="000000"/>
        </w:rPr>
        <w:t xml:space="preserve">Incomplete pricing can nevertheless produce valid bounds. Let </w:t>
      </w:r>
      <w:r>
        <w:rPr>
          <w:rFonts w:ascii="Times New Roman" w:hAnsi="Times New Roman"/>
          <w:b w:val="0"/>
          <w:i/>
          <w:color w:val="000000"/>
        </w:rPr>
        <w:t>π</w:t>
      </w:r>
      <w:r>
        <w:rPr>
          <w:rFonts w:ascii="Times New Roman" w:hAnsi="Times New Roman"/>
          <w:b w:val="0"/>
          <w:i w:val="0"/>
          <w:color w:val="000000"/>
        </w:rPr>
        <w:t xml:space="preserve"> have the correct row signs, let </w:t>
      </w:r>
      <w:r>
        <w:rPr>
          <w:rFonts w:ascii="Times New Roman" w:hAnsi="Times New Roman"/>
          <w:b w:val="0"/>
          <w:i/>
          <w:color w:val="000000"/>
        </w:rPr>
        <w:t>ℓ</w:t>
      </w:r>
      <w:r>
        <w:rPr>
          <w:rFonts w:ascii="Times New Roman" w:hAnsi="Times New Roman"/>
          <w:b w:val="0"/>
          <w:i w:val="0"/>
          <w:color w:val="000000"/>
        </w:rPr>
        <w:t xml:space="preserve"> be a certified lower bound on every legal reduced cost, and suppose the full LP has an optimal solution whose total column weight is at most a known </w:t>
      </w:r>
      <w:r>
        <w:rPr>
          <w:rFonts w:ascii="Times New Roman" w:hAnsi="Times New Roman"/>
          <w:b w:val="0"/>
          <w:i/>
          <w:color w:val="000000"/>
        </w:rPr>
        <w:t>K</w:t>
      </w:r>
      <w:r>
        <w:rPr>
          <w:rFonts w:ascii="Times New Roman" w:hAnsi="Times New Roman"/>
          <w:b w:val="0"/>
          <w:i w:val="0"/>
          <w:color w:val="000000"/>
        </w:rPr>
        <w:t>. Then</w:t>
      </w:r>
    </w:p>
    <w:p>
      <w:pPr>
        <w:keepLines/>
        <w:spacing w:before="100" w:after="160"/>
        <w:jc w:val="center"/>
      </w:pPr>
      <m:oMath xmlns:mml="http://www.w3.org/1998/Math/MathML">
        <m:r>
          <w:rPr>
            <w:rFonts w:ascii="Cambria Math" w:hAnsi="Cambria Math"/>
            <w:sz w:val="22"/>
          </w:rPr>
          <m:t>LB=</m:t>
        </m:r>
        <m:sSup>
          <m:e>
            <m:r>
              <w:rPr>
                <w:rFonts w:ascii="Cambria Math" w:hAnsi="Cambria Math"/>
                <w:sz w:val="22"/>
              </w:rPr>
              <m:t>b</m:t>
            </m:r>
          </m:e>
          <m:sup>
            <m:r>
              <m:rPr>
                <m:scr m:val="sans-serif"/>
                <m:sty m:val="p"/>
              </m:rPr>
              <w:rPr>
                <w:rFonts w:ascii="Cambria Math" w:hAnsi="Cambria Math"/>
                <w:sz w:val="22"/>
              </w:rPr>
              <m:t>T</m:t>
            </m:r>
          </m:sup>
        </m:sSup>
        <m:r>
          <w:rPr>
            <w:rFonts w:ascii="Cambria Math" w:hAnsi="Cambria Math"/>
            <w:sz w:val="22"/>
          </w:rPr>
          <m:t>π+K</m:t>
        </m:r>
        <m:r>
          <m:rPr>
            <m:nor m:val="1"/>
            <m:sty m:val="p"/>
          </m:rPr>
          <w:rPr>
            <w:rFonts w:ascii="Cambria Math" w:hAnsi="Cambria Math"/>
            <w:sz w:val="22"/>
            <w:i w:val="0"/>
          </w:rPr>
          <m:t>min</m:t>
        </m:r>
        <m:r>
          <w:rPr>
            <w:rFonts w:ascii="Cambria Math" w:hAnsi="Cambria Math"/>
            <w:sz w:val="22"/>
          </w:rPr>
          <m:t>{0,ℓ}≤</m:t>
        </m:r>
        <m:sSub>
          <m:e>
            <m:r>
              <w:rPr>
                <w:rFonts w:ascii="Cambria Math" w:hAnsi="Cambria Math"/>
                <w:sz w:val="22"/>
              </w:rPr>
              <m:t>z</m:t>
            </m:r>
          </m:e>
          <m:sub>
            <m:r>
              <w:rPr>
                <w:rFonts w:ascii="Cambria Math" w:hAnsi="Cambria Math"/>
                <w:sz w:val="22"/>
              </w:rPr>
              <m:t>LP</m:t>
            </m:r>
          </m:sub>
        </m:sSub>
        <m:r>
          <w:rPr>
            <w:rFonts w:ascii="Cambria Math" w:hAnsi="Cambria Math"/>
            <w:sz w:val="22"/>
          </w:rPr>
          <m:t>.</m:t>
        </m:r>
      </m:oMath>
      <w:r>
        <w:rPr>
          <w:rFonts w:ascii="Times New Roman" w:hAnsi="Times New Roman"/>
          <w:color w:val="000000"/>
          <w:sz w:val="22"/>
        </w:rPr>
        <w:t xml:space="preserve">    (3)</w:t>
      </w:r>
    </w:p>
    <w:p>
      <w:pPr/>
      <w:r>
        <w:rPr>
          <w:rFonts w:ascii="Times New Roman" w:hAnsi="Times New Roman"/>
          <w:b w:val="0"/>
          <w:i w:val="0"/>
          <w:color w:val="000000"/>
        </w:rPr>
        <w:t xml:space="preserve">To see this, write the cost of that optimal solution as its dual contribution plus its reduced-cost contribution. The former is at least </w:t>
      </w:r>
      <w:r>
        <w:rPr>
          <w:rFonts w:ascii="Times New Roman" w:hAnsi="Times New Roman"/>
          <w:b w:val="0"/>
          <w:i/>
          <w:color w:val="000000"/>
        </w:rPr>
        <w:t>b</w:t>
      </w:r>
      <w:r>
        <w:rPr>
          <w:rFonts w:ascii="Times New Roman" w:hAnsi="Times New Roman"/>
          <w:b w:val="0"/>
          <w:i w:val="0"/>
          <w:color w:val="000000"/>
        </w:rPr>
        <w:t>ᵀ</w:t>
      </w:r>
      <w:r>
        <w:rPr>
          <w:rFonts w:ascii="Times New Roman" w:hAnsi="Times New Roman"/>
          <w:b w:val="0"/>
          <w:i/>
          <w:color w:val="000000"/>
        </w:rPr>
        <w:t>π</w:t>
      </w:r>
      <w:r>
        <w:rPr>
          <w:rFonts w:ascii="Times New Roman" w:hAnsi="Times New Roman"/>
          <w:b w:val="0"/>
          <w:i w:val="0"/>
          <w:color w:val="000000"/>
        </w:rPr>
        <w:t xml:space="preserve"> under the covering signs. If </w:t>
      </w:r>
      <w:r>
        <w:rPr>
          <w:rFonts w:ascii="Times New Roman" w:hAnsi="Times New Roman"/>
          <w:b w:val="0"/>
          <w:i/>
          <w:color w:val="000000"/>
        </w:rPr>
        <w:t>ℓ</w:t>
      </w:r>
      <w:r>
        <w:rPr>
          <w:rFonts w:ascii="Times New Roman" w:hAnsi="Times New Roman"/>
          <w:b w:val="0"/>
          <w:i w:val="0"/>
          <w:color w:val="000000"/>
        </w:rPr>
        <w:t xml:space="preserve"> is negative, the latter is at least </w:t>
      </w:r>
      <w:r>
        <w:rPr>
          <w:rFonts w:ascii="Times New Roman" w:hAnsi="Times New Roman"/>
          <w:b w:val="0"/>
          <w:i/>
          <w:color w:val="000000"/>
        </w:rPr>
        <w:t>Kℓ</w:t>
      </w:r>
      <w:r>
        <w:rPr>
          <w:rFonts w:ascii="Times New Roman" w:hAnsi="Times New Roman"/>
          <w:b w:val="0"/>
          <w:i w:val="0"/>
          <w:color w:val="000000"/>
        </w:rPr>
        <w:t xml:space="preserve">; otherwise it is nonnegative. A bound on all feasible column weights is sufficient but stronger than needed. Models with block convexity or other normalization admit corresponding blockwise bounds. A heuristic route cost is an upper bound on the pricing minimum, so it cannot serve as </w:t>
      </w:r>
      <w:r>
        <w:rPr>
          <w:rFonts w:ascii="Times New Roman" w:hAnsi="Times New Roman"/>
          <w:b w:val="0"/>
          <w:i/>
          <w:color w:val="000000"/>
        </w:rPr>
        <w:t>ℓ</w:t>
      </w:r>
      <w:r>
        <w:rPr>
          <w:rFonts w:ascii="Times New Roman" w:hAnsi="Times New Roman"/>
          <w:b w:val="0"/>
          <w:i w:val="0"/>
          <w:color w:val="000000"/>
        </w:rPr>
        <w:t xml:space="preserve"> merely because it is the best route found.</w:t>
      </w:r>
    </w:p>
    <w:p>
      <w:pPr/>
      <w:r>
        <w:rPr>
          <w:rFonts w:ascii="Times New Roman" w:hAnsi="Times New Roman"/>
          <w:b w:val="0"/>
          <w:i w:val="0"/>
          <w:color w:val="000000"/>
        </w:rPr>
        <w:t xml:space="preserve">Bounds available before full pricing closure have a classical antecedent in Farley's work on large LPs, including cutting stock (Farley, 1990). Eq. (3) is the column-mass argument used here under its stated assumptions, rather than a transcription of Farley’s formula. A distinct, useful unit-cost construction makes the dual scaling explicit: if all column costs equal one, </w:t>
      </w:r>
      <w:r>
        <w:rPr>
          <w:rFonts w:ascii="Times New Roman" w:hAnsi="Times New Roman"/>
          <w:b w:val="0"/>
          <w:i/>
          <w:color w:val="000000"/>
        </w:rPr>
        <w:t>π</w:t>
      </w:r>
      <w:r>
        <w:rPr>
          <w:rFonts w:ascii="Times New Roman" w:hAnsi="Times New Roman"/>
          <w:b w:val="0"/>
          <w:i w:val="0"/>
          <w:color w:val="000000"/>
        </w:rPr>
        <w:t xml:space="preserve"> is nonnegative, and </w:t>
      </w:r>
      <w:r>
        <w:rPr>
          <w:rFonts w:ascii="Times New Roman" w:hAnsi="Times New Roman"/>
          <w:b w:val="0"/>
          <w:i/>
          <w:color w:val="000000"/>
        </w:rPr>
        <w:t>U</w:t>
      </w:r>
      <w:r>
        <w:rPr>
          <w:rFonts w:ascii="Times New Roman" w:hAnsi="Times New Roman"/>
          <w:b w:val="0"/>
          <w:i w:val="0"/>
          <w:color w:val="000000"/>
        </w:rPr>
        <w:t xml:space="preserve"> bounds the largest value of </w:t>
      </w:r>
      <w:r>
        <w:rPr>
          <w:rFonts w:ascii="Times New Roman" w:hAnsi="Times New Roman"/>
          <w:b w:val="0"/>
          <w:i/>
          <w:color w:val="000000"/>
        </w:rPr>
        <w:t>a</w:t>
      </w:r>
      <w:r>
        <w:rPr>
          <w:rFonts w:ascii="Times New Roman" w:hAnsi="Times New Roman"/>
          <w:b w:val="0"/>
          <w:i w:val="0"/>
          <w:color w:val="000000"/>
        </w:rPr>
        <w:t>ⱼᵀ</w:t>
      </w:r>
      <w:r>
        <w:rPr>
          <w:rFonts w:ascii="Times New Roman" w:hAnsi="Times New Roman"/>
          <w:b w:val="0"/>
          <w:i/>
          <w:color w:val="000000"/>
        </w:rPr>
        <w:t>π</w:t>
      </w:r>
      <w:r>
        <w:rPr>
          <w:rFonts w:ascii="Times New Roman" w:hAnsi="Times New Roman"/>
          <w:b w:val="0"/>
          <w:i w:val="0"/>
          <w:color w:val="000000"/>
        </w:rPr>
        <w:t>, then</w:t>
      </w:r>
    </w:p>
    <w:p>
      <w:pPr>
        <w:keepLines/>
        <w:spacing w:before="100" w:after="160"/>
        <w:jc w:val="center"/>
      </w:pPr>
      <m:oMath xmlns:mml="http://www.w3.org/1998/Math/MathML">
        <m:r>
          <w:rPr>
            <w:rFonts w:ascii="Cambria Math" w:hAnsi="Cambria Math"/>
            <w:sz w:val="22"/>
          </w:rPr>
          <m:t>U≥</m:t>
        </m:r>
        <m:sSub>
          <m:e>
            <m:r>
              <m:rPr>
                <m:nor m:val="1"/>
                <m:sty m:val="p"/>
              </m:rPr>
              <w:rPr>
                <w:rFonts w:ascii="Cambria Math" w:hAnsi="Cambria Math"/>
                <w:sz w:val="22"/>
                <w:i w:val="0"/>
              </w:rPr>
              <m:t>max</m:t>
            </m:r>
          </m:e>
          <m:sub>
            <m:r>
              <w:rPr>
                <w:rFonts w:ascii="Cambria Math" w:hAnsi="Cambria Math"/>
                <w:sz w:val="22"/>
              </w:rPr>
              <m:t>j∈J</m:t>
            </m:r>
          </m:sub>
        </m:sSub>
        <m:sSubSup>
          <m:e>
            <m:r>
              <w:rPr>
                <w:rFonts w:ascii="Cambria Math" w:hAnsi="Cambria Math"/>
                <w:sz w:val="22"/>
              </w:rPr>
              <m:t>a</m:t>
            </m:r>
          </m:e>
          <m:sub>
            <m:r>
              <w:rPr>
                <w:rFonts w:ascii="Cambria Math" w:hAnsi="Cambria Math"/>
                <w:sz w:val="22"/>
              </w:rPr>
              <m:t>j</m:t>
            </m:r>
          </m:sub>
          <m:sup>
            <m:r>
              <m:rPr>
                <m:scr m:val="sans-serif"/>
                <m:sty m:val="p"/>
              </m:rPr>
              <w:rPr>
                <w:rFonts w:ascii="Cambria Math" w:hAnsi="Cambria Math"/>
                <w:sz w:val="22"/>
              </w:rPr>
              <m:t>T</m:t>
            </m:r>
          </m:sup>
        </m:sSubSup>
        <m:r>
          <w:rPr>
            <w:rFonts w:ascii="Cambria Math" w:hAnsi="Cambria Math"/>
            <w:sz w:val="22"/>
          </w:rPr>
          <m:t>π</m:t>
        </m:r>
        <m:r>
          <w:rPr>
            <w:rFonts w:ascii="Cambria Math" w:hAnsi="Cambria Math"/>
            <w:sz w:val="22"/>
          </w:rPr>
          <m:t>⟹</m:t>
        </m:r>
        <m:f>
          <m:fPr>
            <m:type m:val="bar"/>
          </m:fPr>
          <m:num>
            <m:sSup>
              <m:e>
                <m:r>
                  <w:rPr>
                    <w:rFonts w:ascii="Cambria Math" w:hAnsi="Cambria Math"/>
                    <w:sz w:val="22"/>
                  </w:rPr>
                  <m:t>b</m:t>
                </m:r>
              </m:e>
              <m:sup>
                <m:r>
                  <m:rPr>
                    <m:scr m:val="sans-serif"/>
                    <m:sty m:val="p"/>
                  </m:rPr>
                  <w:rPr>
                    <w:rFonts w:ascii="Cambria Math" w:hAnsi="Cambria Math"/>
                    <w:sz w:val="22"/>
                  </w:rPr>
                  <m:t>T</m:t>
                </m:r>
              </m:sup>
            </m:sSup>
            <m:r>
              <w:rPr>
                <w:rFonts w:ascii="Cambria Math" w:hAnsi="Cambria Math"/>
                <w:sz w:val="22"/>
              </w:rPr>
              <m:t>π</m:t>
            </m:r>
          </m:num>
          <m:den>
            <m:r>
              <m:rPr>
                <m:nor m:val="1"/>
                <m:sty m:val="p"/>
              </m:rPr>
              <w:rPr>
                <w:rFonts w:ascii="Cambria Math" w:hAnsi="Cambria Math"/>
                <w:sz w:val="22"/>
                <w:i w:val="0"/>
              </w:rPr>
              <m:t>max</m:t>
            </m:r>
            <m:r>
              <w:rPr>
                <w:rFonts w:ascii="Cambria Math" w:hAnsi="Cambria Math"/>
                <w:sz w:val="22"/>
              </w:rPr>
              <m:t>{1,U}</m:t>
            </m:r>
          </m:den>
        </m:f>
        <m:r>
          <w:rPr>
            <w:rFonts w:ascii="Cambria Math" w:hAnsi="Cambria Math"/>
            <w:sz w:val="22"/>
          </w:rPr>
          <m:t>≤</m:t>
        </m:r>
        <m:sSub>
          <m:e>
            <m:r>
              <w:rPr>
                <w:rFonts w:ascii="Cambria Math" w:hAnsi="Cambria Math"/>
                <w:sz w:val="22"/>
              </w:rPr>
              <m:t>z</m:t>
            </m:r>
          </m:e>
          <m:sub>
            <m:r>
              <w:rPr>
                <w:rFonts w:ascii="Cambria Math" w:hAnsi="Cambria Math"/>
                <w:sz w:val="22"/>
              </w:rPr>
              <m:t>LP</m:t>
            </m:r>
          </m:sub>
        </m:sSub>
        <m:r>
          <w:rPr>
            <w:rFonts w:ascii="Cambria Math" w:hAnsi="Cambria Math"/>
            <w:sz w:val="22"/>
          </w:rPr>
          <m:t>.</m:t>
        </m:r>
      </m:oMath>
      <w:r>
        <w:rPr>
          <w:rFonts w:ascii="Times New Roman" w:hAnsi="Times New Roman"/>
          <w:color w:val="000000"/>
          <w:sz w:val="22"/>
        </w:rPr>
        <w:t xml:space="preserve">    (4)</w:t>
      </w:r>
    </w:p>
    <w:p>
      <w:pPr/>
      <w:r>
        <w:rPr>
          <w:rFonts w:ascii="Times New Roman" w:hAnsi="Times New Roman"/>
          <w:b w:val="0"/>
          <w:i w:val="0"/>
          <w:color w:val="000000"/>
        </w:rPr>
        <w:t xml:space="preserve">Indeed, scaling </w:t>
      </w:r>
      <w:r>
        <w:rPr>
          <w:rFonts w:ascii="Times New Roman" w:hAnsi="Times New Roman"/>
          <w:b w:val="0"/>
          <w:i/>
          <w:color w:val="000000"/>
        </w:rPr>
        <w:t>π</w:t>
      </w:r>
      <w:r>
        <w:rPr>
          <w:rFonts w:ascii="Times New Roman" w:hAnsi="Times New Roman"/>
          <w:b w:val="0"/>
          <w:i w:val="0"/>
          <w:color w:val="000000"/>
        </w:rPr>
        <w:t xml:space="preserve"> by the positive denominator makes every full-dual constraint feasible. The additive correction and the scaling construction depend on different available information. Neither permits an unconstrained prediction to replace a certified bound.</w:t>
      </w:r>
    </w:p>
    <w:p>
      <w:pPr>
        <w:pStyle w:val="Heading2"/>
      </w:pPr>
      <w:r>
        <w:rPr>
          <w:rFonts w:ascii="Times New Roman" w:hAnsi="Times New Roman"/>
          <w:b/>
          <w:i w:val="0"/>
          <w:color w:val="000000"/>
        </w:rPr>
        <w:t>3.2 A two-customer vehicle-routing example</w:t>
      </w:r>
    </w:p>
    <w:p>
      <w:pPr/>
      <w:r>
        <w:rPr>
          <w:rFonts w:ascii="Times New Roman" w:hAnsi="Times New Roman"/>
          <w:b w:val="0"/>
          <w:i w:val="0"/>
          <w:color w:val="000000"/>
        </w:rPr>
        <w:t>Consider a deliberately small vehicle routing problem with time windows (VRPTW). Customers 1 and 2 each require one unit, vehicle capacity is two, service times are zero, and every location has time window [0, 10]. Travel time equals travel cost. Each depot-to-customer or customer-to-depot arc costs two; each arc between the customers costs one. Columns are nonempty elementary depot-to-depot routes, and a set-partitioning master covers each customer exactly once. There are no cuts or fleet row in this example.</w:t>
      </w:r>
    </w:p>
    <w:p>
      <w:pPr/>
      <w:r>
        <w:rPr>
          <w:rFonts w:ascii="Times New Roman" w:hAnsi="Times New Roman"/>
          <w:b w:val="0"/>
          <w:i w:val="0"/>
          <w:color w:val="000000"/>
        </w:rPr>
        <w:t xml:space="preserve">With only the two single-customer routes, the RMP costs eight. Its dual is </w:t>
      </w:r>
      <w:r>
        <w:rPr>
          <w:rFonts w:ascii="Times New Roman" w:hAnsi="Times New Roman"/>
          <w:b w:val="0"/>
          <w:i/>
          <w:color w:val="000000"/>
        </w:rPr>
        <w:t>π</w:t>
      </w:r>
      <w:r>
        <w:rPr>
          <w:rFonts w:ascii="Times New Roman" w:hAnsi="Times New Roman"/>
          <w:b w:val="0"/>
          <w:i w:val="0"/>
          <w:color w:val="000000"/>
        </w:rPr>
        <w:t xml:space="preserve">₁ = </w:t>
      </w:r>
      <w:r>
        <w:rPr>
          <w:rFonts w:ascii="Times New Roman" w:hAnsi="Times New Roman"/>
          <w:b w:val="0"/>
          <w:i/>
          <w:color w:val="000000"/>
        </w:rPr>
        <w:t>π</w:t>
      </w:r>
      <w:r>
        <w:rPr>
          <w:rFonts w:ascii="Times New Roman" w:hAnsi="Times New Roman"/>
          <w:b w:val="0"/>
          <w:i w:val="0"/>
          <w:color w:val="000000"/>
        </w:rPr>
        <w:t xml:space="preserve">₂ = 4. Either route visiting both customers costs five and has reduced cost −3. Now let an L4 filter delete both arcs between customers. The restricted pricing graph contains only the single-customer routes, whose reduced costs are zero. If </w:t>
      </w:r>
      <w:r>
        <w:rPr>
          <w:rFonts w:ascii="Times New Roman" w:hAnsi="Times New Roman"/>
          <w:b w:val="0"/>
          <w:i/>
          <w:color w:val="000000"/>
        </w:rPr>
        <w:t>J′</w:t>
      </w:r>
      <w:r>
        <w:rPr>
          <w:rFonts w:ascii="Times New Roman" w:hAnsi="Times New Roman"/>
          <w:b w:val="0"/>
          <w:i w:val="0"/>
          <w:color w:val="000000"/>
        </w:rPr>
        <w:t xml:space="preserve"> denotes that restricted route set, then</w:t>
      </w:r>
    </w:p>
    <w:p>
      <w:pPr>
        <w:keepLines/>
        <w:spacing w:before="100" w:after="160"/>
        <w:jc w:val="center"/>
      </w:pPr>
      <m:oMath xmlns:mml="http://www.w3.org/1998/Math/MathML">
        <m:sSub>
          <m:e>
            <m:r>
              <m:rPr>
                <m:nor m:val="1"/>
                <m:sty m:val="p"/>
              </m:rPr>
              <w:rPr>
                <w:rFonts w:ascii="Cambria Math" w:hAnsi="Cambria Math"/>
                <w:sz w:val="22"/>
                <w:i w:val="0"/>
              </w:rPr>
              <m:t>min</m:t>
            </m:r>
          </m:e>
          <m:sub>
            <m:r>
              <w:rPr>
                <w:rFonts w:ascii="Cambria Math" w:hAnsi="Cambria Math"/>
                <w:sz w:val="22"/>
              </w:rPr>
              <m:t>r∈J</m:t>
            </m:r>
          </m:sub>
        </m:sSub>
        <m:sSub>
          <m:e>
            <m:bar>
              <m:barPr>
                <m:pos m:val="top"/>
              </m:barPr>
              <m:e>
                <m:r>
                  <w:rPr>
                    <w:rFonts w:ascii="Cambria Math" w:hAnsi="Cambria Math"/>
                    <w:sz w:val="22"/>
                  </w:rPr>
                  <m:t>c</m:t>
                </m:r>
              </m:e>
            </m:bar>
          </m:e>
          <m:sub>
            <m:r>
              <w:rPr>
                <w:rFonts w:ascii="Cambria Math" w:hAnsi="Cambria Math"/>
                <w:sz w:val="22"/>
              </w:rPr>
              <m:t>r</m:t>
            </m:r>
          </m:sub>
        </m:sSub>
        <m:r>
          <w:rPr>
            <w:rFonts w:ascii="Cambria Math" w:hAnsi="Cambria Math"/>
            <w:sz w:val="22"/>
          </w:rPr>
          <m:t>=−3</m:t>
        </m:r>
        <m:r>
          <w:rPr>
            <w:rFonts w:ascii="Cambria Math" w:hAnsi="Cambria Math"/>
            <w:sz w:val="22"/>
          </w:rPr>
          <m:t>&lt;</m:t>
        </m:r>
        <m:sSub>
          <m:e>
            <m:r>
              <m:rPr>
                <m:nor m:val="1"/>
                <m:sty m:val="p"/>
              </m:rPr>
              <w:rPr>
                <w:rFonts w:ascii="Cambria Math" w:hAnsi="Cambria Math"/>
                <w:sz w:val="22"/>
                <w:i w:val="0"/>
              </w:rPr>
              <m:t>min</m:t>
            </m:r>
          </m:e>
          <m:sub>
            <m:r>
              <w:rPr>
                <w:rFonts w:ascii="Cambria Math" w:hAnsi="Cambria Math"/>
                <w:sz w:val="22"/>
              </w:rPr>
              <m:t>r∈</m:t>
            </m:r>
            <m:sSup>
              <m:e>
                <m:r>
                  <w:rPr>
                    <w:rFonts w:ascii="Cambria Math" w:hAnsi="Cambria Math"/>
                    <w:sz w:val="22"/>
                  </w:rPr>
                  <m:t>J</m:t>
                </m:r>
              </m:e>
              <m:sup>
                <m:r>
                  <w:rPr>
                    <w:rFonts w:ascii="Cambria Math" w:hAnsi="Cambria Math"/>
                    <w:sz w:val="22"/>
                  </w:rPr>
                  <m:t>′</m:t>
                </m:r>
              </m:sup>
            </m:sSup>
          </m:sub>
        </m:sSub>
        <m:sSub>
          <m:e>
            <m:bar>
              <m:barPr>
                <m:pos m:val="top"/>
              </m:barPr>
              <m:e>
                <m:r>
                  <w:rPr>
                    <w:rFonts w:ascii="Cambria Math" w:hAnsi="Cambria Math"/>
                    <w:sz w:val="22"/>
                  </w:rPr>
                  <m:t>c</m:t>
                </m:r>
              </m:e>
            </m:bar>
          </m:e>
          <m:sub>
            <m:r>
              <w:rPr>
                <w:rFonts w:ascii="Cambria Math" w:hAnsi="Cambria Math"/>
                <w:sz w:val="22"/>
              </w:rPr>
              <m:t>r</m:t>
            </m:r>
          </m:sub>
        </m:sSub>
        <m:r>
          <w:rPr>
            <w:rFonts w:ascii="Cambria Math" w:hAnsi="Cambria Math"/>
            <w:sz w:val="22"/>
          </w:rPr>
          <m:t>=0,</m:t>
        </m:r>
        <m:sSub>
          <m:e>
            <m:r>
              <w:rPr>
                <w:rFonts w:ascii="Cambria Math" w:hAnsi="Cambria Math"/>
                <w:sz w:val="22"/>
              </w:rPr>
              <m:t>z</m:t>
            </m:r>
          </m:e>
          <m:sub>
            <m:r>
              <w:rPr>
                <w:rFonts w:ascii="Cambria Math" w:hAnsi="Cambria Math"/>
                <w:sz w:val="22"/>
              </w:rPr>
              <m:t>LP</m:t>
            </m:r>
          </m:sub>
        </m:sSub>
        <m:r>
          <w:rPr>
            <w:rFonts w:ascii="Cambria Math" w:hAnsi="Cambria Math"/>
            <w:sz w:val="22"/>
          </w:rPr>
          <m:t>=5&lt;</m:t>
        </m:r>
        <m:sSub>
          <m:e>
            <m:r>
              <w:rPr>
                <w:rFonts w:ascii="Cambria Math" w:hAnsi="Cambria Math"/>
                <w:sz w:val="22"/>
              </w:rPr>
              <m:t>z</m:t>
            </m:r>
          </m:e>
          <m:sub>
            <m:r>
              <w:rPr>
                <w:rFonts w:ascii="Cambria Math" w:hAnsi="Cambria Math"/>
                <w:sz w:val="22"/>
              </w:rPr>
              <m:t>RMP</m:t>
            </m:r>
          </m:sub>
        </m:sSub>
        <m:r>
          <w:rPr>
            <w:rFonts w:ascii="Cambria Math" w:hAnsi="Cambria Math"/>
            <w:sz w:val="22"/>
          </w:rPr>
          <m:t>=8.</m:t>
        </m:r>
      </m:oMath>
      <w:r>
        <w:rPr>
          <w:rFonts w:ascii="Times New Roman" w:hAnsi="Times New Roman"/>
          <w:color w:val="000000"/>
          <w:sz w:val="22"/>
        </w:rPr>
        <w:t xml:space="preserve">    (5)</w:t>
      </w:r>
    </w:p>
    <w:p>
      <w:pPr/>
      <w:r>
        <w:rPr>
          <w:rFonts w:ascii="Times New Roman" w:hAnsi="Times New Roman"/>
          <w:b w:val="0"/>
          <w:i w:val="0"/>
          <w:color w:val="000000"/>
        </w:rPr>
        <w:t>The restricted optimum has the wrong bound direction for certifying the full pricing minimum. Calling its labeling routine exact does not repair the deleted arcs.</w:t>
      </w:r>
    </w:p>
    <w:p>
      <w:pPr/>
      <w:r>
        <w:rPr>
          <w:rFonts w:ascii="Times New Roman" w:hAnsi="Times New Roman"/>
          <w:b w:val="0"/>
          <w:i w:val="0"/>
          <w:color w:val="000000"/>
        </w:rPr>
        <w:t xml:space="preserve">This example also quantifies the consequence for Eq. (3). In the partitioning master, every nonempty route visits at least one customer, so the total route weight is at most two. With </w:t>
      </w:r>
      <w:r>
        <w:rPr>
          <w:rFonts w:ascii="Times New Roman" w:hAnsi="Times New Roman"/>
          <w:b w:val="0"/>
          <w:i/>
          <w:color w:val="000000"/>
        </w:rPr>
        <w:t>K</w:t>
      </w:r>
      <w:r>
        <w:rPr>
          <w:rFonts w:ascii="Times New Roman" w:hAnsi="Times New Roman"/>
          <w:b w:val="0"/>
          <w:i w:val="0"/>
          <w:color w:val="000000"/>
        </w:rPr>
        <w:t xml:space="preserve"> = 2 and the true pricing lower bound −3, Eq. (3) gives the valid but weak lower bound 2. Substituting the restricted value zero would claim the invalid lower bound 8, above both the full LP and integer optimum of 5.</w:t>
      </w:r>
    </w:p>
    <w:p>
      <w:pPr/>
      <w:r>
        <w:rPr>
          <w:rFonts w:ascii="Times New Roman" w:hAnsi="Times New Roman"/>
          <w:b w:val="0"/>
          <w:i w:val="0"/>
          <w:color w:val="000000"/>
        </w:rPr>
        <w:t xml:space="preserve">G2 recovery restores the two omitted arcs and prices at the current dual. It discovers the combined route, after which the master reaches five. A subsequent full-domain check at, for example, </w:t>
      </w:r>
      <w:r>
        <w:rPr>
          <w:rFonts w:ascii="Times New Roman" w:hAnsi="Times New Roman"/>
          <w:b w:val="0"/>
          <w:i/>
          <w:color w:val="000000"/>
        </w:rPr>
        <w:t>π</w:t>
      </w:r>
      <w:r>
        <w:rPr>
          <w:rFonts w:ascii="Times New Roman" w:hAnsi="Times New Roman"/>
          <w:b w:val="0"/>
          <w:i w:val="0"/>
          <w:color w:val="000000"/>
        </w:rPr>
        <w:t xml:space="preserve">₁ = </w:t>
      </w:r>
      <w:r>
        <w:rPr>
          <w:rFonts w:ascii="Times New Roman" w:hAnsi="Times New Roman"/>
          <w:b w:val="0"/>
          <w:i/>
          <w:color w:val="000000"/>
        </w:rPr>
        <w:t>π</w:t>
      </w:r>
      <w:r>
        <w:rPr>
          <w:rFonts w:ascii="Times New Roman" w:hAnsi="Times New Roman"/>
          <w:b w:val="0"/>
          <w:i w:val="0"/>
          <w:color w:val="000000"/>
        </w:rPr>
        <w:t>₂ = 2.5 establishes nonnegative reduced costs and closes the LP. Recovery therefore includes the failed restricted search, restored pricing, master reoptimization and final certification. This is an analytic illustration, not a computational experiment or a speed comparison. Sections 5 and 6 use it to locate the obligations of more elaborate methods.</w:t>
      </w:r>
    </w:p>
    <w:p>
      <w:pPr>
        <w:pStyle w:val="Heading2"/>
      </w:pPr>
      <w:r>
        <w:rPr>
          <w:rFonts w:ascii="Times New Roman" w:hAnsi="Times New Roman"/>
          <w:b/>
          <w:i w:val="0"/>
          <w:color w:val="000000"/>
        </w:rPr>
        <w:t>3.3 Degeneracy changes the learning target</w:t>
      </w:r>
    </w:p>
    <w:p>
      <w:pPr/>
      <w:r>
        <w:rPr>
          <w:rFonts w:ascii="Times New Roman" w:hAnsi="Times New Roman"/>
          <w:b w:val="0"/>
          <w:i w:val="0"/>
          <w:color w:val="000000"/>
        </w:rPr>
        <w:t>An optimal dual vector is often not unique. On a degenerate RMP, a solver can return quite different points on the same optimal dual face without changing the primal objective. These points induce different reduced costs for columns outside the RMP and can therefore make subsequent pricing very different (du Merle et al., 1999; Gondzio et al., 2013; Rousseau et al., 2007).</w:t>
      </w:r>
    </w:p>
    <w:p>
      <w:pPr/>
      <w:r>
        <w:rPr>
          <w:rFonts w:ascii="Times New Roman" w:hAnsi="Times New Roman"/>
          <w:b w:val="0"/>
          <w:i w:val="0"/>
          <w:color w:val="000000"/>
        </w:rPr>
        <w:t>This creates a supervision problem. Coordinatewise squared error against one saved dual vector rewards agreement with the teacher's particular choice. It can penalize another optimal dual vector that is equally valid and cheaper to price. Nor are adjacent stored iterations independent examples when they share a parent instance and an almost unchanged basis. More informative targets can measure downstream pricing cost, progress after reoptimization, or distance to the admissible dual set. A learned prediction may guide the search, but admissibility and usefulness remain separate properties.</w:t>
      </w:r>
    </w:p>
    <w:p>
      <w:pPr>
        <w:pStyle w:val="Heading2"/>
      </w:pPr>
      <w:r>
        <w:rPr>
          <w:rFonts w:ascii="Times New Roman" w:hAnsi="Times New Roman"/>
          <w:b/>
          <w:i w:val="0"/>
          <w:color w:val="000000"/>
        </w:rPr>
        <w:t>3.4 Integer completion requires another argument</w:t>
      </w:r>
    </w:p>
    <w:p>
      <w:pPr/>
      <w:r>
        <w:rPr>
          <w:rFonts w:ascii="Times New Roman" w:hAnsi="Times New Roman"/>
          <w:b w:val="0"/>
          <w:i w:val="0"/>
          <w:color w:val="000000"/>
        </w:rPr>
        <w:t>Solving an integer RMP after root CG is a primal heuristic in general. Columns needed for an optimal integer solution need not enter an optimal root LP. Complete integer optimization can instead use a valid B&amp;P tree or, under appropriate bounds, enumerate all columns that could improve an incumbent and solve the resulting finite integer model (Baldacci et al., 2011; Muter and Öncan, 2015). Enumeration-based completion and tree search should be reported separately.</w:t>
      </w:r>
    </w:p>
    <w:p>
      <w:pPr/>
      <w:r>
        <w:rPr>
          <w:rFonts w:ascii="Times New Roman" w:hAnsi="Times New Roman"/>
          <w:b w:val="0"/>
          <w:i w:val="0"/>
          <w:color w:val="000000"/>
        </w:rPr>
        <w:t>At a tree node, pricing must incorporate the active branch restrictions and cut coefficients. An infeasible RMP requires Phase-I or Farkas pricing before the full node can be declared infeasible. A time-limited pricing call can leave a previously valid bound available, but cannot promote an unchecked RMP objective to a new node bound. These conditions explain why a root result, even one with exact pricing, does not establish the behavior or completeness of a full BPC solver (Barnhart et al., 1998; Petris et al., 2025; Vanderbeck, 2005).</w:t>
      </w:r>
    </w:p>
    <w:p>
      <w:pPr>
        <w:pStyle w:val="Heading1"/>
      </w:pPr>
      <w:r>
        <w:rPr>
          <w:rFonts w:ascii="Times New Roman" w:hAnsi="Times New Roman"/>
          <w:b/>
          <w:i w:val="0"/>
          <w:color w:val="000000"/>
        </w:rPr>
        <w:t>4 Intervention location, guarantee and evidence scope</w:t>
      </w:r>
    </w:p>
    <w:p>
      <w:pPr/>
      <w:r>
        <w:rPr>
          <w:rFonts w:ascii="Times New Roman" w:hAnsi="Times New Roman"/>
          <w:b w:val="0"/>
          <w:i w:val="0"/>
          <w:color w:val="000000"/>
        </w:rPr>
        <w:t>The taxonomy describes the changed operation, its mathematical protection and the experiment actually reported. These complementary descriptors organize comparison; they are not asserted to be statistically independent or mutually exclusive mathematical classes. A model architecture does not determine them. The same graph model can rank labels, delete arcs, select generated columns or predict a dual center. Conversely, a classical rule and a learned policy can occupy the same interface and face the same proof obligation.</w:t>
      </w:r>
    </w:p>
    <w:p>
      <w:pPr/>
      <w:r>
        <w:rPr>
          <w:rFonts w:ascii="Times New Roman" w:hAnsi="Times New Roman"/>
          <w:b w:val="0"/>
          <w:i w:val="0"/>
          <w:color w:val="000000"/>
        </w:rPr>
        <w:t>The six intervention layers in Figure 1 and Table 2 are defined by the controlled object.</w:t>
      </w:r>
    </w:p>
    <w:p>
      <w:pPr>
        <w:pStyle w:val="ListBullet"/>
      </w:pPr>
      <w:r>
        <w:rPr>
          <w:rFonts w:ascii="Times New Roman" w:hAnsi="Times New Roman"/>
          <w:b/>
          <w:i w:val="0"/>
          <w:color w:val="000000"/>
        </w:rPr>
        <w:t>L1, tree control:</w:t>
      </w:r>
      <w:r>
        <w:rPr>
          <w:rFonts w:ascii="Times New Roman" w:hAnsi="Times New Roman"/>
          <w:b w:val="0"/>
          <w:i w:val="0"/>
          <w:color w:val="000000"/>
        </w:rPr>
        <w:t xml:space="preserve"> branching disjunctions, candidate evaluation and open-node selection.</w:t>
      </w:r>
    </w:p>
    <w:p>
      <w:pPr>
        <w:pStyle w:val="ListBullet"/>
      </w:pPr>
      <w:r>
        <w:rPr>
          <w:rFonts w:ascii="Times New Roman" w:hAnsi="Times New Roman"/>
          <w:b/>
          <w:i w:val="0"/>
          <w:color w:val="000000"/>
        </w:rPr>
        <w:t>L2, master and dual guidance:</w:t>
      </w:r>
      <w:r>
        <w:rPr>
          <w:rFonts w:ascii="Times New Roman" w:hAnsi="Times New Roman"/>
          <w:b w:val="0"/>
          <w:i w:val="0"/>
          <w:color w:val="000000"/>
        </w:rPr>
        <w:t xml:space="preserve"> initial columns, master solution, stabilization and the dual point supplied to pricing.</w:t>
      </w:r>
    </w:p>
    <w:p>
      <w:pPr>
        <w:pStyle w:val="ListBullet"/>
      </w:pPr>
      <w:r>
        <w:rPr>
          <w:rFonts w:ascii="Times New Roman" w:hAnsi="Times New Roman"/>
          <w:b/>
          <w:i w:val="0"/>
          <w:color w:val="000000"/>
        </w:rPr>
        <w:t>L3, pricing orchestration:</w:t>
      </w:r>
      <w:r>
        <w:rPr>
          <w:rFonts w:ascii="Times New Roman" w:hAnsi="Times New Roman"/>
          <w:b w:val="0"/>
          <w:i w:val="0"/>
          <w:color w:val="000000"/>
        </w:rPr>
        <w:t xml:space="preserve"> the next pricing block or oracle to call.</w:t>
      </w:r>
    </w:p>
    <w:p>
      <w:pPr>
        <w:pStyle w:val="ListBullet"/>
      </w:pPr>
      <w:r>
        <w:rPr>
          <w:rFonts w:ascii="Times New Roman" w:hAnsi="Times New Roman"/>
          <w:b/>
          <w:i w:val="0"/>
          <w:color w:val="000000"/>
        </w:rPr>
        <w:t>L4, pricing domain and state:</w:t>
      </w:r>
      <w:r>
        <w:rPr>
          <w:rFonts w:ascii="Times New Roman" w:hAnsi="Times New Roman"/>
          <w:b w:val="0"/>
          <w:i w:val="0"/>
          <w:color w:val="000000"/>
        </w:rPr>
        <w:t xml:space="preserve"> admissible arcs, paths, resource memory, dominance and bound-based elimination.</w:t>
      </w:r>
    </w:p>
    <w:p>
      <w:pPr>
        <w:pStyle w:val="ListBullet"/>
      </w:pPr>
      <w:r>
        <w:rPr>
          <w:rFonts w:ascii="Times New Roman" w:hAnsi="Times New Roman"/>
          <w:b/>
          <w:i w:val="0"/>
          <w:color w:val="000000"/>
        </w:rPr>
        <w:t>L5, internal search and construction:</w:t>
      </w:r>
      <w:r>
        <w:rPr>
          <w:rFonts w:ascii="Times New Roman" w:hAnsi="Times New Roman"/>
          <w:b w:val="0"/>
          <w:i w:val="0"/>
          <w:color w:val="000000"/>
        </w:rPr>
        <w:t xml:space="preserve"> the order of retained search states or the actions used to construct a new column.</w:t>
      </w:r>
    </w:p>
    <w:p>
      <w:pPr>
        <w:pStyle w:val="ListBullet"/>
      </w:pPr>
      <w:r>
        <w:rPr>
          <w:rFonts w:ascii="Times New Roman" w:hAnsi="Times New Roman"/>
          <w:b/>
          <w:i w:val="0"/>
          <w:color w:val="000000"/>
        </w:rPr>
        <w:t>L6, generated-column management:</w:t>
      </w:r>
      <w:r>
        <w:rPr>
          <w:rFonts w:ascii="Times New Roman" w:hAnsi="Times New Roman"/>
          <w:b w:val="0"/>
          <w:i w:val="0"/>
          <w:color w:val="000000"/>
        </w:rPr>
        <w:t xml:space="preserve"> admission, storage, deletion and reuse after a column exists.</w:t>
      </w:r>
    </w:p>
    <w:p>
      <w:pPr/>
      <w:r>
        <w:rPr>
          <w:rFonts w:ascii="Times New Roman" w:hAnsi="Times New Roman"/>
          <w:b w:val="0"/>
          <w:i w:val="0"/>
          <w:color w:val="000000"/>
        </w:rPr>
        <w:t>A method can have secondary layers. For example, retaining all labels while changing their priority is primarily L5; permanently discarding low-score labels additionally changes L4. A route selector operating after exact pricing has generated a batch is L6 and cannot be credited with avoiding that batch's generation cost.</w:t>
      </w:r>
    </w:p>
    <w:p>
      <w:pPr/>
      <w:r>
        <w:rPr>
          <w:rFonts w:ascii="Times New Roman" w:hAnsi="Times New Roman"/>
          <w:b w:val="0"/>
          <w:i w:val="0"/>
          <w:color w:val="000000"/>
        </w:rPr>
        <w:t xml:space="preserve">Guarantee labels apply to the specified variant and target. </w:t>
      </w:r>
      <w:r>
        <w:rPr>
          <w:rFonts w:ascii="Times New Roman" w:hAnsi="Times New Roman"/>
          <w:b/>
          <w:i w:val="0"/>
          <w:color w:val="000000"/>
        </w:rPr>
        <w:t>G1</w:t>
      </w:r>
      <w:r>
        <w:rPr>
          <w:rFonts w:ascii="Times New Roman" w:hAnsi="Times New Roman"/>
          <w:b w:val="0"/>
          <w:i w:val="0"/>
          <w:color w:val="000000"/>
        </w:rPr>
        <w:t xml:space="preserve"> preserves completeness through an admissible order change. </w:t>
      </w:r>
      <w:r>
        <w:rPr>
          <w:rFonts w:ascii="Times New Roman" w:hAnsi="Times New Roman"/>
          <w:b/>
          <w:i w:val="0"/>
          <w:color w:val="000000"/>
        </w:rPr>
        <w:t>G2</w:t>
      </w:r>
      <w:r>
        <w:rPr>
          <w:rFonts w:ascii="Times New Roman" w:hAnsi="Times New Roman"/>
          <w:b w:val="0"/>
          <w:i w:val="0"/>
          <w:color w:val="000000"/>
        </w:rPr>
        <w:t xml:space="preserve"> permits restriction or heuristic discovery but restores the required domain or another valid certifying procedure. </w:t>
      </w:r>
      <w:r>
        <w:rPr>
          <w:rFonts w:ascii="Times New Roman" w:hAnsi="Times New Roman"/>
          <w:b/>
          <w:i w:val="0"/>
          <w:color w:val="000000"/>
        </w:rPr>
        <w:t>G3</w:t>
      </w:r>
      <w:r>
        <w:rPr>
          <w:rFonts w:ascii="Times New Roman" w:hAnsi="Times New Roman"/>
          <w:b w:val="0"/>
          <w:i w:val="0"/>
          <w:color w:val="000000"/>
        </w:rPr>
        <w:t xml:space="preserve"> eliminates candidates using a sufficient dominance, fixing or bound argument. </w:t>
      </w:r>
      <w:r>
        <w:rPr>
          <w:rFonts w:ascii="Times New Roman" w:hAnsi="Times New Roman"/>
          <w:b/>
          <w:i w:val="0"/>
          <w:color w:val="000000"/>
        </w:rPr>
        <w:t>G4</w:t>
      </w:r>
      <w:r>
        <w:rPr>
          <w:rFonts w:ascii="Times New Roman" w:hAnsi="Times New Roman"/>
          <w:b w:val="0"/>
          <w:i w:val="0"/>
          <w:color w:val="000000"/>
        </w:rPr>
        <w:t xml:space="preserve"> uses relaxation or stabilization with a justified bound or recovery of the original problem. </w:t>
      </w:r>
      <w:r>
        <w:rPr>
          <w:rFonts w:ascii="Times New Roman" w:hAnsi="Times New Roman"/>
          <w:b/>
          <w:i w:val="0"/>
          <w:color w:val="000000"/>
        </w:rPr>
        <w:t>G5</w:t>
      </w:r>
      <w:r>
        <w:rPr>
          <w:rFonts w:ascii="Times New Roman" w:hAnsi="Times New Roman"/>
          <w:b w:val="0"/>
          <w:i w:val="0"/>
          <w:color w:val="000000"/>
        </w:rPr>
        <w:t xml:space="preserve"> describes a procedure whose intended complete guarantee is explicitly absent, such as permanent restriction or learned stopping without recovery. Four variants receive no primary mechanism and are marked </w:t>
      </w:r>
      <w:r>
        <w:rPr>
          <w:rFonts w:ascii="Times New Roman" w:hAnsi="Times New Roman"/>
          <w:b/>
          <w:i w:val="0"/>
          <w:color w:val="000000"/>
        </w:rPr>
        <w:t>GU</w:t>
      </w:r>
      <w:r>
        <w:rPr>
          <w:rFonts w:ascii="Times New Roman" w:hAnsi="Times New Roman"/>
          <w:b w:val="0"/>
          <w:i w:val="0"/>
          <w:color w:val="000000"/>
        </w:rPr>
        <w:t xml:space="preserve"> (unassigned): in three, the accessed documentation does not establish the mechanism, and one is an offline classifier without an integrated guarantee target. GU records documentation status; it is neither a sixth mechanism nor a judgment that an algorithm is incorrect. The labels are not performance grades.</w:t>
      </w:r>
    </w:p>
    <w:p>
      <w:pPr/>
      <w:r>
        <w:rPr>
          <w:rFonts w:ascii="Times New Roman" w:hAnsi="Times New Roman"/>
          <w:b w:val="0"/>
          <w:i w:val="0"/>
          <w:color w:val="000000"/>
        </w:rPr>
        <w:t xml:space="preserve">Empirical scope is recorded separately from these labels. </w:t>
      </w:r>
      <w:r>
        <w:rPr>
          <w:rFonts w:ascii="Times New Roman" w:hAnsi="Times New Roman"/>
          <w:b/>
          <w:i w:val="0"/>
          <w:color w:val="000000"/>
        </w:rPr>
        <w:t>E0</w:t>
      </w:r>
      <w:r>
        <w:rPr>
          <w:rFonts w:ascii="Times New Roman" w:hAnsi="Times New Roman"/>
          <w:b w:val="0"/>
          <w:i w:val="0"/>
          <w:color w:val="000000"/>
        </w:rPr>
        <w:t xml:space="preserve"> covers offline predictions or stored labels. </w:t>
      </w:r>
      <w:r>
        <w:rPr>
          <w:rFonts w:ascii="Times New Roman" w:hAnsi="Times New Roman"/>
          <w:b/>
          <w:i w:val="0"/>
          <w:color w:val="000000"/>
        </w:rPr>
        <w:t>E1</w:t>
      </w:r>
      <w:r>
        <w:rPr>
          <w:rFonts w:ascii="Times New Roman" w:hAnsi="Times New Roman"/>
          <w:b w:val="0"/>
          <w:i w:val="0"/>
          <w:color w:val="000000"/>
        </w:rPr>
        <w:t xml:space="preserve"> measures standalone pricing or controlled pricing states. </w:t>
      </w:r>
      <w:r>
        <w:rPr>
          <w:rFonts w:ascii="Times New Roman" w:hAnsi="Times New Roman"/>
          <w:b/>
          <w:i w:val="0"/>
          <w:color w:val="000000"/>
        </w:rPr>
        <w:t>E2</w:t>
      </w:r>
      <w:r>
        <w:rPr>
          <w:rFonts w:ascii="Times New Roman" w:hAnsi="Times New Roman"/>
          <w:b w:val="0"/>
          <w:i w:val="0"/>
          <w:color w:val="000000"/>
        </w:rPr>
        <w:t xml:space="preserve"> covers CG or a root relaxation. </w:t>
      </w:r>
      <w:r>
        <w:rPr>
          <w:rFonts w:ascii="Times New Roman" w:hAnsi="Times New Roman"/>
          <w:b/>
          <w:i w:val="0"/>
          <w:color w:val="000000"/>
        </w:rPr>
        <w:t>E3</w:t>
      </w:r>
      <w:r>
        <w:rPr>
          <w:rFonts w:ascii="Times New Roman" w:hAnsi="Times New Roman"/>
          <w:b w:val="0"/>
          <w:i w:val="0"/>
          <w:color w:val="000000"/>
        </w:rPr>
        <w:t xml:space="preserve"> covers nonroot components or incomplete integer search. </w:t>
      </w:r>
      <w:r>
        <w:rPr>
          <w:rFonts w:ascii="Times New Roman" w:hAnsi="Times New Roman"/>
          <w:b/>
          <w:i w:val="0"/>
          <w:color w:val="000000"/>
        </w:rPr>
        <w:t>E4</w:t>
      </w:r>
      <w:r>
        <w:rPr>
          <w:rFonts w:ascii="Times New Roman" w:hAnsi="Times New Roman"/>
          <w:b w:val="0"/>
          <w:i w:val="0"/>
          <w:color w:val="000000"/>
        </w:rPr>
        <w:t xml:space="preserve"> evaluates a complete B&amp;P or BPC implementation. A paper can contribute several scopes through distinguishable experiments; a complete-tree implementation can also time out. E4 identifies the evaluated procedure, not a promise that every run finishes.</w:t>
      </w:r>
    </w:p>
    <w:p>
      <w:pPr/>
      <w:r>
        <w:rPr>
          <w:rFonts w:ascii="Times New Roman" w:hAnsi="Times New Roman"/>
          <w:b w:val="0"/>
          <w:i w:val="0"/>
          <w:color w:val="000000"/>
        </w:rPr>
        <w:t>The running filter is therefore L4 and G2 only when its full-graph recovery is included. A root experiment would establish E2 evidence. Moving the same filter into an otherwise complete tree changes the experimental question because cuts, branching and repeated certification change both its inputs and its cost.</w:t>
      </w:r>
    </w:p>
    <w:p>
      <w:pPr/>
      <w:r>
        <w:rPr>
          <w:rFonts w:ascii="Times New Roman" w:hAnsi="Times New Roman"/>
          <w:b w:val="0"/>
          <w:i w:val="0"/>
          <w:color w:val="000000"/>
        </w:rPr>
        <w:t>Primary labels follow the endpoint of the variant. Direct learned dual inequalities that yield a valid weaker bound are G4; the version that restores the original LP through removal of unproved learned restrictions is primarily G2, with G4 secondary. Learned construction followed by exact pricing is also G2, even when no pricing domain was deleted. Two-arc fixing changes the implicit pricing domain (L4), whereas fixing explicitly generated or enumerated column variables is L6. Appendix B gives the decision rules and the corresponding study cases.</w:t>
      </w:r>
    </w:p>
    <w:p>
      <w:pPr>
        <w:pStyle w:val="Caption"/>
        <w:keepNext/>
        <w:keepLines/>
        <w:pageBreakBefore/>
      </w:pPr>
      <w:r>
        <w:rPr>
          <w:rFonts w:ascii="Times New Roman" w:hAnsi="Times New Roman"/>
          <w:b/>
          <w:i w:val="0"/>
          <w:color w:val="000000"/>
        </w:rPr>
        <w:t>Table 2. Traditional and learned actions at the same computational interface.</w:t>
      </w:r>
    </w:p>
    <w:tbl>
      <w:tblPr>
        <w:tblW w:type="auto" w:w="0"/>
        <w:jc w:val="center"/>
        <w:tblLayout w:type="fixed"/>
        <w:tblLook w:val="0000" w:firstRow="0" w:lastRow="0" w:firstColumn="0" w:lastColumn="0" w:noHBand="1" w:noVBand="1"/>
        <w:tblBorders>
          <w:top w:val="single" w:sz="8" w:color="000000"/>
          <w:left w:val="nil"/>
          <w:bottom w:val="single" w:sz="8" w:color="000000"/>
          <w:right w:val="nil"/>
          <w:insideH w:val="nil"/>
          <w:insideV w:val="nil"/>
          <w:start w:val="nil"/>
          <w:end w:val="nil"/>
        </w:tblBorders>
        <w:tblLayout w:type="fixed"/>
        <w:tblCellMar>
          <w:top w:w="70" w:type="dxa"/>
          <w:bottom w:w="70" w:type="dxa"/>
          <w:left w:w="85" w:type="dxa"/>
          <w:right w:w="85" w:type="dxa"/>
        </w:tblCellMar>
      </w:tblPr>
      <w:tblGrid>
        <w:gridCol w:w="1512"/>
        <w:gridCol w:w="2088"/>
        <w:gridCol w:w="2880"/>
        <w:gridCol w:w="2880"/>
      </w:tblGrid>
      <w:tr>
        <w:trPr>
          <w:cantSplit/>
          <w:tblHeader w:val="true"/>
        </w:trPr>
        <w:tc>
          <w:tcPr>
            <w:tcW w:type="dxa" w:w="1512"/>
            <w:vAlign w:val="center"/>
            <w:tcBorders>
              <w:bottom w:val="single" w:sz="4" w:color="000000"/>
            </w:tcBorders>
          </w:tcPr>
          <w:p>
            <w:pPr>
              <w:keepNext/>
              <w:widowControl w:val="0"/>
              <w:spacing w:after="0" w:line="245" w:lineRule="auto"/>
            </w:pPr>
            <w:r>
              <w:rPr>
                <w:rFonts w:ascii="Times New Roman" w:hAnsi="Times New Roman"/>
                <w:b/>
                <w:i w:val="0"/>
                <w:color w:val="000000"/>
                <w:sz w:val="19"/>
              </w:rPr>
              <w:t>Layer and decision</w:t>
            </w:r>
          </w:p>
        </w:tc>
        <w:tc>
          <w:tcPr>
            <w:tcW w:type="dxa" w:w="2088"/>
            <w:vAlign w:val="center"/>
            <w:tcBorders>
              <w:bottom w:val="single" w:sz="4" w:color="000000"/>
            </w:tcBorders>
          </w:tcPr>
          <w:p>
            <w:pPr>
              <w:keepNext/>
              <w:widowControl w:val="0"/>
              <w:spacing w:after="0" w:line="245" w:lineRule="auto"/>
            </w:pPr>
            <w:r>
              <w:rPr>
                <w:rFonts w:ascii="Times New Roman" w:hAnsi="Times New Roman"/>
                <w:b/>
                <w:i w:val="0"/>
                <w:color w:val="000000"/>
                <w:sz w:val="19"/>
              </w:rPr>
              <w:t>Traditional basis</w:t>
            </w:r>
          </w:p>
        </w:tc>
        <w:tc>
          <w:tcPr>
            <w:tcW w:type="dxa" w:w="2880"/>
            <w:vAlign w:val="center"/>
            <w:tcBorders>
              <w:bottom w:val="single" w:sz="4" w:color="000000"/>
            </w:tcBorders>
          </w:tcPr>
          <w:p>
            <w:pPr>
              <w:keepNext/>
              <w:widowControl w:val="0"/>
              <w:spacing w:after="0" w:line="245" w:lineRule="auto"/>
            </w:pPr>
            <w:r>
              <w:rPr>
                <w:rFonts w:ascii="Times New Roman" w:hAnsi="Times New Roman"/>
                <w:b/>
                <w:i w:val="0"/>
                <w:color w:val="000000"/>
                <w:sz w:val="19"/>
              </w:rPr>
              <w:t>Learned action</w:t>
            </w:r>
          </w:p>
        </w:tc>
        <w:tc>
          <w:tcPr>
            <w:tcW w:type="dxa" w:w="2880"/>
            <w:vAlign w:val="center"/>
            <w:tcBorders>
              <w:bottom w:val="single" w:sz="4" w:color="000000"/>
            </w:tcBorders>
          </w:tcPr>
          <w:p>
            <w:pPr>
              <w:keepNext/>
              <w:widowControl w:val="0"/>
              <w:spacing w:after="0" w:line="245" w:lineRule="auto"/>
            </w:pPr>
            <w:r>
              <w:rPr>
                <w:rFonts w:ascii="Times New Roman" w:hAnsi="Times New Roman"/>
                <w:b/>
                <w:i w:val="0"/>
                <w:color w:val="000000"/>
                <w:sz w:val="19"/>
              </w:rPr>
              <w:t>Main condition or cost</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L1 Branch or open node</w:t>
            </w:r>
          </w:p>
        </w:tc>
        <w:tc>
          <w:tcPr>
            <w:tcW w:type="dxa" w:w="2088"/>
            <w:vAlign w:val="center"/>
          </w:tcPr>
          <w:p>
            <w:pPr>
              <w:keepNext w:val="0"/>
              <w:widowControl w:val="0"/>
              <w:spacing w:after="0" w:line="245" w:lineRule="auto"/>
            </w:pPr>
            <w:r>
              <w:rPr>
                <w:rFonts w:ascii="Times New Roman" w:hAnsi="Times New Roman"/>
                <w:b w:val="0"/>
                <w:i w:val="0"/>
                <w:color w:val="000000"/>
                <w:sz w:val="19"/>
              </w:rPr>
              <w:t>Pseudocosts, strong branching, node rules</w:t>
            </w:r>
          </w:p>
        </w:tc>
        <w:tc>
          <w:tcPr>
            <w:tcW w:type="dxa" w:w="2880"/>
            <w:vAlign w:val="center"/>
          </w:tcPr>
          <w:p>
            <w:pPr>
              <w:keepNext w:val="0"/>
              <w:widowControl w:val="0"/>
              <w:spacing w:after="0" w:line="245" w:lineRule="auto"/>
            </w:pPr>
            <w:r>
              <w:rPr>
                <w:rFonts w:ascii="Times New Roman" w:hAnsi="Times New Roman"/>
                <w:b w:val="0"/>
                <w:i w:val="0"/>
                <w:color w:val="000000"/>
                <w:sz w:val="19"/>
              </w:rPr>
              <w:t>Predict scores or allocate candidate-evaluation effort (Furian et al., 2021; You et al., 2026b)</w:t>
            </w:r>
          </w:p>
        </w:tc>
        <w:tc>
          <w:tcPr>
            <w:tcW w:type="dxa" w:w="2880"/>
            <w:vAlign w:val="center"/>
          </w:tcPr>
          <w:p>
            <w:pPr>
              <w:keepNext w:val="0"/>
              <w:widowControl w:val="0"/>
              <w:spacing w:after="0" w:line="245" w:lineRule="auto"/>
            </w:pPr>
            <w:r>
              <w:rPr>
                <w:rFonts w:ascii="Times New Roman" w:hAnsi="Times New Roman"/>
                <w:b w:val="0"/>
                <w:i w:val="0"/>
                <w:color w:val="000000"/>
                <w:sz w:val="19"/>
              </w:rPr>
              <w:t>Valid disjunctions and retained nodes; scoring overhead</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L2 Master and dual</w:t>
            </w:r>
          </w:p>
        </w:tc>
        <w:tc>
          <w:tcPr>
            <w:tcW w:type="dxa" w:w="2088"/>
            <w:vAlign w:val="center"/>
          </w:tcPr>
          <w:p>
            <w:pPr>
              <w:keepNext w:val="0"/>
              <w:widowControl w:val="0"/>
              <w:spacing w:after="0" w:line="245" w:lineRule="auto"/>
            </w:pPr>
            <w:r>
              <w:rPr>
                <w:rFonts w:ascii="Times New Roman" w:hAnsi="Times New Roman"/>
                <w:b w:val="0"/>
                <w:i w:val="0"/>
                <w:color w:val="000000"/>
                <w:sz w:val="19"/>
              </w:rPr>
              <w:t>Warm starts, smoothing, penalties, dual inequalities</w:t>
            </w:r>
          </w:p>
        </w:tc>
        <w:tc>
          <w:tcPr>
            <w:tcW w:type="dxa" w:w="2880"/>
            <w:vAlign w:val="center"/>
          </w:tcPr>
          <w:p>
            <w:pPr>
              <w:keepNext w:val="0"/>
              <w:widowControl w:val="0"/>
              <w:spacing w:after="0" w:line="245" w:lineRule="auto"/>
            </w:pPr>
            <w:r>
              <w:rPr>
                <w:rFonts w:ascii="Times New Roman" w:hAnsi="Times New Roman"/>
                <w:b w:val="0"/>
                <w:i w:val="0"/>
                <w:color w:val="000000"/>
                <w:sz w:val="19"/>
              </w:rPr>
              <w:t>Predict a reference or stabilization parameter (Kraul et al., 2023; Shen et al., 2024; Wang and Khir, 2026)</w:t>
            </w:r>
          </w:p>
        </w:tc>
        <w:tc>
          <w:tcPr>
            <w:tcW w:type="dxa" w:w="2880"/>
            <w:vAlign w:val="center"/>
          </w:tcPr>
          <w:p>
            <w:pPr>
              <w:keepNext w:val="0"/>
              <w:widowControl w:val="0"/>
              <w:spacing w:after="0" w:line="245" w:lineRule="auto"/>
            </w:pPr>
            <w:r>
              <w:rPr>
                <w:rFonts w:ascii="Times New Roman" w:hAnsi="Times New Roman"/>
                <w:b w:val="0"/>
                <w:i w:val="0"/>
                <w:color w:val="000000"/>
                <w:sz w:val="19"/>
              </w:rPr>
              <w:t>Recover original LP conditions; cost per induced pricing call</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L3 Pricing schedule</w:t>
            </w:r>
          </w:p>
        </w:tc>
        <w:tc>
          <w:tcPr>
            <w:tcW w:type="dxa" w:w="2088"/>
            <w:vAlign w:val="center"/>
          </w:tcPr>
          <w:p>
            <w:pPr>
              <w:keepNext w:val="0"/>
              <w:widowControl w:val="0"/>
              <w:spacing w:after="0" w:line="245" w:lineRule="auto"/>
            </w:pPr>
            <w:r>
              <w:rPr>
                <w:rFonts w:ascii="Times New Roman" w:hAnsi="Times New Roman"/>
                <w:b w:val="0"/>
                <w:i w:val="0"/>
                <w:color w:val="000000"/>
                <w:sz w:val="19"/>
              </w:rPr>
              <w:t>Partial pricing, pools, oracle cascades</w:t>
            </w:r>
          </w:p>
        </w:tc>
        <w:tc>
          <w:tcPr>
            <w:tcW w:type="dxa" w:w="2880"/>
            <w:vAlign w:val="center"/>
          </w:tcPr>
          <w:p>
            <w:pPr>
              <w:keepNext w:val="0"/>
              <w:widowControl w:val="0"/>
              <w:spacing w:after="0" w:line="245" w:lineRule="auto"/>
            </w:pPr>
            <w:r>
              <w:rPr>
                <w:rFonts w:ascii="Times New Roman" w:hAnsi="Times New Roman"/>
                <w:b w:val="0"/>
                <w:i w:val="0"/>
                <w:color w:val="000000"/>
                <w:sz w:val="19"/>
              </w:rPr>
              <w:t>Rank blocks or select a routine (Koutecká et al., 2025; Shan et al., 2026; Xu et al., 2025)</w:t>
            </w:r>
          </w:p>
        </w:tc>
        <w:tc>
          <w:tcPr>
            <w:tcW w:type="dxa" w:w="2880"/>
            <w:vAlign w:val="center"/>
          </w:tcPr>
          <w:p>
            <w:pPr>
              <w:keepNext w:val="0"/>
              <w:widowControl w:val="0"/>
              <w:spacing w:after="0" w:line="245" w:lineRule="auto"/>
            </w:pPr>
            <w:r>
              <w:rPr>
                <w:rFonts w:ascii="Times New Roman" w:hAnsi="Times New Roman"/>
                <w:b w:val="0"/>
                <w:i w:val="0"/>
                <w:color w:val="000000"/>
                <w:sz w:val="19"/>
              </w:rPr>
              <w:t>All required blocks certified at closure; variable call costs</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L4 Domain and state</w:t>
            </w:r>
          </w:p>
        </w:tc>
        <w:tc>
          <w:tcPr>
            <w:tcW w:type="dxa" w:w="2088"/>
            <w:vAlign w:val="center"/>
          </w:tcPr>
          <w:p>
            <w:pPr>
              <w:keepNext w:val="0"/>
              <w:widowControl w:val="0"/>
              <w:spacing w:after="0" w:line="245" w:lineRule="auto"/>
            </w:pPr>
            <w:r>
              <w:rPr>
                <w:rFonts w:ascii="Times New Roman" w:hAnsi="Times New Roman"/>
                <w:b w:val="0"/>
                <w:i w:val="0"/>
                <w:color w:val="000000"/>
                <w:sz w:val="19"/>
              </w:rPr>
              <w:t>Dominance, completion bounds, resource relaxation</w:t>
            </w:r>
          </w:p>
        </w:tc>
        <w:tc>
          <w:tcPr>
            <w:tcW w:type="dxa" w:w="2880"/>
            <w:vAlign w:val="center"/>
          </w:tcPr>
          <w:p>
            <w:pPr>
              <w:keepNext w:val="0"/>
              <w:widowControl w:val="0"/>
              <w:spacing w:after="0" w:line="245" w:lineRule="auto"/>
            </w:pPr>
            <w:r>
              <w:rPr>
                <w:rFonts w:ascii="Times New Roman" w:hAnsi="Times New Roman"/>
                <w:b w:val="0"/>
                <w:i w:val="0"/>
                <w:color w:val="000000"/>
                <w:sz w:val="19"/>
              </w:rPr>
              <w:t xml:space="preserve">Propose graph/state restriction or state-level feasibility tests (Basso and Salani, 2026; Morabit et al., 2023)</w:t>
            </w:r>
          </w:p>
        </w:tc>
        <w:tc>
          <w:tcPr>
            <w:tcW w:type="dxa" w:w="2880"/>
            <w:vAlign w:val="center"/>
          </w:tcPr>
          <w:p>
            <w:pPr>
              <w:keepNext w:val="0"/>
              <w:widowControl w:val="0"/>
              <w:spacing w:after="0" w:line="245" w:lineRule="auto"/>
            </w:pPr>
            <w:r>
              <w:rPr>
                <w:rFonts w:ascii="Times New Roman" w:hAnsi="Times New Roman"/>
                <w:b w:val="0"/>
                <w:i w:val="0"/>
                <w:color w:val="000000"/>
                <w:sz w:val="19"/>
              </w:rPr>
              <w:t>Safe proof or complete restoration; false rejection and recovery</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L5 Search and construction</w:t>
            </w:r>
          </w:p>
        </w:tc>
        <w:tc>
          <w:tcPr>
            <w:tcW w:type="dxa" w:w="2088"/>
            <w:vAlign w:val="center"/>
          </w:tcPr>
          <w:p>
            <w:pPr>
              <w:keepNext w:val="0"/>
              <w:widowControl w:val="0"/>
              <w:spacing w:after="0" w:line="245" w:lineRule="auto"/>
            </w:pPr>
            <w:r>
              <w:rPr>
                <w:rFonts w:ascii="Times New Roman" w:hAnsi="Times New Roman"/>
                <w:b w:val="0"/>
                <w:i w:val="0"/>
                <w:color w:val="000000"/>
                <w:sz w:val="19"/>
              </w:rPr>
              <w:t>Bidirectional labeling, buckets, constructive heuristics</w:t>
            </w:r>
          </w:p>
        </w:tc>
        <w:tc>
          <w:tcPr>
            <w:tcW w:type="dxa" w:w="2880"/>
            <w:vAlign w:val="center"/>
          </w:tcPr>
          <w:p>
            <w:pPr>
              <w:keepNext w:val="0"/>
              <w:widowControl w:val="0"/>
              <w:spacing w:after="0" w:line="245" w:lineRule="auto"/>
            </w:pPr>
            <w:r>
              <w:rPr>
                <w:rFonts w:ascii="Times New Roman" w:hAnsi="Times New Roman"/>
                <w:b w:val="0"/>
                <w:i w:val="0"/>
                <w:color w:val="000000"/>
                <w:sz w:val="19"/>
              </w:rPr>
              <w:t>Order labels or generate feasible columns (Minoli et al., 2026; Shen et al., 2022; Xu et al., 2024)</w:t>
            </w:r>
          </w:p>
        </w:tc>
        <w:tc>
          <w:tcPr>
            <w:tcW w:type="dxa" w:w="2880"/>
            <w:vAlign w:val="center"/>
          </w:tcPr>
          <w:p>
            <w:pPr>
              <w:keepNext w:val="0"/>
              <w:widowControl w:val="0"/>
              <w:spacing w:after="0" w:line="245" w:lineRule="auto"/>
            </w:pPr>
            <w:r>
              <w:rPr>
                <w:rFonts w:ascii="Times New Roman" w:hAnsi="Times New Roman"/>
                <w:b w:val="0"/>
                <w:i w:val="0"/>
                <w:color w:val="000000"/>
                <w:sz w:val="19"/>
              </w:rPr>
              <w:t>Retain necessary states or exact fallback; inference cost</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L6 Existing columns</w:t>
            </w:r>
          </w:p>
        </w:tc>
        <w:tc>
          <w:tcPr>
            <w:tcW w:type="dxa" w:w="2088"/>
            <w:vAlign w:val="center"/>
          </w:tcPr>
          <w:p>
            <w:pPr>
              <w:keepNext w:val="0"/>
              <w:widowControl w:val="0"/>
              <w:spacing w:after="0" w:line="245" w:lineRule="auto"/>
            </w:pPr>
            <w:r>
              <w:rPr>
                <w:rFonts w:ascii="Times New Roman" w:hAnsi="Times New Roman"/>
                <w:b w:val="0"/>
                <w:i w:val="0"/>
                <w:color w:val="000000"/>
                <w:sz w:val="19"/>
              </w:rPr>
              <w:t>Batching, cleanup, pools and certified fixing</w:t>
            </w:r>
          </w:p>
        </w:tc>
        <w:tc>
          <w:tcPr>
            <w:tcW w:type="dxa" w:w="2880"/>
            <w:vAlign w:val="center"/>
          </w:tcPr>
          <w:p>
            <w:pPr>
              <w:keepNext w:val="0"/>
              <w:widowControl w:val="0"/>
              <w:spacing w:after="0" w:line="245" w:lineRule="auto"/>
            </w:pPr>
            <w:r>
              <w:rPr>
                <w:rFonts w:ascii="Times New Roman" w:hAnsi="Times New Roman"/>
                <w:b w:val="0"/>
                <w:i w:val="0"/>
                <w:color w:val="000000"/>
                <w:sz w:val="19"/>
              </w:rPr>
              <w:t xml:space="preserve">Score admission, retention or batch size; classify feasibility of generated columns (Hu et al., 2025; Morabit et al., 2021; Yuan et al., 2024; Zhang et al., 2022)</w:t>
            </w:r>
          </w:p>
        </w:tc>
        <w:tc>
          <w:tcPr>
            <w:tcW w:type="dxa" w:w="2880"/>
            <w:vAlign w:val="center"/>
          </w:tcPr>
          <w:p>
            <w:pPr>
              <w:keepNext w:val="0"/>
              <w:widowControl w:val="0"/>
              <w:spacing w:after="0" w:line="245" w:lineRule="auto"/>
            </w:pPr>
            <w:r>
              <w:rPr>
                <w:rFonts w:ascii="Times New Roman" w:hAnsi="Times New Roman"/>
                <w:b w:val="0"/>
                <w:i w:val="0"/>
                <w:color w:val="000000"/>
                <w:sz w:val="19"/>
              </w:rPr>
              <w:t>Regeneration and progress guard; master/pricing tradeoff</w:t>
            </w:r>
          </w:p>
        </w:tc>
      </w:tr>
    </w:tbl>
    <w:p>
      <w:pPr>
        <w:spacing w:after="40" w:before="0" w:line="240" w:lineRule="auto"/>
      </w:pPr>
      <w:r>
        <w:rPr>
          <w:rFonts w:ascii="Times New Roman" w:hAnsi="Times New Roman"/>
          <w:color w:val="000000"/>
          <w:sz w:val="2"/>
        </w:rPr>
      </w:r>
    </w:p>
    <w:p>
      <w:pPr>
        <w:pStyle w:val="Heading1"/>
      </w:pPr>
      <w:r>
        <w:rPr>
          <w:rFonts w:ascii="Times New Roman" w:hAnsi="Times New Roman"/>
          <w:b/>
          <w:i w:val="0"/>
          <w:color w:val="000000"/>
        </w:rPr>
        <w:t>5 Mechanisms across the six intervention layers</w:t>
      </w:r>
    </w:p>
    <w:p>
      <w:pPr/>
      <w:r>
        <w:rPr>
          <w:rFonts w:ascii="Times New Roman" w:hAnsi="Times New Roman"/>
          <w:b w:val="0"/>
          <w:i w:val="0"/>
          <w:color w:val="000000"/>
        </w:rPr>
        <w:t>Each layer has a different route to computational savings. Strong branching evaluates future nodes, stabilization changes the dual used by pricing, filtering reduces search, and column selection controls master size. Learning adds value when its information and verification costs are smaller than the resulting savings. The following comparisons pair each learned action with its classical basis and the condition that protects the intended result.</w:t>
      </w:r>
    </w:p>
    <w:p>
      <w:pPr>
        <w:pStyle w:val="Heading2"/>
      </w:pPr>
      <w:r>
        <w:rPr>
          <w:rFonts w:ascii="Times New Roman" w:hAnsi="Times New Roman"/>
          <w:b/>
          <w:i w:val="0"/>
          <w:color w:val="000000"/>
        </w:rPr>
        <w:t>5.1 L1: Branching and open-node selection</w:t>
      </w:r>
    </w:p>
    <w:p>
      <w:pPr/>
      <w:r>
        <w:rPr>
          <w:rFonts w:ascii="Times New Roman" w:hAnsi="Times New Roman"/>
          <w:b w:val="0"/>
          <w:i w:val="0"/>
          <w:color w:val="000000"/>
        </w:rPr>
        <w:t>Branching changes the problems the solver must solve. Open-node selection changes when existing problems are processed. Their learned scores can look similar, but their roles should not be conflated.</w:t>
      </w:r>
    </w:p>
    <w:p>
      <w:pPr/>
      <w:r>
        <w:rPr>
          <w:rFonts w:ascii="Times New Roman" w:hAnsi="Times New Roman"/>
          <w:b w:val="0"/>
          <w:i w:val="0"/>
          <w:color w:val="000000"/>
        </w:rPr>
        <w:t xml:space="preserve">In the running VRPTW example, let </w:t>
      </w:r>
      <w:r>
        <w:rPr>
          <w:rFonts w:ascii="Times New Roman" w:hAnsi="Times New Roman"/>
          <w:b w:val="0"/>
          <w:i/>
          <w:color w:val="000000"/>
        </w:rPr>
        <w:t>a</w:t>
      </w:r>
      <w:r>
        <w:rPr>
          <w:rFonts w:ascii="Times New Roman" w:hAnsi="Times New Roman"/>
          <w:b w:val="0"/>
          <w:i w:val="0"/>
          <w:color w:val="000000"/>
          <w:vertAlign w:val="superscript"/>
        </w:rPr>
        <w:t>r</w:t>
      </w:r>
      <w:r>
        <w:rPr>
          <w:rFonts w:ascii="Times New Roman" w:hAnsi="Times New Roman"/>
          <w:b w:val="0"/>
          <w:i w:val="0"/>
          <w:color w:val="000000"/>
          <w:vertAlign w:val="subscript"/>
        </w:rPr>
        <w:t>ij</w:t>
      </w:r>
      <w:r>
        <w:rPr>
          <w:rFonts w:ascii="Times New Roman" w:hAnsi="Times New Roman"/>
          <w:b w:val="0"/>
          <w:i w:val="0"/>
          <w:color w:val="000000"/>
        </w:rPr>
        <w:t xml:space="preserve"> indicate whether route </w:t>
      </w:r>
      <w:r>
        <w:rPr>
          <w:rFonts w:ascii="Times New Roman" w:hAnsi="Times New Roman"/>
          <w:b w:val="0"/>
          <w:i/>
          <w:color w:val="000000"/>
        </w:rPr>
        <w:t>r</w:t>
      </w:r>
      <w:r>
        <w:rPr>
          <w:rFonts w:ascii="Times New Roman" w:hAnsi="Times New Roman"/>
          <w:b w:val="0"/>
          <w:i w:val="0"/>
          <w:color w:val="000000"/>
        </w:rPr>
        <w:t xml:space="preserve"> uses arc (</w:t>
      </w:r>
      <w:r>
        <w:rPr>
          <w:rFonts w:ascii="Times New Roman" w:hAnsi="Times New Roman"/>
          <w:b w:val="0"/>
          <w:i/>
          <w:color w:val="000000"/>
        </w:rPr>
        <w:t>i</w:t>
      </w:r>
      <w:r>
        <w:rPr>
          <w:rFonts w:ascii="Times New Roman" w:hAnsi="Times New Roman"/>
          <w:b w:val="0"/>
          <w:i w:val="0"/>
          <w:color w:val="000000"/>
        </w:rPr>
        <w:t xml:space="preserve">, </w:t>
      </w:r>
      <w:r>
        <w:rPr>
          <w:rFonts w:ascii="Times New Roman" w:hAnsi="Times New Roman"/>
          <w:b w:val="0"/>
          <w:i/>
          <w:color w:val="000000"/>
        </w:rPr>
        <w:t>j</w:t>
      </w:r>
      <w:r>
        <w:rPr>
          <w:rFonts w:ascii="Times New Roman" w:hAnsi="Times New Roman"/>
          <w:b w:val="0"/>
          <w:i w:val="0"/>
          <w:color w:val="000000"/>
        </w:rPr>
        <w:t>). For a fractional aggregate arc value at a node, a standard integer disjunction is</w:t>
      </w:r>
    </w:p>
    <w:p>
      <w:pPr>
        <w:keepLines/>
        <w:spacing w:before="100" w:after="160"/>
        <w:jc w:val="center"/>
      </w:pPr>
      <m:oMath xmlns:mml="http://www.w3.org/1998/Math/MathML">
        <m:sSub>
          <m:e>
            <m:r>
              <w:rPr>
                <w:rFonts w:ascii="Cambria Math" w:hAnsi="Cambria Math"/>
                <w:sz w:val="22"/>
              </w:rPr>
              <m:t>x</m:t>
            </m:r>
          </m:e>
          <m:sub>
            <m:r>
              <w:rPr>
                <w:rFonts w:ascii="Cambria Math" w:hAnsi="Cambria Math"/>
                <w:sz w:val="22"/>
              </w:rPr>
              <m:t>ij</m:t>
            </m:r>
          </m:sub>
        </m:sSub>
        <m:r>
          <w:rPr>
            <w:rFonts w:ascii="Cambria Math" w:hAnsi="Cambria Math"/>
            <w:sz w:val="22"/>
          </w:rPr>
          <m:t>=</m:t>
        </m:r>
        <m:nary>
          <m:naryPr>
            <m:chr m:val="∑"/>
            <m:limLoc m:val="undOvr"/>
            <m:grow m:val="1"/>
            <m:subHide m:val="off"/>
            <m:supHide m:val="on"/>
          </m:naryPr>
          <m:sub>
            <m:r>
              <w:rPr>
                <w:rFonts w:ascii="Cambria Math" w:hAnsi="Cambria Math"/>
                <w:sz w:val="22"/>
              </w:rPr>
              <m:t>r∈J</m:t>
            </m:r>
          </m:sub>
          <m:sup/>
          <m:e>
            <m:sSubSup>
              <m:e>
                <m:r>
                  <w:rPr>
                    <w:rFonts w:ascii="Cambria Math" w:hAnsi="Cambria Math"/>
                    <w:sz w:val="22"/>
                  </w:rPr>
                  <m:t>a</m:t>
                </m:r>
              </m:e>
              <m:sub>
                <m:r>
                  <w:rPr>
                    <w:rFonts w:ascii="Cambria Math" w:hAnsi="Cambria Math"/>
                    <w:sz w:val="22"/>
                  </w:rPr>
                  <m:t>ij</m:t>
                </m:r>
              </m:sub>
              <m:sup>
                <m:r>
                  <w:rPr>
                    <w:rFonts w:ascii="Cambria Math" w:hAnsi="Cambria Math"/>
                    <w:sz w:val="22"/>
                  </w:rPr>
                  <m:t>r</m:t>
                </m:r>
              </m:sup>
            </m:sSubSup>
            <m:sSub>
              <m:e>
                <m:r>
                  <w:rPr>
                    <w:rFonts w:ascii="Cambria Math" w:hAnsi="Cambria Math"/>
                    <w:sz w:val="22"/>
                  </w:rPr>
                  <m:t>λ</m:t>
                </m:r>
              </m:e>
              <m:sub>
                <m:r>
                  <w:rPr>
                    <w:rFonts w:ascii="Cambria Math" w:hAnsi="Cambria Math"/>
                    <w:sz w:val="22"/>
                  </w:rPr>
                  <m:t>r</m:t>
                </m:r>
              </m:sub>
            </m:sSub>
          </m:e>
        </m:nary>
        <m:r>
          <w:rPr>
            <w:rFonts w:ascii="Cambria Math" w:hAnsi="Cambria Math"/>
            <w:sz w:val="22"/>
          </w:rPr>
          <m:t>,</m:t>
        </m:r>
        <m:sSub>
          <m:e>
            <m:r>
              <w:rPr>
                <w:rFonts w:ascii="Cambria Math" w:hAnsi="Cambria Math"/>
                <w:sz w:val="22"/>
              </w:rPr>
              <m:t>x</m:t>
            </m:r>
          </m:e>
          <m:sub>
            <m:r>
              <w:rPr>
                <w:rFonts w:ascii="Cambria Math" w:hAnsi="Cambria Math"/>
                <w:sz w:val="22"/>
              </w:rPr>
              <m:t>ij</m:t>
            </m:r>
          </m:sub>
        </m:sSub>
        <m:r>
          <w:rPr>
            <w:rFonts w:ascii="Cambria Math" w:hAnsi="Cambria Math"/>
            <w:sz w:val="22"/>
          </w:rPr>
          <m:t>≤⌊</m:t>
        </m:r>
        <m:sSubSup>
          <m:e>
            <m:r>
              <w:rPr>
                <w:rFonts w:ascii="Cambria Math" w:hAnsi="Cambria Math"/>
                <w:sz w:val="22"/>
              </w:rPr>
              <m:t>x</m:t>
            </m:r>
          </m:e>
          <m:sub>
            <m:r>
              <w:rPr>
                <w:rFonts w:ascii="Cambria Math" w:hAnsi="Cambria Math"/>
                <w:sz w:val="22"/>
              </w:rPr>
              <m:t>ij</m:t>
            </m:r>
          </m:sub>
          <m:sup>
            <m:r>
              <w:rPr>
                <w:rFonts w:ascii="Cambria Math" w:hAnsi="Cambria Math"/>
                <w:sz w:val="22"/>
              </w:rPr>
              <m:t>*</m:t>
            </m:r>
          </m:sup>
        </m:sSubSup>
        <m:r>
          <w:rPr>
            <w:rFonts w:ascii="Cambria Math" w:hAnsi="Cambria Math"/>
            <w:sz w:val="22"/>
          </w:rPr>
          <m:t>⌋</m:t>
        </m:r>
        <m:r>
          <m:rPr>
            <m:nor/>
          </m:rPr>
          <w:rPr>
            <w:rFonts w:ascii="Cambria Math" w:hAnsi="Cambria Math"/>
            <w:sz w:val="22"/>
          </w:rPr>
          <m:t>or</m:t>
        </m:r>
        <m:sSub>
          <m:e>
            <m:r>
              <w:rPr>
                <w:rFonts w:ascii="Cambria Math" w:hAnsi="Cambria Math"/>
                <w:sz w:val="22"/>
              </w:rPr>
              <m:t>x</m:t>
            </m:r>
          </m:e>
          <m:sub>
            <m:r>
              <w:rPr>
                <w:rFonts w:ascii="Cambria Math" w:hAnsi="Cambria Math"/>
                <w:sz w:val="22"/>
              </w:rPr>
              <m:t>ij</m:t>
            </m:r>
          </m:sub>
        </m:sSub>
        <m:r>
          <w:rPr>
            <w:rFonts w:ascii="Cambria Math" w:hAnsi="Cambria Math"/>
            <w:sz w:val="22"/>
          </w:rPr>
          <m:t>≥⌈</m:t>
        </m:r>
        <m:sSubSup>
          <m:e>
            <m:r>
              <w:rPr>
                <w:rFonts w:ascii="Cambria Math" w:hAnsi="Cambria Math"/>
                <w:sz w:val="22"/>
              </w:rPr>
              <m:t>x</m:t>
            </m:r>
          </m:e>
          <m:sub>
            <m:r>
              <w:rPr>
                <w:rFonts w:ascii="Cambria Math" w:hAnsi="Cambria Math"/>
                <w:sz w:val="22"/>
              </w:rPr>
              <m:t>ij</m:t>
            </m:r>
          </m:sub>
          <m:sup>
            <m:r>
              <w:rPr>
                <w:rFonts w:ascii="Cambria Math" w:hAnsi="Cambria Math"/>
                <w:sz w:val="22"/>
              </w:rPr>
              <m:t>*</m:t>
            </m:r>
          </m:sup>
        </m:sSubSup>
        <m:r>
          <w:rPr>
            <w:rFonts w:ascii="Cambria Math" w:hAnsi="Cambria Math"/>
            <w:sz w:val="22"/>
          </w:rPr>
          <m:t>⌉.</m:t>
        </m:r>
      </m:oMath>
      <w:r>
        <w:rPr>
          <w:rFonts w:ascii="Times New Roman" w:hAnsi="Times New Roman"/>
          <w:color w:val="000000"/>
          <w:sz w:val="22"/>
        </w:rPr>
        <w:t xml:space="preserve">    (6)</w:t>
      </w:r>
    </w:p>
    <w:p>
      <w:pPr/>
      <w:r>
        <w:rPr>
          <w:rFonts w:ascii="Times New Roman" w:hAnsi="Times New Roman"/>
          <w:b w:val="0"/>
          <w:i w:val="0"/>
          <w:color w:val="000000"/>
        </w:rPr>
        <w:t>For a customer arc whose integer value is binary, the children impose zero and one. In the zero child, deleting that arc from pricing is justified by the branch definition. In the one child, the aggregate requirement must be represented correctly; requiring every generated route to use that arc would generally be wrong. One implementation retains a branch row in the master and includes its coefficient and dual contribution in pricing. Compatible branching rules may instead modify the pricing state or graph. In either case, the children must cover the parent's integer solutions, and a complete branching family must resolve remaining fractionality (Barnhart et al., 1998; Pessoa et al., 2020; Petris et al., 2025).</w:t>
      </w:r>
    </w:p>
    <w:p>
      <w:pPr/>
      <w:r>
        <w:rPr>
          <w:rFonts w:ascii="Times New Roman" w:hAnsi="Times New Roman"/>
          <w:b w:val="0"/>
          <w:i w:val="0"/>
          <w:color w:val="000000"/>
        </w:rPr>
        <w:t>General MIP learning-to-branch provides the natural methodological comparison. Online ranking can imitate strong branching within an instance, while graph-based imitation can learn variable selection across instances (Gasse et al., 2019; Khalil et al., 2016). Their evidence is not transferred numerically to B&amp;P, where evaluating a child can require CG and where branching must remain compatible with pricing. Learning whether to invoke a decomposition is another important, earlier decision (Kruber et al., 2017). It selects a solver or reformulation before the six within-decomposition interfaces considered here.</w:t>
      </w:r>
    </w:p>
    <w:p>
      <w:pPr/>
      <w:r>
        <w:rPr>
          <w:rFonts w:ascii="Times New Roman" w:hAnsi="Times New Roman"/>
          <w:b w:val="0"/>
          <w:i w:val="0"/>
          <w:color w:val="000000"/>
        </w:rPr>
        <w:t>This is where a learned score can enter safely: it chooses among valid candidates or decides which candidate deserves an expensive trial solve. It does not validate the disjunction. Pseudocosts and strong branching are therefore the relevant classical comparators, with their evaluation budgets held visible.</w:t>
      </w:r>
    </w:p>
    <w:p>
      <w:pPr/>
      <w:r>
        <w:rPr>
          <w:rFonts w:ascii="Times New Roman" w:hAnsi="Times New Roman"/>
          <w:b w:val="0"/>
          <w:i w:val="0"/>
          <w:color w:val="000000"/>
        </w:rPr>
        <w:t>Random-forest branching and node policies for sampled routing retain the underlying complete search and use reliability checks or pseudocost fallback when the prediction is uncertain (Furian et al., 2021). Their correctness comes from the retained framework; their performance depends on the cost of those checks. Training instances remain related through common customer bases, so the evidence supports repeated solves on related structures more directly than transfer to new geography.</w:t>
      </w:r>
    </w:p>
    <w:p>
      <w:pPr/>
      <w:r>
        <w:rPr>
          <w:rFonts w:ascii="Times New Roman" w:hAnsi="Times New Roman"/>
          <w:b w:val="0"/>
          <w:i w:val="0"/>
          <w:color w:val="000000"/>
        </w:rPr>
        <w:t>Two-stage learned branching screens candidates before more expensive evaluation (You et al., 2026b). Its conditions for selecting the same best candidate include accurate ranking information and exact child CG. The practical implementation relaxes those scoring assumptions. That can weaken a claim about branch quality without invalidating a valid chosen branch. Likewise, a smaller tree need not mean a faster solve if trial-child pricing becomes more expensive.</w:t>
      </w:r>
    </w:p>
    <w:p>
      <w:pPr/>
      <w:r>
        <w:rPr>
          <w:rFonts w:ascii="Times New Roman" w:hAnsi="Times New Roman"/>
          <w:b w:val="0"/>
          <w:i w:val="0"/>
          <w:color w:val="000000"/>
        </w:rPr>
        <w:t>Candidate design remains a separate opportunity. Cluster branching adds aggregate edge or cutset choices, but the tested system retains complete original branching types because the cluster candidates alone are insufficient (Silva et al., 2025). A learned ranker cannot select a useful disjunction absent from its candidate set. Full-tree experiments should therefore report the candidate family, incumbent initialization, cuts, trial-solve budget and completion rule. Diving is different: a dive without backtracking is an integer heuristic, not a reordering of complete search. Classical diving with residual-master reoptimization, limited discrepancy search and strong diving supports incumbent construction rather than shorter proofs (Sadykov et al., 2019), and is the natural traditional comparator for learned dives.</w:t>
      </w:r>
    </w:p>
    <w:p>
      <w:pPr>
        <w:pStyle w:val="Heading2"/>
      </w:pPr>
      <w:r>
        <w:rPr>
          <w:rFonts w:ascii="Times New Roman" w:hAnsi="Times New Roman"/>
          <w:b/>
          <w:i w:val="0"/>
          <w:color w:val="000000"/>
        </w:rPr>
        <w:t>5.2 L2: Master initialization, dual selection and stabilization</w:t>
      </w:r>
    </w:p>
    <w:p>
      <w:pPr/>
      <w:r>
        <w:rPr>
          <w:rFonts w:ascii="Times New Roman" w:hAnsi="Times New Roman"/>
          <w:b w:val="0"/>
          <w:i w:val="0"/>
          <w:color w:val="000000"/>
        </w:rPr>
        <w:t>The dual supplied to pricing determines its objective. Stabilization seeks useful dual movement while preventing the RMP's degeneracy from producing unnecessarily difficult or unproductive pricing problems. Penalties, smoothing and interior-point selection address this issue through different mathematical mechanisms (du Merle et al., 1999; Gondzio et al., 2013; Rousseau et al., 2007).</w:t>
      </w:r>
    </w:p>
    <w:p>
      <w:pPr/>
      <w:r>
        <w:rPr>
          <w:rFonts w:ascii="Times New Roman" w:hAnsi="Times New Roman"/>
          <w:b w:val="0"/>
          <w:i w:val="0"/>
          <w:color w:val="000000"/>
        </w:rPr>
        <w:t xml:space="preserve">The classical alternatives include smoothing toward an incumbent dual, proximal trust-region and analytic-centre stabilization, primal–dual column generation, dual cuts that restrict the dual space without changing the optimum, and comparisons of bundle methods with standard CG (Ben Amor and Desrosiers, 2006; Briant et al., 2008; Gondzio et al., 2013; Gschwind and Irnich, 2016; Karimi and Seifi, 2015; Valério de Carvalho, 2005; Wentges, 1997). The studies by Ben Amor and Desrosiers (2006), Karimi and Seifi (2015), and Valério de Carvalho (2005) were identified but not coded (Section 2.1). Their role here is historical context supported by the accessed author abstracts, not a source for unverified proofs or numerical results. The accessible extended in-out separation report explains both Wentges smoothing and Neame's historical averaging rule, including a practical return to unsmoothed pricing after a bounded mispricing sequence (Pessoa et al., 2013). The original Neame thesis was not retrieved, so its role is described through that identified source. The later automation study combines these ideas with directional smoothing and penalty stabilization (Pessoa et al., 2018). These are substantive baselines for learning a center or update policy.</w:t>
      </w:r>
    </w:p>
    <w:p>
      <w:pPr/>
      <w:r>
        <w:rPr>
          <w:rFonts w:ascii="Times New Roman" w:hAnsi="Times New Roman"/>
          <w:b w:val="0"/>
          <w:i w:val="0"/>
          <w:color w:val="000000"/>
        </w:rPr>
        <w:t xml:space="preserve">The three-piece penalty formulation of du Merle and colleagues makes the learning interface explicit. For an equality master, choose componentwise lower and upper reference values </w:t>
      </w:r>
      <w:r>
        <w:rPr>
          <w:rFonts w:ascii="Times New Roman" w:hAnsi="Times New Roman"/>
          <w:b w:val="0"/>
          <w:i/>
          <w:color w:val="000000"/>
        </w:rPr>
        <w:t>δ</w:t>
      </w:r>
      <w:r>
        <w:rPr>
          <w:rFonts w:ascii="Times New Roman" w:hAnsi="Times New Roman"/>
          <w:b w:val="0"/>
          <w:i w:val="0"/>
          <w:color w:val="000000"/>
        </w:rPr>
        <w:t xml:space="preserve">⁻ and </w:t>
      </w:r>
      <w:r>
        <w:rPr>
          <w:rFonts w:ascii="Times New Roman" w:hAnsi="Times New Roman"/>
          <w:b w:val="0"/>
          <w:i/>
          <w:color w:val="000000"/>
        </w:rPr>
        <w:t>δ</w:t>
      </w:r>
      <w:r>
        <w:rPr>
          <w:rFonts w:ascii="Times New Roman" w:hAnsi="Times New Roman"/>
          <w:b w:val="0"/>
          <w:i w:val="0"/>
          <w:color w:val="000000"/>
        </w:rPr>
        <w:t xml:space="preserve">⁺, and nonnegative perturbation caps </w:t>
      </w:r>
      <w:r>
        <w:rPr>
          <w:rFonts w:ascii="Times New Roman" w:hAnsi="Times New Roman"/>
          <w:b w:val="0"/>
          <w:i/>
          <w:color w:val="000000"/>
        </w:rPr>
        <w:t>ε</w:t>
      </w:r>
      <w:r>
        <w:rPr>
          <w:rFonts w:ascii="Times New Roman" w:hAnsi="Times New Roman"/>
          <w:b w:val="0"/>
          <w:i w:val="0"/>
          <w:color w:val="000000"/>
        </w:rPr>
        <w:t xml:space="preserve">⁻ and </w:t>
      </w:r>
      <w:r>
        <w:rPr>
          <w:rFonts w:ascii="Times New Roman" w:hAnsi="Times New Roman"/>
          <w:b w:val="0"/>
          <w:i/>
          <w:color w:val="000000"/>
        </w:rPr>
        <w:t>ε</w:t>
      </w:r>
      <w:r>
        <w:rPr>
          <w:rFonts w:ascii="Times New Roman" w:hAnsi="Times New Roman"/>
          <w:b w:val="0"/>
          <w:i w:val="0"/>
          <w:color w:val="000000"/>
        </w:rPr>
        <w:t>⁺. The stabilized primal can be written</w:t>
      </w:r>
    </w:p>
    <w:p>
      <w:pPr>
        <w:keepLines/>
        <w:spacing w:before="100" w:after="160"/>
        <w:jc w:val="center"/>
      </w:pPr>
      <m:oMath xmlns:mml="http://www.w3.org/1998/Math/MathML">
        <m:m>
          <m:mPr>
            <m:baseJc m:val="center"/>
            <m:plcHide m:val="on"/>
            <m:mcs>
              <m:mc>
                <m:mcPr>
                  <m:count m:val="2"/>
                  <m:mcJc m:val="center"/>
                </m:mcPr>
              </m:mc>
            </m:mcs>
          </m:mPr>
          <m:mr>
            <m:e>
              <m:sSub>
                <m:e>
                  <m:r>
                    <m:rPr>
                      <m:nor m:val="1"/>
                      <m:sty m:val="p"/>
                    </m:rPr>
                    <w:rPr>
                      <w:rFonts w:ascii="Cambria Math" w:hAnsi="Cambria Math"/>
                      <w:sz w:val="22"/>
                      <w:i w:val="0"/>
                    </w:rPr>
                    <m:t>min</m:t>
                  </m:r>
                </m:e>
                <m:sub>
                  <m:r>
                    <w:rPr>
                      <w:rFonts w:ascii="Cambria Math" w:hAnsi="Cambria Math"/>
                      <w:sz w:val="22"/>
                    </w:rPr>
                    <m:t>λ,</m:t>
                  </m:r>
                  <m:sSup>
                    <m:e>
                      <m:r>
                        <w:rPr>
                          <w:rFonts w:ascii="Cambria Math" w:hAnsi="Cambria Math"/>
                          <w:sz w:val="22"/>
                        </w:rPr>
                        <m:t>y</m:t>
                      </m:r>
                    </m:e>
                    <m:sup>
                      <m:r>
                        <w:rPr>
                          <w:rFonts w:ascii="Cambria Math" w:hAnsi="Cambria Math"/>
                          <w:sz w:val="22"/>
                        </w:rPr>
                        <m:t>−</m:t>
                      </m:r>
                    </m:sup>
                  </m:sSup>
                  <m:r>
                    <w:rPr>
                      <w:rFonts w:ascii="Cambria Math" w:hAnsi="Cambria Math"/>
                      <w:sz w:val="22"/>
                    </w:rPr>
                    <m:t>,</m:t>
                  </m:r>
                  <m:sSup>
                    <m:e>
                      <m:r>
                        <w:rPr>
                          <w:rFonts w:ascii="Cambria Math" w:hAnsi="Cambria Math"/>
                          <w:sz w:val="22"/>
                        </w:rPr>
                        <m:t>y</m:t>
                      </m:r>
                    </m:e>
                    <m:sup>
                      <m:r>
                        <w:rPr>
                          <w:rFonts w:ascii="Cambria Math" w:hAnsi="Cambria Math"/>
                          <w:sz w:val="22"/>
                        </w:rPr>
                        <m:t>+</m:t>
                      </m:r>
                    </m:sup>
                  </m:sSup>
                </m:sub>
              </m:sSub>
            </m:e>
            <m:e>
              <m:sSup>
                <m:e>
                  <m:r>
                    <w:rPr>
                      <w:rFonts w:ascii="Cambria Math" w:hAnsi="Cambria Math"/>
                      <w:sz w:val="22"/>
                    </w:rPr>
                    <m:t>c</m:t>
                  </m:r>
                </m:e>
                <m:sup>
                  <m:r>
                    <m:rPr>
                      <m:scr m:val="sans-serif"/>
                      <m:sty m:val="p"/>
                    </m:rPr>
                    <w:rPr>
                      <w:rFonts w:ascii="Cambria Math" w:hAnsi="Cambria Math"/>
                      <w:sz w:val="22"/>
                    </w:rPr>
                    <m:t>T</m:t>
                  </m:r>
                </m:sup>
              </m:sSup>
              <m:r>
                <w:rPr>
                  <w:rFonts w:ascii="Cambria Math" w:hAnsi="Cambria Math"/>
                  <w:sz w:val="22"/>
                </w:rPr>
                <m:t>λ−(</m:t>
              </m:r>
              <m:sSup>
                <m:e>
                  <m:r>
                    <w:rPr>
                      <w:rFonts w:ascii="Cambria Math" w:hAnsi="Cambria Math"/>
                      <w:sz w:val="22"/>
                    </w:rPr>
                    <m:t>δ</m:t>
                  </m:r>
                </m:e>
                <m:sup>
                  <m:r>
                    <w:rPr>
                      <w:rFonts w:ascii="Cambria Math" w:hAnsi="Cambria Math"/>
                      <w:sz w:val="22"/>
                    </w:rPr>
                    <m:t>−</m:t>
                  </m:r>
                </m:sup>
              </m:sSup>
              <m:sSup>
                <m:e>
                  <m:r>
                    <w:rPr>
                      <w:rFonts w:ascii="Cambria Math" w:hAnsi="Cambria Math"/>
                      <w:sz w:val="22"/>
                    </w:rPr>
                    <m:t>)</m:t>
                  </m:r>
                </m:e>
                <m:sup>
                  <m:r>
                    <m:rPr>
                      <m:scr m:val="sans-serif"/>
                      <m:sty m:val="p"/>
                    </m:rPr>
                    <w:rPr>
                      <w:rFonts w:ascii="Cambria Math" w:hAnsi="Cambria Math"/>
                      <w:sz w:val="22"/>
                    </w:rPr>
                    <m:t>T</m:t>
                  </m:r>
                </m:sup>
              </m:sSup>
              <m:sSup>
                <m:e>
                  <m:r>
                    <w:rPr>
                      <w:rFonts w:ascii="Cambria Math" w:hAnsi="Cambria Math"/>
                      <w:sz w:val="22"/>
                    </w:rPr>
                    <m:t>y</m:t>
                  </m:r>
                </m:e>
                <m:sup>
                  <m:r>
                    <w:rPr>
                      <w:rFonts w:ascii="Cambria Math" w:hAnsi="Cambria Math"/>
                      <w:sz w:val="22"/>
                    </w:rPr>
                    <m:t>−</m:t>
                  </m:r>
                </m:sup>
              </m:sSup>
              <m:r>
                <w:rPr>
                  <w:rFonts w:ascii="Cambria Math" w:hAnsi="Cambria Math"/>
                  <w:sz w:val="22"/>
                </w:rPr>
                <m:t>+(</m:t>
              </m:r>
              <m:sSup>
                <m:e>
                  <m:r>
                    <w:rPr>
                      <w:rFonts w:ascii="Cambria Math" w:hAnsi="Cambria Math"/>
                      <w:sz w:val="22"/>
                    </w:rPr>
                    <m:t>δ</m:t>
                  </m:r>
                </m:e>
                <m:sup>
                  <m:r>
                    <w:rPr>
                      <w:rFonts w:ascii="Cambria Math" w:hAnsi="Cambria Math"/>
                      <w:sz w:val="22"/>
                    </w:rPr>
                    <m:t>+</m:t>
                  </m:r>
                </m:sup>
              </m:sSup>
              <m:sSup>
                <m:e>
                  <m:r>
                    <w:rPr>
                      <w:rFonts w:ascii="Cambria Math" w:hAnsi="Cambria Math"/>
                      <w:sz w:val="22"/>
                    </w:rPr>
                    <m:t>)</m:t>
                  </m:r>
                </m:e>
                <m:sup>
                  <m:r>
                    <m:rPr>
                      <m:scr m:val="sans-serif"/>
                      <m:sty m:val="p"/>
                    </m:rPr>
                    <w:rPr>
                      <w:rFonts w:ascii="Cambria Math" w:hAnsi="Cambria Math"/>
                      <w:sz w:val="22"/>
                    </w:rPr>
                    <m:t>T</m:t>
                  </m:r>
                </m:sup>
              </m:sSup>
              <m:sSup>
                <m:e>
                  <m:r>
                    <w:rPr>
                      <w:rFonts w:ascii="Cambria Math" w:hAnsi="Cambria Math"/>
                      <w:sz w:val="22"/>
                    </w:rPr>
                    <m:t>y</m:t>
                  </m:r>
                </m:e>
                <m:sup>
                  <m:r>
                    <w:rPr>
                      <w:rFonts w:ascii="Cambria Math" w:hAnsi="Cambria Math"/>
                      <w:sz w:val="22"/>
                    </w:rPr>
                    <m:t>+</m:t>
                  </m:r>
                </m:sup>
              </m:sSup>
            </m:e>
          </m:mr>
          <m:mr>
            <m:e>
              <m:r>
                <m:rPr>
                  <m:nor/>
                </m:rPr>
                <w:rPr>
                  <w:rFonts w:ascii="Cambria Math" w:hAnsi="Cambria Math"/>
                  <w:sz w:val="22"/>
                </w:rPr>
                <m:t>s.t.</m:t>
              </m:r>
            </m:e>
            <m:e>
              <m:r>
                <w:rPr>
                  <w:rFonts w:ascii="Cambria Math" w:hAnsi="Cambria Math"/>
                  <w:sz w:val="22"/>
                </w:rPr>
                <m:t>Aλ−</m:t>
              </m:r>
              <m:sSup>
                <m:e>
                  <m:r>
                    <w:rPr>
                      <w:rFonts w:ascii="Cambria Math" w:hAnsi="Cambria Math"/>
                      <w:sz w:val="22"/>
                    </w:rPr>
                    <m:t>y</m:t>
                  </m:r>
                </m:e>
                <m:sup>
                  <m:r>
                    <w:rPr>
                      <w:rFonts w:ascii="Cambria Math" w:hAnsi="Cambria Math"/>
                      <w:sz w:val="22"/>
                    </w:rPr>
                    <m:t>−</m:t>
                  </m:r>
                </m:sup>
              </m:sSup>
              <m:r>
                <w:rPr>
                  <w:rFonts w:ascii="Cambria Math" w:hAnsi="Cambria Math"/>
                  <w:sz w:val="22"/>
                </w:rPr>
                <m:t>+</m:t>
              </m:r>
              <m:sSup>
                <m:e>
                  <m:r>
                    <w:rPr>
                      <w:rFonts w:ascii="Cambria Math" w:hAnsi="Cambria Math"/>
                      <w:sz w:val="22"/>
                    </w:rPr>
                    <m:t>y</m:t>
                  </m:r>
                </m:e>
                <m:sup>
                  <m:r>
                    <w:rPr>
                      <w:rFonts w:ascii="Cambria Math" w:hAnsi="Cambria Math"/>
                      <w:sz w:val="22"/>
                    </w:rPr>
                    <m:t>+</m:t>
                  </m:r>
                </m:sup>
              </m:sSup>
              <m:r>
                <w:rPr>
                  <w:rFonts w:ascii="Cambria Math" w:hAnsi="Cambria Math"/>
                  <w:sz w:val="22"/>
                </w:rPr>
                <m:t>=b,</m:t>
              </m:r>
              <m:r>
                <w:rPr>
                  <w:rFonts w:ascii="Cambria Math" w:hAnsi="Cambria Math"/>
                  <w:sz w:val="22"/>
                </w:rPr>
                <m:t>λ≥0,</m:t>
              </m:r>
              <m:r>
                <w:rPr>
                  <w:rFonts w:ascii="Cambria Math" w:hAnsi="Cambria Math"/>
                  <w:sz w:val="22"/>
                </w:rPr>
                <m:t>0≤</m:t>
              </m:r>
              <m:sSup>
                <m:e>
                  <m:r>
                    <w:rPr>
                      <w:rFonts w:ascii="Cambria Math" w:hAnsi="Cambria Math"/>
                      <w:sz w:val="22"/>
                    </w:rPr>
                    <m:t>y</m:t>
                  </m:r>
                </m:e>
                <m:sup>
                  <m:r>
                    <w:rPr>
                      <w:rFonts w:ascii="Cambria Math" w:hAnsi="Cambria Math"/>
                      <w:sz w:val="22"/>
                    </w:rPr>
                    <m:t>±</m:t>
                  </m:r>
                </m:sup>
              </m:sSup>
              <m:r>
                <w:rPr>
                  <w:rFonts w:ascii="Cambria Math" w:hAnsi="Cambria Math"/>
                  <w:sz w:val="22"/>
                </w:rPr>
                <m:t>≤</m:t>
              </m:r>
              <m:sSup>
                <m:e>
                  <m:r>
                    <w:rPr>
                      <w:rFonts w:ascii="Cambria Math" w:hAnsi="Cambria Math"/>
                      <w:sz w:val="22"/>
                    </w:rPr>
                    <m:t>ϵ</m:t>
                  </m:r>
                </m:e>
                <m:sup>
                  <m:r>
                    <w:rPr>
                      <w:rFonts w:ascii="Cambria Math" w:hAnsi="Cambria Math"/>
                      <w:sz w:val="22"/>
                    </w:rPr>
                    <m:t>±</m:t>
                  </m:r>
                </m:sup>
              </m:sSup>
              <m:r>
                <w:rPr>
                  <w:rFonts w:ascii="Cambria Math" w:hAnsi="Cambria Math"/>
                  <w:sz w:val="22"/>
                </w:rPr>
                <m:t>.</m:t>
              </m:r>
            </m:e>
          </m:mr>
        </m:m>
      </m:oMath>
      <w:r>
        <w:rPr>
          <w:rFonts w:ascii="Times New Roman" w:hAnsi="Times New Roman"/>
          <w:color w:val="000000"/>
          <w:sz w:val="22"/>
        </w:rPr>
        <w:t xml:space="preserve">    (7)</w:t>
      </w:r>
    </w:p>
    <w:p>
      <w:pPr/>
      <w:r>
        <w:rPr>
          <w:rFonts w:ascii="Times New Roman" w:hAnsi="Times New Roman"/>
          <w:b w:val="0"/>
          <w:i w:val="0"/>
          <w:color w:val="000000"/>
        </w:rPr>
        <w:t>Eliminating the auxiliary dual variables gives</w:t>
      </w:r>
    </w:p>
    <w:p>
      <w:pPr>
        <w:keepLines/>
        <w:spacing w:before="100" w:after="160"/>
        <w:jc w:val="center"/>
      </w:pPr>
      <m:oMath xmlns:mml="http://www.w3.org/1998/Math/MathML">
        <m:m>
          <m:mPr>
            <m:baseJc m:val="center"/>
            <m:plcHide m:val="on"/>
            <m:mcs>
              <m:mc>
                <m:mcPr>
                  <m:count m:val="2"/>
                  <m:mcJc m:val="center"/>
                </m:mcPr>
              </m:mc>
            </m:mcs>
          </m:mPr>
          <m:mr>
            <m:e>
              <m:sSub>
                <m:e>
                  <m:r>
                    <m:rPr>
                      <m:nor m:val="1"/>
                      <m:sty m:val="p"/>
                    </m:rPr>
                    <w:rPr>
                      <w:rFonts w:ascii="Cambria Math" w:hAnsi="Cambria Math"/>
                      <w:sz w:val="22"/>
                      <w:i w:val="0"/>
                    </w:rPr>
                    <m:t>max</m:t>
                  </m:r>
                </m:e>
                <m:sub>
                  <m:r>
                    <w:rPr>
                      <w:rFonts w:ascii="Cambria Math" w:hAnsi="Cambria Math"/>
                      <w:sz w:val="22"/>
                    </w:rPr>
                    <m:t>π</m:t>
                  </m:r>
                </m:sub>
              </m:sSub>
            </m:e>
            <m:e>
              <m:sSup>
                <m:e>
                  <m:r>
                    <w:rPr>
                      <w:rFonts w:ascii="Cambria Math" w:hAnsi="Cambria Math"/>
                      <w:sz w:val="22"/>
                    </w:rPr>
                    <m:t>b</m:t>
                  </m:r>
                </m:e>
                <m:sup>
                  <m:r>
                    <m:rPr>
                      <m:scr m:val="sans-serif"/>
                      <m:sty m:val="p"/>
                    </m:rPr>
                    <w:rPr>
                      <w:rFonts w:ascii="Cambria Math" w:hAnsi="Cambria Math"/>
                      <w:sz w:val="22"/>
                    </w:rPr>
                    <m:t>T</m:t>
                  </m:r>
                </m:sup>
              </m:sSup>
              <m:r>
                <w:rPr>
                  <w:rFonts w:ascii="Cambria Math" w:hAnsi="Cambria Math"/>
                  <w:sz w:val="22"/>
                </w:rPr>
                <m:t>π−</m:t>
              </m:r>
              <m:nary>
                <m:naryPr>
                  <m:chr m:val="∑"/>
                  <m:limLoc m:val="undOvr"/>
                  <m:grow m:val="1"/>
                  <m:subHide m:val="off"/>
                  <m:supHide m:val="on"/>
                </m:naryPr>
                <m:sub>
                  <m:r>
                    <w:rPr>
                      <w:rFonts w:ascii="Cambria Math" w:hAnsi="Cambria Math"/>
                      <w:sz w:val="22"/>
                    </w:rPr>
                    <m:t>i</m:t>
                  </m:r>
                </m:sub>
                <m:sup/>
                <m:e>
                  <m:sSubSup>
                    <m:e>
                      <m:r>
                        <w:rPr>
                          <w:rFonts w:ascii="Cambria Math" w:hAnsi="Cambria Math"/>
                          <w:sz w:val="22"/>
                        </w:rPr>
                        <m:t>ϵ</m:t>
                      </m:r>
                    </m:e>
                    <m:sub>
                      <m:r>
                        <w:rPr>
                          <w:rFonts w:ascii="Cambria Math" w:hAnsi="Cambria Math"/>
                          <w:sz w:val="22"/>
                        </w:rPr>
                        <m:t>i</m:t>
                      </m:r>
                    </m:sub>
                    <m:sup>
                      <m:r>
                        <w:rPr>
                          <w:rFonts w:ascii="Cambria Math" w:hAnsi="Cambria Math"/>
                          <w:sz w:val="22"/>
                        </w:rPr>
                        <m:t>−</m:t>
                      </m:r>
                    </m:sup>
                  </m:sSubSup>
                  <m:r>
                    <w:rPr>
                      <w:rFonts w:ascii="Cambria Math" w:hAnsi="Cambria Math"/>
                      <w:sz w:val="22"/>
                    </w:rPr>
                    <m:t>[</m:t>
                  </m:r>
                  <m:sSubSup>
                    <m:e>
                      <m:r>
                        <w:rPr>
                          <w:rFonts w:ascii="Cambria Math" w:hAnsi="Cambria Math"/>
                          <w:sz w:val="22"/>
                        </w:rPr>
                        <m:t>δ</m:t>
                      </m:r>
                    </m:e>
                    <m:sub>
                      <m:r>
                        <w:rPr>
                          <w:rFonts w:ascii="Cambria Math" w:hAnsi="Cambria Math"/>
                          <w:sz w:val="22"/>
                        </w:rPr>
                        <m:t>i</m:t>
                      </m:r>
                    </m:sub>
                    <m:sup>
                      <m:r>
                        <w:rPr>
                          <w:rFonts w:ascii="Cambria Math" w:hAnsi="Cambria Math"/>
                          <w:sz w:val="22"/>
                        </w:rPr>
                        <m:t>−</m:t>
                      </m:r>
                    </m:sup>
                  </m:sSubSup>
                  <m:r>
                    <w:rPr>
                      <w:rFonts w:ascii="Cambria Math" w:hAnsi="Cambria Math"/>
                      <w:sz w:val="22"/>
                    </w:rPr>
                    <m:t>−</m:t>
                  </m:r>
                  <m:sSub>
                    <m:e>
                      <m:r>
                        <w:rPr>
                          <w:rFonts w:ascii="Cambria Math" w:hAnsi="Cambria Math"/>
                          <w:sz w:val="22"/>
                        </w:rPr>
                        <m:t>π</m:t>
                      </m:r>
                    </m:e>
                    <m:sub>
                      <m:r>
                        <w:rPr>
                          <w:rFonts w:ascii="Cambria Math" w:hAnsi="Cambria Math"/>
                          <w:sz w:val="22"/>
                        </w:rPr>
                        <m:t>i</m:t>
                      </m:r>
                    </m:sub>
                  </m:sSub>
                  <m:sSub>
                    <m:e>
                      <m:r>
                        <w:rPr>
                          <w:rFonts w:ascii="Cambria Math" w:hAnsi="Cambria Math"/>
                          <w:sz w:val="22"/>
                        </w:rPr>
                        <m:t>]</m:t>
                      </m:r>
                    </m:e>
                    <m:sub>
                      <m:r>
                        <w:rPr>
                          <w:rFonts w:ascii="Cambria Math" w:hAnsi="Cambria Math"/>
                          <w:sz w:val="22"/>
                        </w:rPr>
                        <m:t>+</m:t>
                      </m:r>
                    </m:sub>
                  </m:sSub>
                </m:e>
              </m:nary>
              <m:r>
                <w:rPr>
                  <w:rFonts w:ascii="Cambria Math" w:hAnsi="Cambria Math"/>
                  <w:sz w:val="22"/>
                </w:rPr>
                <m:t>−</m:t>
              </m:r>
              <m:nary>
                <m:naryPr>
                  <m:chr m:val="∑"/>
                  <m:limLoc m:val="undOvr"/>
                  <m:grow m:val="1"/>
                  <m:subHide m:val="off"/>
                  <m:supHide m:val="on"/>
                </m:naryPr>
                <m:sub>
                  <m:r>
                    <w:rPr>
                      <w:rFonts w:ascii="Cambria Math" w:hAnsi="Cambria Math"/>
                      <w:sz w:val="22"/>
                    </w:rPr>
                    <m:t>i</m:t>
                  </m:r>
                </m:sub>
                <m:sup/>
                <m:e>
                  <m:sSubSup>
                    <m:e>
                      <m:r>
                        <w:rPr>
                          <w:rFonts w:ascii="Cambria Math" w:hAnsi="Cambria Math"/>
                          <w:sz w:val="22"/>
                        </w:rPr>
                        <m:t>ϵ</m:t>
                      </m:r>
                    </m:e>
                    <m:sub>
                      <m:r>
                        <w:rPr>
                          <w:rFonts w:ascii="Cambria Math" w:hAnsi="Cambria Math"/>
                          <w:sz w:val="22"/>
                        </w:rPr>
                        <m:t>i</m:t>
                      </m:r>
                    </m:sub>
                    <m:sup>
                      <m:r>
                        <w:rPr>
                          <w:rFonts w:ascii="Cambria Math" w:hAnsi="Cambria Math"/>
                          <w:sz w:val="22"/>
                        </w:rPr>
                        <m:t>+</m:t>
                      </m:r>
                    </m:sup>
                  </m:sSubSup>
                  <m:r>
                    <w:rPr>
                      <w:rFonts w:ascii="Cambria Math" w:hAnsi="Cambria Math"/>
                      <w:sz w:val="22"/>
                    </w:rPr>
                    <m:t>[</m:t>
                  </m:r>
                  <m:sSub>
                    <m:e>
                      <m:r>
                        <w:rPr>
                          <w:rFonts w:ascii="Cambria Math" w:hAnsi="Cambria Math"/>
                          <w:sz w:val="22"/>
                        </w:rPr>
                        <m:t>π</m:t>
                      </m:r>
                    </m:e>
                    <m:sub>
                      <m:r>
                        <w:rPr>
                          <w:rFonts w:ascii="Cambria Math" w:hAnsi="Cambria Math"/>
                          <w:sz w:val="22"/>
                        </w:rPr>
                        <m:t>i</m:t>
                      </m:r>
                    </m:sub>
                  </m:sSub>
                  <m:r>
                    <w:rPr>
                      <w:rFonts w:ascii="Cambria Math" w:hAnsi="Cambria Math"/>
                      <w:sz w:val="22"/>
                    </w:rPr>
                    <m:t>−</m:t>
                  </m:r>
                  <m:sSubSup>
                    <m:e>
                      <m:r>
                        <w:rPr>
                          <w:rFonts w:ascii="Cambria Math" w:hAnsi="Cambria Math"/>
                          <w:sz w:val="22"/>
                        </w:rPr>
                        <m:t>δ</m:t>
                      </m:r>
                    </m:e>
                    <m:sub>
                      <m:r>
                        <w:rPr>
                          <w:rFonts w:ascii="Cambria Math" w:hAnsi="Cambria Math"/>
                          <w:sz w:val="22"/>
                        </w:rPr>
                        <m:t>i</m:t>
                      </m:r>
                    </m:sub>
                    <m:sup>
                      <m:r>
                        <w:rPr>
                          <w:rFonts w:ascii="Cambria Math" w:hAnsi="Cambria Math"/>
                          <w:sz w:val="22"/>
                        </w:rPr>
                        <m:t>+</m:t>
                      </m:r>
                    </m:sup>
                  </m:sSubSup>
                  <m:sSub>
                    <m:e>
                      <m:r>
                        <w:rPr>
                          <w:rFonts w:ascii="Cambria Math" w:hAnsi="Cambria Math"/>
                          <w:sz w:val="22"/>
                        </w:rPr>
                        <m:t>]</m:t>
                      </m:r>
                    </m:e>
                    <m:sub>
                      <m:r>
                        <w:rPr>
                          <w:rFonts w:ascii="Cambria Math" w:hAnsi="Cambria Math"/>
                          <w:sz w:val="22"/>
                        </w:rPr>
                        <m:t>+</m:t>
                      </m:r>
                    </m:sub>
                  </m:sSub>
                </m:e>
              </m:nary>
            </m:e>
          </m:mr>
          <m:mr>
            <m:e>
              <m:r>
                <m:rPr>
                  <m:nor/>
                </m:rPr>
                <w:rPr>
                  <w:rFonts w:ascii="Cambria Math" w:hAnsi="Cambria Math"/>
                  <w:sz w:val="22"/>
                </w:rPr>
                <m:t>s.t.</m:t>
              </m:r>
            </m:e>
            <m:e>
              <m:sSup>
                <m:e>
                  <m:r>
                    <w:rPr>
                      <w:rFonts w:ascii="Cambria Math" w:hAnsi="Cambria Math"/>
                      <w:sz w:val="22"/>
                    </w:rPr>
                    <m:t>A</m:t>
                  </m:r>
                </m:e>
                <m:sup>
                  <m:r>
                    <m:rPr>
                      <m:scr m:val="sans-serif"/>
                      <m:sty m:val="p"/>
                    </m:rPr>
                    <w:rPr>
                      <w:rFonts w:ascii="Cambria Math" w:hAnsi="Cambria Math"/>
                      <w:sz w:val="22"/>
                    </w:rPr>
                    <m:t>T</m:t>
                  </m:r>
                </m:sup>
              </m:sSup>
              <m:r>
                <w:rPr>
                  <w:rFonts w:ascii="Cambria Math" w:hAnsi="Cambria Math"/>
                  <w:sz w:val="22"/>
                </w:rPr>
                <m:t>π≤c,</m:t>
              </m:r>
            </m:e>
          </m:mr>
        </m:m>
      </m:oMath>
      <w:r>
        <w:rPr>
          <w:rFonts w:ascii="Times New Roman" w:hAnsi="Times New Roman"/>
          <w:color w:val="000000"/>
          <w:sz w:val="22"/>
        </w:rPr>
        <w:t xml:space="preserve">    (8)</w:t>
      </w:r>
    </w:p>
    <w:p>
      <w:pPr/>
      <w:r>
        <w:rPr>
          <w:rFonts w:ascii="Times New Roman" w:hAnsi="Times New Roman"/>
          <w:b w:val="0"/>
          <w:i w:val="0"/>
          <w:color w:val="000000"/>
        </w:rPr>
        <w:t>where the positive-part operator is [</w:t>
      </w:r>
      <w:r>
        <w:rPr>
          <w:rFonts w:ascii="Times New Roman" w:hAnsi="Times New Roman"/>
          <w:b w:val="0"/>
          <w:i/>
          <w:color w:val="000000"/>
        </w:rPr>
        <w:t>u</w:t>
      </w:r>
      <w:r>
        <w:rPr>
          <w:rFonts w:ascii="Times New Roman" w:hAnsi="Times New Roman"/>
          <w:b w:val="0"/>
          <w:i w:val="0"/>
          <w:color w:val="000000"/>
        </w:rPr>
        <w:t>]</w:t>
      </w:r>
      <w:r>
        <w:rPr>
          <w:rFonts w:ascii="Times New Roman" w:hAnsi="Times New Roman"/>
          <w:b w:val="0"/>
          <w:i w:val="0"/>
          <w:color w:val="000000"/>
          <w:vertAlign w:val="subscript"/>
        </w:rPr>
        <w:t>+</w:t>
      </w:r>
      <w:r>
        <w:rPr>
          <w:rFonts w:ascii="Times New Roman" w:hAnsi="Times New Roman"/>
          <w:b w:val="0"/>
          <w:i w:val="0"/>
          <w:color w:val="000000"/>
        </w:rPr>
        <w:t xml:space="preserve"> = max{0, </w:t>
      </w:r>
      <w:r>
        <w:rPr>
          <w:rFonts w:ascii="Times New Roman" w:hAnsi="Times New Roman"/>
          <w:b w:val="0"/>
          <w:i/>
          <w:color w:val="000000"/>
        </w:rPr>
        <w:t>u</w:t>
      </w:r>
      <w:r>
        <w:rPr>
          <w:rFonts w:ascii="Times New Roman" w:hAnsi="Times New Roman"/>
          <w:b w:val="0"/>
          <w:i w:val="0"/>
          <w:color w:val="000000"/>
        </w:rPr>
        <w:t>}. These equations express the full-column problem; CG enforces its column constraints incrementally. A predictor can choose the reference interval, for example around a learned center, or control the perturbation caps that become penalty slopes in Eq. (8). Neither output is itself a dual certificate. If the optimal stabilized solution has zero perturbations and its dual passes full pricing, primal and dual feasibility recover the original optimum. Taking the caps to zero also restores the unperturbed primal. An intermediate restricted stabilized objective cannot be used as if that recovery had already occurred (du Merle et al., 1999).</w:t>
      </w:r>
    </w:p>
    <w:p>
      <w:pPr/>
      <w:r>
        <w:rPr>
          <w:rFonts w:ascii="Times New Roman" w:hAnsi="Times New Roman"/>
          <w:b w:val="0"/>
          <w:i w:val="0"/>
          <w:color w:val="000000"/>
        </w:rPr>
        <w:t>This distinction separates three learning strategies.</w:t>
      </w:r>
    </w:p>
    <w:p>
      <w:pPr/>
      <w:r>
        <w:rPr>
          <w:rFonts w:ascii="Times New Roman" w:hAnsi="Times New Roman"/>
          <w:b/>
          <w:i w:val="0"/>
          <w:color w:val="000000"/>
        </w:rPr>
        <w:t>Predict reference information.</w:t>
      </w:r>
      <w:r>
        <w:rPr>
          <w:rFonts w:ascii="Times New Roman" w:hAnsi="Times New Roman"/>
          <w:b w:val="0"/>
          <w:i w:val="0"/>
          <w:color w:val="000000"/>
        </w:rPr>
        <w:t xml:space="preserve"> Predicted duals initialize centers in cutting stock and scheduling, while demand-based predictions initialize proximal methods for unit commitment (Kraul et al., 2023; Sarkar et al., 2025; Sugishita et al., 2024). In the latter setting, valid single-generator pricing produces the Lagrangian bound at the predicted multipliers. The prediction guides where to start; pricing supplies the bound. Predictive dual smoothing instead learns from a trajectory, tests proposed columns against the actual current dual, and invokes unsmoothed exact pricing after proposal failure (Berden et al., 2026).</w:t>
      </w:r>
    </w:p>
    <w:p>
      <w:pPr/>
      <w:r>
        <w:rPr>
          <w:rFonts w:ascii="Times New Roman" w:hAnsi="Times New Roman"/>
          <w:b/>
          <w:i w:val="0"/>
          <w:color w:val="000000"/>
        </w:rPr>
        <w:t>Control stabilization strength.</w:t>
      </w:r>
      <w:r>
        <w:rPr>
          <w:rFonts w:ascii="Times New Roman" w:hAnsi="Times New Roman"/>
          <w:b w:val="0"/>
          <w:i w:val="0"/>
          <w:color w:val="000000"/>
        </w:rPr>
        <w:t xml:space="preserve"> Classical adaptive smoothing already responds to mispricing and can revert to the unmodified dual in finitely many steps (Pessoa et al., 2018). Learned policies retain analogous safeguards through parameter restrictions, penalty reduction or reference realignment (Shen et al., 2024; Wang and Khir, 2026). Their performance target should include pricing difficulty, not only the number of master iterations. Reported cutting-stock cases in which fewer iterations coexist with longer runtime demonstrate the difference (Wang and Khir, 2026).</w:t>
      </w:r>
    </w:p>
    <w:p>
      <w:pPr/>
      <w:r>
        <w:rPr>
          <w:rFonts w:ascii="Times New Roman" w:hAnsi="Times New Roman"/>
          <w:b/>
          <w:i w:val="0"/>
          <w:color w:val="000000"/>
        </w:rPr>
        <w:t>Constrain the prediction through optimization.</w:t>
      </w:r>
      <w:r>
        <w:rPr>
          <w:rFonts w:ascii="Times New Roman" w:hAnsi="Times New Roman"/>
          <w:b w:val="0"/>
          <w:i w:val="0"/>
          <w:color w:val="000000"/>
        </w:rPr>
        <w:t xml:space="preserve"> Neural column generation for capacitated routing selects the objective of a quadratic program over the optimal RMP dual face (Babaki et al., 2022). The optimization layer ensures membership in that face; the network chooses a useful point within it. Its experiments identify iteration savings and also the expense of the differentiable optimization layer. This is a different design from accepting an arbitrary regression output as an optimal dual.</w:t>
      </w:r>
    </w:p>
    <w:p>
      <w:pPr/>
      <w:r>
        <w:rPr>
          <w:rFonts w:ascii="Times New Roman" w:hAnsi="Times New Roman"/>
          <w:b w:val="0"/>
          <w:i w:val="0"/>
          <w:color w:val="000000"/>
        </w:rPr>
        <w:t xml:space="preserve">Learned pairwise dual inequalities expose the cost of recovery particularly clearly (You et al., 2026a). Suppose predicted pairs form a matrix </w:t>
      </w:r>
      <w:r>
        <w:rPr>
          <w:rFonts w:ascii="Times New Roman" w:hAnsi="Times New Roman"/>
          <w:b w:val="0"/>
          <w:i/>
          <w:color w:val="000000"/>
        </w:rPr>
        <w:t>B</w:t>
      </w:r>
      <w:r>
        <w:rPr>
          <w:rFonts w:ascii="Times New Roman" w:hAnsi="Times New Roman"/>
          <w:b w:val="0"/>
          <w:i w:val="0"/>
          <w:color w:val="000000"/>
        </w:rPr>
        <w:t xml:space="preserve"> whose columns are </w:t>
      </w:r>
      <w:r>
        <w:rPr>
          <w:rFonts w:ascii="Times New Roman" w:hAnsi="Times New Roman"/>
          <w:b w:val="0"/>
          <w:i/>
          <w:color w:val="000000"/>
        </w:rPr>
        <w:t>e</w:t>
      </w:r>
      <w:r>
        <w:rPr>
          <w:rFonts w:ascii="Times New Roman" w:hAnsi="Times New Roman"/>
          <w:b w:val="0"/>
          <w:i w:val="0"/>
          <w:color w:val="000000"/>
        </w:rPr>
        <w:t xml:space="preserve">ᵢ − </w:t>
      </w:r>
      <w:r>
        <w:rPr>
          <w:rFonts w:ascii="Times New Roman" w:hAnsi="Times New Roman"/>
          <w:b w:val="0"/>
          <w:i/>
          <w:color w:val="000000"/>
        </w:rPr>
        <w:t>e</w:t>
      </w:r>
      <w:r>
        <w:rPr>
          <w:rFonts w:ascii="Times New Roman" w:hAnsi="Times New Roman"/>
          <w:b w:val="0"/>
          <w:i w:val="0"/>
          <w:color w:val="000000"/>
        </w:rPr>
        <w:t>ⱼ. For a set-partitioning master,</w:t>
      </w:r>
    </w:p>
    <w:p>
      <w:pPr>
        <w:keepLines/>
        <w:spacing w:before="100" w:after="160"/>
        <w:jc w:val="center"/>
      </w:pPr>
      <m:oMath xmlns:mml="http://www.w3.org/1998/Math/MathML">
        <m:eqArr>
          <m:e>
            <m:sSub>
              <m:e>
                <m:r>
                  <m:rPr>
                    <m:nor m:val="1"/>
                    <m:sty m:val="p"/>
                  </m:rPr>
                  <w:rPr>
                    <w:rFonts w:ascii="Cambria Math" w:hAnsi="Cambria Math"/>
                    <w:sz w:val="22"/>
                    <w:i w:val="0"/>
                  </w:rPr>
                  <m:t>min</m:t>
                </m:r>
              </m:e>
              <m:sub>
                <m:r>
                  <w:rPr>
                    <w:rFonts w:ascii="Cambria Math" w:hAnsi="Cambria Math"/>
                    <w:sz w:val="22"/>
                  </w:rPr>
                  <m:t>λ,y≥0</m:t>
                </m:r>
              </m:sub>
            </m:sSub>
            <m:r>
              <w:rPr>
                <w:rFonts w:ascii="Cambria Math" w:hAnsi="Cambria Math"/>
                <w:sz w:val="22"/>
              </w:rPr>
              <m:t>{</m:t>
            </m:r>
            <m:sSup>
              <m:e>
                <m:r>
                  <w:rPr>
                    <w:rFonts w:ascii="Cambria Math" w:hAnsi="Cambria Math"/>
                    <w:sz w:val="22"/>
                  </w:rPr>
                  <m:t>c</m:t>
                </m:r>
              </m:e>
              <m:sup>
                <m:r>
                  <m:rPr>
                    <m:scr m:val="sans-serif"/>
                    <m:sty m:val="p"/>
                  </m:rPr>
                  <w:rPr>
                    <w:rFonts w:ascii="Cambria Math" w:hAnsi="Cambria Math"/>
                    <w:sz w:val="22"/>
                  </w:rPr>
                  <m:t>T</m:t>
                </m:r>
              </m:sup>
            </m:sSup>
            <m:r>
              <w:rPr>
                <w:rFonts w:ascii="Cambria Math" w:hAnsi="Cambria Math"/>
                <w:sz w:val="22"/>
              </w:rPr>
              <m:t>λ:Aλ+By=b}</m:t>
            </m:r>
            <m:r>
              <w:rPr>
                <w:rFonts w:ascii="Cambria Math" w:hAnsi="Cambria Math"/>
                <w:sz w:val="22"/>
              </w:rPr>
              <m:t>⟷</m:t>
            </m:r>
            <m:sSub>
              <m:e>
                <m:r>
                  <m:rPr>
                    <m:nor m:val="1"/>
                    <m:sty m:val="p"/>
                  </m:rPr>
                  <w:rPr>
                    <w:rFonts w:ascii="Cambria Math" w:hAnsi="Cambria Math"/>
                    <w:sz w:val="22"/>
                    <w:i w:val="0"/>
                  </w:rPr>
                  <m:t>max</m:t>
                </m:r>
              </m:e>
              <m:sub>
                <m:r>
                  <w:rPr>
                    <w:rFonts w:ascii="Cambria Math" w:hAnsi="Cambria Math"/>
                    <w:sz w:val="22"/>
                  </w:rPr>
                  <m:t>π</m:t>
                </m:r>
              </m:sub>
            </m:sSub>
            <m:r>
              <w:rPr>
                <w:rFonts w:ascii="Cambria Math" w:hAnsi="Cambria Math"/>
                <w:sz w:val="22"/>
              </w:rPr>
              <m:t>{</m:t>
            </m:r>
            <m:sSup>
              <m:e>
                <m:r>
                  <w:rPr>
                    <w:rFonts w:ascii="Cambria Math" w:hAnsi="Cambria Math"/>
                    <w:sz w:val="22"/>
                  </w:rPr>
                  <m:t>b</m:t>
                </m:r>
              </m:e>
              <m:sup>
                <m:r>
                  <m:rPr>
                    <m:scr m:val="sans-serif"/>
                    <m:sty m:val="p"/>
                  </m:rPr>
                  <w:rPr>
                    <w:rFonts w:ascii="Cambria Math" w:hAnsi="Cambria Math"/>
                    <w:sz w:val="22"/>
                  </w:rPr>
                  <m:t>T</m:t>
                </m:r>
              </m:sup>
            </m:sSup>
            <m:r>
              <w:rPr>
                <w:rFonts w:ascii="Cambria Math" w:hAnsi="Cambria Math"/>
                <w:sz w:val="22"/>
              </w:rPr>
              <m:t>π:</m:t>
            </m:r>
            <m:sSup>
              <m:e>
                <m:r>
                  <w:rPr>
                    <w:rFonts w:ascii="Cambria Math" w:hAnsi="Cambria Math"/>
                    <w:sz w:val="22"/>
                  </w:rPr>
                  <m:t>A</m:t>
                </m:r>
              </m:e>
              <m:sup>
                <m:r>
                  <m:rPr>
                    <m:scr m:val="sans-serif"/>
                    <m:sty m:val="p"/>
                  </m:rPr>
                  <w:rPr>
                    <w:rFonts w:ascii="Cambria Math" w:hAnsi="Cambria Math"/>
                    <w:sz w:val="22"/>
                  </w:rPr>
                  <m:t>T</m:t>
                </m:r>
              </m:sup>
            </m:sSup>
            <m:r>
              <w:rPr>
                <w:rFonts w:ascii="Cambria Math" w:hAnsi="Cambria Math"/>
                <w:sz w:val="22"/>
              </w:rPr>
              <m:t>π≤c,</m:t>
            </m:r>
            <m:r>
              <m:rPr>
                <m:nor/>
              </m:rPr>
              <w:rPr>
                <w:rFonts w:ascii="Cambria Math" w:hAnsi="Cambria Math"/>
                <w:sz w:val="22"/>
              </w:rPr>
              <m:t> </m:t>
            </m:r>
            <m:sSup>
              <m:e>
                <m:r>
                  <w:rPr>
                    <w:rFonts w:ascii="Cambria Math" w:hAnsi="Cambria Math"/>
                    <w:sz w:val="22"/>
                  </w:rPr>
                  <m:t>B</m:t>
                </m:r>
              </m:e>
              <m:sup>
                <m:r>
                  <m:rPr>
                    <m:scr m:val="sans-serif"/>
                    <m:sty m:val="p"/>
                  </m:rPr>
                  <w:rPr>
                    <w:rFonts w:ascii="Cambria Math" w:hAnsi="Cambria Math"/>
                    <w:sz w:val="22"/>
                  </w:rPr>
                  <m:t>T</m:t>
                </m:r>
              </m:sup>
            </m:sSup>
            <m:r>
              <w:rPr>
                <w:rFonts w:ascii="Cambria Math" w:hAnsi="Cambria Math"/>
                <w:sz w:val="22"/>
              </w:rPr>
              <m:t>π≤0}.</m:t>
            </m:r>
          </m:e>
        </m:eqArr>
      </m:oMath>
      <w:r>
        <w:rPr>
          <w:rFonts w:ascii="Times New Roman" w:hAnsi="Times New Roman"/>
          <w:color w:val="000000"/>
          <w:sz w:val="22"/>
        </w:rPr>
        <w:t xml:space="preserve">    (9)</w:t>
      </w:r>
    </w:p>
    <w:p>
      <w:pPr/>
      <w:r>
        <w:rPr>
          <w:rFonts w:ascii="Times New Roman" w:hAnsi="Times New Roman"/>
          <w:b w:val="0"/>
          <w:i w:val="0"/>
          <w:color w:val="000000"/>
        </w:rPr>
        <w:t xml:space="preserve">Each added inequality is </w:t>
      </w:r>
      <w:r>
        <w:rPr>
          <w:rFonts w:ascii="Times New Roman" w:hAnsi="Times New Roman"/>
          <w:b w:val="0"/>
          <w:i/>
          <w:color w:val="000000"/>
        </w:rPr>
        <w:t>π</w:t>
      </w:r>
      <w:r>
        <w:rPr>
          <w:rFonts w:ascii="Times New Roman" w:hAnsi="Times New Roman"/>
          <w:b w:val="0"/>
          <w:i w:val="0"/>
          <w:color w:val="000000"/>
        </w:rPr>
        <w:t xml:space="preserve">ᵢ ≤ </w:t>
      </w:r>
      <w:r>
        <w:rPr>
          <w:rFonts w:ascii="Times New Roman" w:hAnsi="Times New Roman"/>
          <w:b w:val="0"/>
          <w:i/>
          <w:color w:val="000000"/>
        </w:rPr>
        <w:t>π</w:t>
      </w:r>
      <w:r>
        <w:rPr>
          <w:rFonts w:ascii="Times New Roman" w:hAnsi="Times New Roman"/>
          <w:b w:val="0"/>
          <w:i w:val="0"/>
          <w:color w:val="000000"/>
        </w:rPr>
        <w:t>ⱼ; its primal counterpart is a zero-cost artificial column. The dual restriction gives a potentially weaker bound after full pricing, even if the predictions do not preserve an original dual optimum. Original LP recovery needs more. Zero artificial activity at an optimum gives an original primal solution matching the valid dual bound. Alternatively, releasing offending inequalities and repeating exact CG eventually reaches the original system if at least one remaining restriction is removed at each unsuccessful recovery round. A numerical threshold and a checked baseline objective establish only the reported numerical accuracy.</w:t>
      </w:r>
    </w:p>
    <w:p>
      <w:pPr/>
      <w:r>
        <w:rPr>
          <w:rFonts w:ascii="Times New Roman" w:hAnsi="Times New Roman"/>
          <w:b w:val="0"/>
          <w:i w:val="0"/>
          <w:color w:val="000000"/>
        </w:rPr>
        <w:t>The direct and recovered variants answer different questions. The first trades bound strength for speed; the second targets the baseline LP bound and must include recovery. They are coded G4 and G2 respectively, with the relaxation mechanism retained as secondary for the recovered version. Appendix C preserves the preprint's numerical illustration separately from the main comparative evidence (Ben Amor et al., 2006; Gschwind and Irnich, 2016; You et al., 2026a).</w:t>
      </w:r>
    </w:p>
    <w:p>
      <w:pPr/>
      <w:r>
        <w:rPr>
          <w:rFonts w:ascii="Times New Roman" w:hAnsi="Times New Roman"/>
          <w:b w:val="0"/>
          <w:i w:val="0"/>
          <w:color w:val="000000"/>
        </w:rPr>
        <w:t>Initialization is simpler but still needs a scoped claim. Learned operator selection can build initial columns before ordinary CG, as in operating-room scheduling (Dolatkhah et al., 2026). Keeping unrestricted pricing preserves access to missing columns. The studied large-instance procedure nevertheless combines time-limited CG with integer RMP recovery, so its reported endpoint is a feasible schedule rather than a complete integer proof.</w:t>
      </w:r>
    </w:p>
    <w:p>
      <w:pPr>
        <w:pStyle w:val="Heading2"/>
      </w:pPr>
      <w:r>
        <w:rPr>
          <w:rFonts w:ascii="Times New Roman" w:hAnsi="Times New Roman"/>
          <w:b/>
          <w:i w:val="0"/>
          <w:color w:val="000000"/>
        </w:rPr>
        <w:t>5.3 L3: Pricing blocks and oracle cascades</w:t>
      </w:r>
    </w:p>
    <w:p>
      <w:pPr/>
      <w:r>
        <w:rPr>
          <w:rFonts w:ascii="Times New Roman" w:hAnsi="Times New Roman"/>
          <w:b w:val="0"/>
          <w:i w:val="0"/>
          <w:color w:val="000000"/>
        </w:rPr>
        <w:t>Partial pricing avoids solving every subproblem at every iteration. A ranker can choose a promising depot, crew group or operating-room block first, while a classical cascade can try cached columns or inexpensive heuristics before a stronger oracle. These choices spend a budget on whole pricing calls, not on labels within a call (Baldacci et al., 2011; Desaulniers et al., 2008; Koutecká et al., 2025; Shan et al., 2026).</w:t>
      </w:r>
    </w:p>
    <w:p>
      <w:pPr/>
      <w:r>
        <w:rPr>
          <w:rFonts w:ascii="Times New Roman" w:hAnsi="Times New Roman"/>
          <w:b w:val="0"/>
          <w:i w:val="0"/>
          <w:color w:val="000000"/>
        </w:rPr>
        <w:t>The term partial pricing can also describe a different intervention. Quesnel and colleagues restrict the pairing choices inside crew-pricing subproblems, then use progressively larger fractions in a diving framework (Quesnel et al., 2022). Its primary layer is L4 because the admissible content of each subproblem changes. It has a secondary L3 role in the phased pricing procedure. The maximum-fraction-one variant permits complete pricing, whereas a fixed smaller maximum does not. Discussing it here connects the source terminology to the scheduling interface without treating domain restriction as mere block ordering.</w:t>
      </w:r>
    </w:p>
    <w:p>
      <w:pPr/>
      <w:r>
        <w:rPr>
          <w:rFonts w:ascii="Times New Roman" w:hAnsi="Times New Roman"/>
          <w:b w:val="0"/>
          <w:i w:val="0"/>
          <w:color w:val="000000"/>
        </w:rPr>
        <w:t>Order preservation is sufficient only if all required blocks remain available for final certification at a compatible current dual. A previous negative column does not certify another block, and an earlier nonnegative result can become stale after the dual changes. A safe subproblem filter instead combines a previously certified pricing minimum with a bound on the effect of the dual change (Bulaich Mehamdi et al., 2025). Using the best heuristic solution in place of that minimum would reverse the needed bound direction. Learning can rank the remaining uncertain blocks after mathematical filters remove those already proved unnecessary.</w:t>
      </w:r>
    </w:p>
    <w:p>
      <w:pPr/>
      <w:r>
        <w:rPr>
          <w:rFonts w:ascii="Times New Roman" w:hAnsi="Times New Roman"/>
          <w:b w:val="0"/>
          <w:i w:val="0"/>
          <w:color w:val="000000"/>
        </w:rPr>
        <w:t>The evidence shows why oracle cost belongs in that ranking. In one nine-instance, five-day operating-room setting with a single-call batch, learned ordering reduces mean pricing calls from 3923 to 2950 but increases mean runtime from 1916 to 2087 s; all nine instances finish within four hours (Koutecká et al., 2025). Other configurations favor learning. The finding is sensitivity to call cost and batch size, not a general rejection of learned scheduling. A depot-pricing preprint targets downstream fixed-row CG closure cost instead of immediate column yield, but its detailed full-policy tree comparisons are in an unavailable supplement (Shan et al., 2026).</w:t>
      </w:r>
    </w:p>
    <w:p>
      <w:pPr/>
      <w:r>
        <w:rPr>
          <w:rFonts w:ascii="Times New Roman" w:hAnsi="Times New Roman"/>
          <w:b w:val="0"/>
          <w:i w:val="0"/>
          <w:color w:val="000000"/>
        </w:rPr>
        <w:t>A nonlearned example illustrates how a cascade can avoid exact calls through valid bounds. In deterministic unit commitment, CSDW-S successively uses a period-separable envelope, a ramp-relaxed dynamic program and exact mixed-integer pricing (Zhang et al., 2026). Closure uses compatible lower endpoints at the raw, unstabilized master dual. Relaxed optimizers are bound witnesses and need not be legal columns. As Section 7 shows, this mathematically useful reduction in exact calls does not automatically reduce time.</w:t>
      </w:r>
    </w:p>
    <w:p>
      <w:pPr/>
      <w:r>
        <w:rPr>
          <w:rFonts w:ascii="Times New Roman" w:hAnsi="Times New Roman"/>
          <w:b w:val="0"/>
          <w:i w:val="0"/>
          <w:color w:val="000000"/>
        </w:rPr>
        <w:t>Learned hyper-heuristics choose among proposal routines using recent success and CG state (Xu et al., 2025). Full-domain fallback can protect LP closure, but the final integer RMP remains a heuristic. Traditional grouped pricing for technician routing has the same distinction between CG and integer recovery (Dupin et al., 2021). A fair comparison therefore keeps the oracle hierarchy and stopping target fixed, then charges unsuccessful calls, fallback, policy evaluation and master reoptimization to the selected schedule.</w:t>
      </w:r>
    </w:p>
    <w:p>
      <w:pPr>
        <w:pStyle w:val="Heading2"/>
      </w:pPr>
      <w:r>
        <w:rPr>
          <w:rFonts w:ascii="Times New Roman" w:hAnsi="Times New Roman"/>
          <w:b/>
          <w:i w:val="0"/>
          <w:color w:val="000000"/>
        </w:rPr>
        <w:t>5.4 L4: Domain reduction, dominance and valid bounds</w:t>
      </w:r>
    </w:p>
    <w:p>
      <w:pPr/>
      <w:r>
        <w:rPr>
          <w:rFonts w:ascii="Times New Roman" w:hAnsi="Times New Roman"/>
          <w:b w:val="0"/>
          <w:i w:val="0"/>
          <w:color w:val="000000"/>
        </w:rPr>
        <w:t>Safe deletion and predicted restriction can remove the same arc in code. They differ in what justifies its absence.</w:t>
      </w:r>
    </w:p>
    <w:p>
      <w:pPr/>
      <w:r>
        <w:rPr>
          <w:rFonts w:ascii="Times New Roman" w:hAnsi="Times New Roman"/>
          <w:b w:val="0"/>
          <w:i w:val="0"/>
          <w:color w:val="000000"/>
        </w:rPr>
        <w:t xml:space="preserve">For elementary shortest-path pricing with time windows and capacity, a simple label at endpoint </w:t>
      </w:r>
      <w:r>
        <w:rPr>
          <w:rFonts w:ascii="Times New Roman" w:hAnsi="Times New Roman"/>
          <w:b w:val="0"/>
          <w:i/>
          <w:color w:val="000000"/>
        </w:rPr>
        <w:t>v</w:t>
      </w:r>
      <w:r>
        <w:rPr>
          <w:rFonts w:ascii="Times New Roman" w:hAnsi="Times New Roman"/>
          <w:b w:val="0"/>
          <w:i w:val="0"/>
          <w:color w:val="000000"/>
        </w:rPr>
        <w:t xml:space="preserve"> is (</w:t>
      </w:r>
      <w:r>
        <w:rPr>
          <w:rFonts w:ascii="Times New Roman" w:hAnsi="Times New Roman"/>
          <w:b w:val="0"/>
          <w:i/>
          <w:color w:val="000000"/>
        </w:rPr>
        <w:t>g</w:t>
      </w:r>
      <w:r>
        <w:rPr>
          <w:rFonts w:ascii="Times New Roman" w:hAnsi="Times New Roman"/>
          <w:b w:val="0"/>
          <w:i w:val="0"/>
          <w:color w:val="000000"/>
        </w:rPr>
        <w:t xml:space="preserve">, </w:t>
      </w:r>
      <w:r>
        <w:rPr>
          <w:rFonts w:ascii="Times New Roman" w:hAnsi="Times New Roman"/>
          <w:b w:val="0"/>
          <w:i/>
          <w:color w:val="000000"/>
        </w:rPr>
        <w:t>t</w:t>
      </w:r>
      <w:r>
        <w:rPr>
          <w:rFonts w:ascii="Times New Roman" w:hAnsi="Times New Roman"/>
          <w:b w:val="0"/>
          <w:i w:val="0"/>
          <w:color w:val="000000"/>
        </w:rPr>
        <w:t xml:space="preserve">, </w:t>
      </w:r>
      <w:r>
        <w:rPr>
          <w:rFonts w:ascii="Times New Roman" w:hAnsi="Times New Roman"/>
          <w:b w:val="0"/>
          <w:i/>
          <w:color w:val="000000"/>
        </w:rPr>
        <w:t>q</w:t>
      </w:r>
      <w:r>
        <w:rPr>
          <w:rFonts w:ascii="Times New Roman" w:hAnsi="Times New Roman"/>
          <w:b w:val="0"/>
          <w:i w:val="0"/>
          <w:color w:val="000000"/>
        </w:rPr>
        <w:t xml:space="preserve">, </w:t>
      </w:r>
      <w:r>
        <w:rPr>
          <w:rFonts w:ascii="Times New Roman" w:hAnsi="Times New Roman"/>
          <w:b w:val="0"/>
          <w:i/>
          <w:color w:val="000000"/>
        </w:rPr>
        <w:t>S</w:t>
      </w:r>
      <w:r>
        <w:rPr>
          <w:rFonts w:ascii="Times New Roman" w:hAnsi="Times New Roman"/>
          <w:b w:val="0"/>
          <w:i w:val="0"/>
          <w:color w:val="000000"/>
        </w:rPr>
        <w:t>): accumulated reduced cost, arrival time, load and visited set. With waiting allowed, nonnegative demand, monotone resource extensions and no omitted branch or cut state, a sufficient dominance relation for two labels at the same endpoint is</w:t>
      </w:r>
    </w:p>
    <w:p>
      <w:pPr>
        <w:keepLines/>
        <w:spacing w:before="100" w:after="160"/>
        <w:jc w:val="center"/>
      </w:pPr>
      <m:oMath xmlns:mml="http://www.w3.org/1998/Math/MathML">
        <m:sSub>
          <m:e>
            <m:r>
              <w:rPr>
                <w:rFonts w:ascii="Cambria Math" w:hAnsi="Cambria Math"/>
                <w:sz w:val="22"/>
              </w:rPr>
              <m:t>g</m:t>
            </m:r>
          </m:e>
          <m:sub>
            <m:r>
              <w:rPr>
                <w:rFonts w:ascii="Cambria Math" w:hAnsi="Cambria Math"/>
                <w:sz w:val="22"/>
              </w:rPr>
              <m:t>1</m:t>
            </m:r>
          </m:sub>
        </m:sSub>
        <m:r>
          <w:rPr>
            <w:rFonts w:ascii="Cambria Math" w:hAnsi="Cambria Math"/>
            <w:sz w:val="22"/>
          </w:rPr>
          <m:t>≤</m:t>
        </m:r>
        <m:sSub>
          <m:e>
            <m:r>
              <w:rPr>
                <w:rFonts w:ascii="Cambria Math" w:hAnsi="Cambria Math"/>
                <w:sz w:val="22"/>
              </w:rPr>
              <m:t>g</m:t>
            </m:r>
          </m:e>
          <m:sub>
            <m:r>
              <w:rPr>
                <w:rFonts w:ascii="Cambria Math" w:hAnsi="Cambria Math"/>
                <w:sz w:val="22"/>
              </w:rPr>
              <m:t>2</m:t>
            </m:r>
          </m:sub>
        </m:sSub>
        <m:r>
          <w:rPr>
            <w:rFonts w:ascii="Cambria Math" w:hAnsi="Cambria Math"/>
            <w:sz w:val="22"/>
          </w:rPr>
          <m:t>,</m:t>
        </m:r>
        <m:sSub>
          <m:e>
            <m:r>
              <w:rPr>
                <w:rFonts w:ascii="Cambria Math" w:hAnsi="Cambria Math"/>
                <w:sz w:val="22"/>
              </w:rPr>
              <m:t>t</m:t>
            </m:r>
          </m:e>
          <m:sub>
            <m:r>
              <w:rPr>
                <w:rFonts w:ascii="Cambria Math" w:hAnsi="Cambria Math"/>
                <w:sz w:val="22"/>
              </w:rPr>
              <m:t>1</m:t>
            </m:r>
          </m:sub>
        </m:sSub>
        <m:r>
          <w:rPr>
            <w:rFonts w:ascii="Cambria Math" w:hAnsi="Cambria Math"/>
            <w:sz w:val="22"/>
          </w:rPr>
          <m:t>≤</m:t>
        </m:r>
        <m:sSub>
          <m:e>
            <m:r>
              <w:rPr>
                <w:rFonts w:ascii="Cambria Math" w:hAnsi="Cambria Math"/>
                <w:sz w:val="22"/>
              </w:rPr>
              <m:t>t</m:t>
            </m:r>
          </m:e>
          <m:sub>
            <m:r>
              <w:rPr>
                <w:rFonts w:ascii="Cambria Math" w:hAnsi="Cambria Math"/>
                <w:sz w:val="22"/>
              </w:rPr>
              <m:t>2</m:t>
            </m:r>
          </m:sub>
        </m:sSub>
        <m:r>
          <w:rPr>
            <w:rFonts w:ascii="Cambria Math" w:hAnsi="Cambria Math"/>
            <w:sz w:val="22"/>
          </w:rPr>
          <m:t>,</m:t>
        </m:r>
        <m:sSub>
          <m:e>
            <m:r>
              <w:rPr>
                <w:rFonts w:ascii="Cambria Math" w:hAnsi="Cambria Math"/>
                <w:sz w:val="22"/>
              </w:rPr>
              <m:t>q</m:t>
            </m:r>
          </m:e>
          <m:sub>
            <m:r>
              <w:rPr>
                <w:rFonts w:ascii="Cambria Math" w:hAnsi="Cambria Math"/>
                <w:sz w:val="22"/>
              </w:rPr>
              <m:t>1</m:t>
            </m:r>
          </m:sub>
        </m:sSub>
        <m:r>
          <w:rPr>
            <w:rFonts w:ascii="Cambria Math" w:hAnsi="Cambria Math"/>
            <w:sz w:val="22"/>
          </w:rPr>
          <m:t>≤</m:t>
        </m:r>
        <m:sSub>
          <m:e>
            <m:r>
              <w:rPr>
                <w:rFonts w:ascii="Cambria Math" w:hAnsi="Cambria Math"/>
                <w:sz w:val="22"/>
              </w:rPr>
              <m:t>q</m:t>
            </m:r>
          </m:e>
          <m:sub>
            <m:r>
              <w:rPr>
                <w:rFonts w:ascii="Cambria Math" w:hAnsi="Cambria Math"/>
                <w:sz w:val="22"/>
              </w:rPr>
              <m:t>2</m:t>
            </m:r>
          </m:sub>
        </m:sSub>
        <m:r>
          <w:rPr>
            <w:rFonts w:ascii="Cambria Math" w:hAnsi="Cambria Math"/>
            <w:sz w:val="22"/>
          </w:rPr>
          <m:t>,</m:t>
        </m:r>
        <m:sSub>
          <m:e>
            <m:r>
              <w:rPr>
                <w:rFonts w:ascii="Cambria Math" w:hAnsi="Cambria Math"/>
                <w:sz w:val="22"/>
              </w:rPr>
              <m:t>S</m:t>
            </m:r>
          </m:e>
          <m:sub>
            <m:r>
              <w:rPr>
                <w:rFonts w:ascii="Cambria Math" w:hAnsi="Cambria Math"/>
                <w:sz w:val="22"/>
              </w:rPr>
              <m:t>1</m:t>
            </m:r>
          </m:sub>
        </m:sSub>
        <m:r>
          <w:rPr>
            <w:rFonts w:ascii="Cambria Math" w:hAnsi="Cambria Math"/>
            <w:sz w:val="22"/>
          </w:rPr>
          <m:t>⊆</m:t>
        </m:r>
        <m:sSub>
          <m:e>
            <m:r>
              <w:rPr>
                <w:rFonts w:ascii="Cambria Math" w:hAnsi="Cambria Math"/>
                <w:sz w:val="22"/>
              </w:rPr>
              <m:t>S</m:t>
            </m:r>
          </m:e>
          <m:sub>
            <m:r>
              <w:rPr>
                <w:rFonts w:ascii="Cambria Math" w:hAnsi="Cambria Math"/>
                <w:sz w:val="22"/>
              </w:rPr>
              <m:t>2</m:t>
            </m:r>
          </m:sub>
        </m:sSub>
        <m:r>
          <w:rPr>
            <w:rFonts w:ascii="Cambria Math" w:hAnsi="Cambria Math"/>
            <w:sz w:val="22"/>
          </w:rPr>
          <m:t>.</m:t>
        </m:r>
      </m:oMath>
      <w:r>
        <w:rPr>
          <w:rFonts w:ascii="Times New Roman" w:hAnsi="Times New Roman"/>
          <w:color w:val="000000"/>
          <w:sz w:val="22"/>
        </w:rPr>
        <w:t xml:space="preserve">    (10)</w:t>
      </w:r>
    </w:p>
    <w:p>
      <w:pPr/>
      <w:r>
        <w:rPr>
          <w:rFonts w:ascii="Times New Roman" w:hAnsi="Times New Roman"/>
          <w:b w:val="0"/>
          <w:i w:val="0"/>
          <w:color w:val="000000"/>
        </w:rPr>
        <w:t xml:space="preserve">Every elementary suffix feasible after label 2 avoids </w:t>
      </w:r>
      <w:r>
        <w:rPr>
          <w:rFonts w:ascii="Times New Roman" w:hAnsi="Times New Roman"/>
          <w:b w:val="0"/>
          <w:i/>
          <w:color w:val="000000"/>
        </w:rPr>
        <w:t>S</w:t>
      </w:r>
      <w:r>
        <w:rPr>
          <w:rFonts w:ascii="Times New Roman" w:hAnsi="Times New Roman"/>
          <w:b w:val="0"/>
          <w:i w:val="0"/>
          <w:color w:val="000000"/>
        </w:rPr>
        <w:t xml:space="preserve">₂ and thus avoids </w:t>
      </w:r>
      <w:r>
        <w:rPr>
          <w:rFonts w:ascii="Times New Roman" w:hAnsi="Times New Roman"/>
          <w:b w:val="0"/>
          <w:i/>
          <w:color w:val="000000"/>
        </w:rPr>
        <w:t>S</w:t>
      </w:r>
      <w:r>
        <w:rPr>
          <w:rFonts w:ascii="Times New Roman" w:hAnsi="Times New Roman"/>
          <w:b w:val="0"/>
          <w:i w:val="0"/>
          <w:color w:val="000000"/>
        </w:rPr>
        <w:t>₁. The first label can wait to meet the same time windows, has at least as much residual capacity, and incurs no greater prefix cost. Extending both by that suffix proves continuation coverage at no greater completed cost. Extra resources, path-dependent costs and active cuts can require additional state or stronger tests (Di Puglia Pugliese and Guerriero, 2013; Feillet et al., 2004; Gschwind and Irnich, 2015).</w:t>
      </w:r>
    </w:p>
    <w:p>
      <w:pPr/>
      <w:r>
        <w:rPr>
          <w:rFonts w:ascii="Times New Roman" w:hAnsi="Times New Roman"/>
          <w:b w:val="0"/>
          <w:i w:val="0"/>
          <w:color w:val="000000"/>
        </w:rPr>
        <w:t xml:space="preserve">A classifier score is not a proof of these inequalities or of an alternative coverage relation. A false dominance prediction can discard the only improving continuation. A classifier can still assist an exact algorithm by proposing comparisons that are then verified, ordering valid tests, or retaining rejected states for complete recovery. The obstacle is unchecked rejection, not machine learning as a class of tools. Partial dominance extends the classical argument by combining several labels to cover a resource tradeoff, but must cover every relevant continuation (Faldum et al., 2024).</w:t>
      </w:r>
    </w:p>
    <w:p>
      <w:pPr/>
      <w:r>
        <w:rPr>
          <w:rFonts w:ascii="Times New Roman" w:hAnsi="Times New Roman"/>
          <w:b w:val="0"/>
          <w:i w:val="0"/>
          <w:color w:val="000000"/>
        </w:rPr>
        <w:t xml:space="preserve">Completion bounds give a second sufficient deletion rule. Let </w:t>
      </w:r>
      <w:r>
        <w:rPr>
          <w:rFonts w:ascii="Times New Roman" w:hAnsi="Times New Roman"/>
          <w:b w:val="0"/>
          <w:i/>
          <w:color w:val="000000"/>
        </w:rPr>
        <w:t>J(e)</w:t>
      </w:r>
      <w:r>
        <w:rPr>
          <w:rFonts w:ascii="Times New Roman" w:hAnsi="Times New Roman"/>
          <w:b w:val="0"/>
          <w:i w:val="0"/>
          <w:color w:val="000000"/>
        </w:rPr>
        <w:t xml:space="preserve"> be the legal routes containing arc </w:t>
      </w:r>
      <w:r>
        <w:rPr>
          <w:rFonts w:ascii="Times New Roman" w:hAnsi="Times New Roman"/>
          <w:b w:val="0"/>
          <w:i/>
          <w:color w:val="000000"/>
        </w:rPr>
        <w:t>e</w:t>
      </w:r>
      <w:r>
        <w:rPr>
          <w:rFonts w:ascii="Times New Roman" w:hAnsi="Times New Roman"/>
          <w:b w:val="0"/>
          <w:i w:val="0"/>
          <w:color w:val="000000"/>
        </w:rPr>
        <w:t xml:space="preserve">, and let </w:t>
      </w:r>
      <w:r>
        <w:rPr>
          <w:rFonts w:ascii="Times New Roman" w:hAnsi="Times New Roman"/>
          <w:b w:val="0"/>
          <w:i/>
          <w:color w:val="000000"/>
        </w:rPr>
        <w:t>L(e)</w:t>
      </w:r>
      <w:r>
        <w:rPr>
          <w:rFonts w:ascii="Times New Roman" w:hAnsi="Times New Roman"/>
          <w:b w:val="0"/>
          <w:i w:val="0"/>
          <w:color w:val="000000"/>
        </w:rPr>
        <w:t xml:space="preserve"> be a valid lower bound for their reduced costs at the current dual. Then</w:t>
      </w:r>
    </w:p>
    <w:p>
      <w:pPr>
        <w:keepLines/>
        <w:spacing w:before="100" w:after="160"/>
        <w:jc w:val="center"/>
      </w:pPr>
      <m:oMath xmlns:mml="http://www.w3.org/1998/Math/MathML">
        <m:r>
          <w:rPr>
            <w:rFonts w:ascii="Cambria Math" w:hAnsi="Cambria Math"/>
            <w:sz w:val="22"/>
          </w:rPr>
          <m:t>L(e)≤</m:t>
        </m:r>
        <m:sSub>
          <m:e>
            <m:r>
              <m:rPr>
                <m:nor m:val="1"/>
                <m:sty m:val="p"/>
              </m:rPr>
              <w:rPr>
                <w:rFonts w:ascii="Cambria Math" w:hAnsi="Cambria Math"/>
                <w:sz w:val="22"/>
                <w:i w:val="0"/>
              </w:rPr>
              <m:t>min</m:t>
            </m:r>
          </m:e>
          <m:sub>
            <m:r>
              <w:rPr>
                <w:rFonts w:ascii="Cambria Math" w:hAnsi="Cambria Math"/>
                <w:sz w:val="22"/>
              </w:rPr>
              <m:t>r∈J(e)</m:t>
            </m:r>
          </m:sub>
        </m:sSub>
        <m:sSub>
          <m:e>
            <m:bar>
              <m:barPr>
                <m:pos m:val="top"/>
              </m:barPr>
              <m:e>
                <m:r>
                  <w:rPr>
                    <w:rFonts w:ascii="Cambria Math" w:hAnsi="Cambria Math"/>
                    <w:sz w:val="22"/>
                  </w:rPr>
                  <m:t>c</m:t>
                </m:r>
              </m:e>
            </m:bar>
          </m:e>
          <m:sub>
            <m:r>
              <w:rPr>
                <w:rFonts w:ascii="Cambria Math" w:hAnsi="Cambria Math"/>
                <w:sz w:val="22"/>
              </w:rPr>
              <m:t>r</m:t>
            </m:r>
          </m:sub>
        </m:sSub>
        <m:r>
          <w:rPr>
            <w:rFonts w:ascii="Cambria Math" w:hAnsi="Cambria Math"/>
            <w:sz w:val="22"/>
          </w:rPr>
          <m:t>(π),</m:t>
        </m:r>
        <m:r>
          <w:rPr>
            <w:rFonts w:ascii="Cambria Math" w:hAnsi="Cambria Math"/>
            <w:sz w:val="22"/>
          </w:rPr>
          <m:t>L(e)≥0</m:t>
        </m:r>
        <m:r>
          <w:rPr>
            <w:rFonts w:ascii="Cambria Math" w:hAnsi="Cambria Math"/>
            <w:sz w:val="22"/>
          </w:rPr>
          <m:t>⟹</m:t>
        </m:r>
        <m:r>
          <m:rPr>
            <m:nor/>
          </m:rPr>
          <w:rPr>
            <w:rFonts w:ascii="Cambria Math" w:hAnsi="Cambria Math"/>
            <w:sz w:val="22"/>
          </w:rPr>
          <m:t>no negative-reduced-cost route requires </m:t>
        </m:r>
        <m:r>
          <w:rPr>
            <w:rFonts w:ascii="Cambria Math" w:hAnsi="Cambria Math"/>
            <w:sz w:val="22"/>
          </w:rPr>
          <m:t>e.</m:t>
        </m:r>
      </m:oMath>
      <w:r>
        <w:rPr>
          <w:rFonts w:ascii="Times New Roman" w:hAnsi="Times New Roman"/>
          <w:color w:val="000000"/>
          <w:sz w:val="22"/>
        </w:rPr>
        <w:t xml:space="preserve">    (11)</w:t>
      </w:r>
    </w:p>
    <w:p>
      <w:pPr/>
      <w:r>
        <w:rPr>
          <w:rFonts w:ascii="Times New Roman" w:hAnsi="Times New Roman"/>
          <w:b w:val="0"/>
          <w:i w:val="0"/>
          <w:color w:val="000000"/>
        </w:rPr>
        <w:t>The bound may combine a prefix cost with an admissible suffix relaxation. It must account for all resources and active rows relevant to the claim. In the two-customer example, a certified bound for either intercustomer arc cannot be positive enough to justify deleting its improving route. A predictor that nevertheless removes both arcs is performing restriction and needs G2 recovery. Eq. (11) is a pricing rule; permanent integer-variable fixing additionally requires an incumbent argument, as in Section 5.6.</w:t>
      </w:r>
    </w:p>
    <w:p>
      <w:pPr/>
      <w:r>
        <w:rPr>
          <w:rFonts w:ascii="Times New Roman" w:hAnsi="Times New Roman"/>
          <w:b w:val="0"/>
          <w:i w:val="0"/>
          <w:color w:val="000000"/>
        </w:rPr>
        <w:t>The preprocessed labeling algorithm (PLA) first obtains a feasible path incumbent with a compact branch-and-cut model, then uses completion bounds and dominance to reduce search (Chen et al., 2026). Its named LearningStrategy is deterministic and does not train a model. It is supporting E1 evidence on perturbed constrained-path instances, including negative costs, rather than evidence of faster CG. Some completion-bound details depend on prior work and an unavailable supplement, which limits independent assessment of those implementation conditions.</w:t>
      </w:r>
    </w:p>
    <w:p>
      <w:pPr/>
      <w:r>
        <w:rPr>
          <w:rFonts w:ascii="Times New Roman" w:hAnsi="Times New Roman"/>
          <w:b w:val="0"/>
          <w:i w:val="0"/>
          <w:color w:val="000000"/>
        </w:rPr>
        <w:t>Classical path-reduced-cost elimination already uses route-wide cost information to remove arcs in BPC (Irnich et al., 2010). Two-arc fixing extends the controlled object to arc sequences (Desaulniers et al., 2020). Both are L4 operations because their exclusions affect the implicit route universe before column generation. They should be distinguished from fixing already enumerated master variables.</w:t>
      </w:r>
    </w:p>
    <w:p>
      <w:pPr/>
      <w:r>
        <w:rPr>
          <w:rFonts w:ascii="Times New Roman" w:hAnsi="Times New Roman"/>
          <w:b w:val="0"/>
          <w:i w:val="0"/>
          <w:color w:val="000000"/>
        </w:rPr>
        <w:t>Resource relaxation works in the opposite set direction. Decremental state-space relaxation initially permits paths with insufficient visit memory, then restores critical state when the relaxed solution violates elementarity (Righini and Salani, 2008). An ng-route relaxation also enlarges the path set and can supply a useful lower bound without full refinement (Baldacci et al., 2011). Restricted pricing yields an upper bound on the original pricing minimum; relaxed pricing yields a lower bound. Their computational savings cannot erase that difference. The broader state-space line includes accelerated elementary label setting and ng-based decremental refinement (Boland et al., 2006; Martinelli et al., 2014). The latter is already part of the coded corpus, with completion bounds and heuristic-first pricing distinguished as variants. The recent monograph places these developments within the same resource-memory framework (Desrosiers et al., 2026).</w:t>
      </w:r>
    </w:p>
    <w:p>
      <w:pPr/>
      <w:r>
        <w:rPr>
          <w:rFonts w:ascii="Times New Roman" w:hAnsi="Times New Roman"/>
          <w:b w:val="0"/>
          <w:i w:val="0"/>
          <w:color w:val="000000"/>
        </w:rPr>
        <w:t>Cuts also change the cost of pricing. Subset-row inequalities and limited-memory rank-1 cuts are important examples (Jepsen et al., 2008; Pecin et al., 2017). Their contribution is a tradeoff between stronger master bounds and the additional state or coefficient information needed by pricing. A learned filter trained without that cut state may no longer represent the same subproblem after cuts are added. The theoretical background and the coded generic BPC implementation explain why bound strength alone cannot determine total runtime (Desrosiers et al., 2026; Pessoa et al., 2020). No new effect estimate is extracted from the inaccessible original cut papers.</w:t>
      </w:r>
    </w:p>
    <w:p>
      <w:pPr/>
      <w:r>
        <w:rPr>
          <w:rFonts w:ascii="Times New Roman" w:hAnsi="Times New Roman"/>
          <w:b/>
          <w:i w:val="0"/>
          <w:color w:val="000000"/>
        </w:rPr>
        <w:t>The relevant empirical comparator is often already a strong filter.</w:t>
      </w:r>
      <w:r>
        <w:rPr>
          <w:rFonts w:ascii="Times New Roman" w:hAnsi="Times New Roman"/>
          <w:b w:val="0"/>
          <w:i w:val="0"/>
          <w:color w:val="000000"/>
        </w:rPr>
        <w:t xml:space="preserve"> In the VRPTW experiments of Morabit and colleagues, classical reduced-cost restriction outperforms the learned restriction across the reported instance groups (Morabit et al., 2023). For example, reported group mean times are 32 versus 65 s on 200-customer R2 instances and 254 versus 560 s on 400-customer C2 instances. These are root experiments for a two-cycle pricing relaxation, not exact elementary VRPTW or complete-tree tests. Combining filters and retraining helps some groups but still worsens the large clustered group. This comparison is more informative about the incremental value of learning than a comparison with the full unfiltered graph alone.</w:t>
      </w:r>
    </w:p>
    <w:p>
      <w:pPr/>
      <w:r>
        <w:rPr>
          <w:rFonts w:ascii="Times New Roman" w:hAnsi="Times New Roman"/>
          <w:b w:val="0"/>
          <w:i w:val="0"/>
          <w:color w:val="000000"/>
        </w:rPr>
        <w:t>The restoration mechanism remains useful even when the predictor is imperfect. The learned graph is abandoned when it fails to provide enough columns, and only full-graph failure closes CG (Morabit et al., 2023). Predicted objective cutoffs similarly fall back to a default bound when overly restrictive (Václavík et al., 2018). Permanent learned restrictions and learned driver-break transfer support a different objective: rapid feasible solutions with an explicit approximation tradeoff (Gao et al., 2025; Xue et al., 2026).</w:t>
      </w:r>
    </w:p>
    <w:p>
      <w:pPr/>
      <w:r>
        <w:rPr>
          <w:rFonts w:ascii="Times New Roman" w:hAnsi="Times New Roman"/>
          <w:b w:val="0"/>
          <w:i w:val="0"/>
          <w:color w:val="000000"/>
        </w:rPr>
        <w:t>Feasibility prediction adds another error direction. Loading-constrained routing checks predicted-infeasible routes before exclusion and verifies relevant predicted-feasible routes through packing tests or cuts (Xia and Zhang, 2024; Zhang et al., 2022). That verification does not repair an unrelated approximate dominance rule. Exact and approximate dominance variants within the same framework therefore retain different guarantee labels.</w:t>
      </w:r>
    </w:p>
    <w:p>
      <w:pPr>
        <w:pStyle w:val="Heading2"/>
      </w:pPr>
      <w:r>
        <w:rPr>
          <w:rFonts w:ascii="Times New Roman" w:hAnsi="Times New Roman"/>
          <w:b/>
          <w:i w:val="0"/>
          <w:color w:val="000000"/>
        </w:rPr>
        <w:t>5.5 L5: Search order and new-column construction</w:t>
      </w:r>
    </w:p>
    <w:p>
      <w:pPr/>
      <w:r>
        <w:rPr>
          <w:rFonts w:ascii="Times New Roman" w:hAnsi="Times New Roman"/>
          <w:b w:val="0"/>
          <w:i w:val="0"/>
          <w:color w:val="000000"/>
        </w:rPr>
        <w:t xml:space="preserve">Search can be accelerated without deciding that a state is dispensable. Multiphase labeling, dynamic bidirectional search and bucket graphs organize extensions and dominance comparisons while retaining the required domain (Himmich et al., 2024; Sadykov et al., 2021; Tilk et al., 2017). Compatible joins and adequate forward–backward coverage are required for bidirectional search (Righini and Salani, 2006). In bucket graphs, jump bucket arcs preserve compatibility after arc elimination (Sadykov et al., 2021). They provide stronger comparators than an arbitrary label-processing order.</w:t>
      </w:r>
    </w:p>
    <w:p>
      <w:pPr/>
      <w:r>
        <w:rPr>
          <w:rFonts w:ascii="Times New Roman" w:hAnsi="Times New Roman"/>
          <w:b w:val="0"/>
          <w:i w:val="0"/>
          <w:color w:val="000000"/>
        </w:rPr>
        <w:t xml:space="preserve">Data-driven dynamic programming postpones low-score labels in retained pools and eventually processes them; exact dominance controls deletion (Minoli et al., 2026). This is a G1 design for standalone pricing. With its reported retraining interval </w:t>
      </w:r>
      <w:r>
        <w:rPr>
          <w:rFonts w:ascii="Times New Roman" w:hAnsi="Times New Roman"/>
          <w:b w:val="0"/>
          <w:i/>
          <w:color w:val="000000"/>
        </w:rPr>
        <w:t>k</w:t>
      </w:r>
      <w:r>
        <w:rPr>
          <w:rFonts w:ascii="Times New Roman" w:hAnsi="Times New Roman"/>
          <w:b w:val="0"/>
          <w:i w:val="0"/>
          <w:color w:val="000000"/>
        </w:rPr>
        <w:t xml:space="preserve"> = 10, the easy 17-instance group is 24.9% slower on average, whereas the nine hard cases improve by about 20%. Collection, training and inference are included. The result identifies the difficulty range in which the ordering overhead can pay off, without establishing a measured CG or tree speedup.</w:t>
      </w:r>
    </w:p>
    <w:p>
      <w:pPr/>
      <w:r>
        <w:rPr>
          <w:rFonts w:ascii="Times New Roman" w:hAnsi="Times New Roman"/>
          <w:b w:val="0"/>
          <w:i w:val="0"/>
          <w:color w:val="000000"/>
        </w:rPr>
        <w:t>Construction is a different action. A model creates a route, independent set or scheduling pattern through successive decisions. Learned vertex scores can guide independent-set sampling, item predictions can bias ant-colony search, and a transformer can propose scheduling sequences (Hijazi et al., 2026; Shen et al., 2022; Xu et al., 2024). If each returned object is feasible and its reduced cost is checked at the current dual, it is a legitimate proposal. Failure can trigger a complete oracle. Graph-coloring and bin-packing-with-conflicts studies include full B&amp;P experiments; the scheduling study evaluates root CG and budgeted objective progress. Shared recovery logic does not make their evidence scopes identical.</w:t>
      </w:r>
    </w:p>
    <w:p>
      <w:pPr/>
      <w:r>
        <w:rPr>
          <w:rFonts w:ascii="Times New Roman" w:hAnsi="Times New Roman"/>
          <w:b w:val="0"/>
          <w:i w:val="0"/>
          <w:color w:val="000000"/>
        </w:rPr>
        <w:t>A time cap changes the claim. Time-limited dynamic programming may be an effective fallback, but failure before the cap cannot certify absence of a useful column (Abouelrous et al., 2025b). Likewise, the constrained-path framework of Jin and Yu stops when a classifier predicts that the incumbent cannot be improved (Jin and Yu, 2023). Its reported 90.47% classification accuracy supports a heuristic stopping decision, not a proof. Tests on 1000 unseen networks with fixed size and nonnegative features do not establish transfer to signed reduced-cost pricing. This supporting study supplies E0 and E1 evidence, not realized CG acceleration.</w:t>
      </w:r>
    </w:p>
    <w:p>
      <w:pPr>
        <w:pStyle w:val="Heading2"/>
      </w:pPr>
      <w:r>
        <w:rPr>
          <w:rFonts w:ascii="Times New Roman" w:hAnsi="Times New Roman"/>
          <w:b/>
          <w:i w:val="0"/>
          <w:color w:val="000000"/>
        </w:rPr>
        <w:t>5.6 L6: Column admission, retention and certified fixing</w:t>
      </w:r>
    </w:p>
    <w:p>
      <w:pPr/>
      <w:r>
        <w:rPr>
          <w:rFonts w:ascii="Times New Roman" w:hAnsi="Times New Roman"/>
          <w:b w:val="0"/>
          <w:i w:val="0"/>
          <w:color w:val="000000"/>
        </w:rPr>
        <w:t>Column generation has already paid to produce a column when an L6 policy acts. Its opportunity is to manage master growth and future progress. Adding many columns can reduce iterations but increase matrix size; admitting too few can cause repeated regeneration. Pools, reduced-cost ranking, diversity and cleanup are the natural classical alternatives.</w:t>
      </w:r>
    </w:p>
    <w:p>
      <w:pPr/>
      <w:r>
        <w:rPr>
          <w:rFonts w:ascii="Times New Roman" w:hAnsi="Times New Roman"/>
          <w:b w:val="0"/>
          <w:i w:val="0"/>
          <w:color w:val="000000"/>
        </w:rPr>
        <w:t>The original supervised column-selection study encountered convergence difficulties when admitting only expert-positive columns and consequently retained additional negative columns (Morabit et al., 2021). The useful regime was one in which master solution time dominated. Reinforcement learning extends selection across iterations through single-column, fixed-batch or variable-batch actions (Chi et al., 2022; Hu et al., 2025; Yuan et al., 2024). Under matched five-column admission, one study reports roughly 6–9% lower total time than a diversity rule across three cutting-stock test sets (Yuan et al., 2024). The comparison isolates a narrower contribution than a multi-column policy against single-column insertion.</w:t>
      </w:r>
    </w:p>
    <w:p>
      <w:pPr/>
      <w:r>
        <w:rPr>
          <w:rFonts w:ascii="Times New Roman" w:hAnsi="Times New Roman"/>
          <w:b w:val="0"/>
          <w:i w:val="0"/>
          <w:color w:val="000000"/>
        </w:rPr>
        <w:t xml:space="preserve">FFCG learns when to stop adding candidates to a batch (Hu et al., 2025). Its STOP action is unavailable before one column is admitted and does not stop CG. FFCG and Greedy-M use the same ten-column candidate pool, but FFCG admits a variable-size subset and Greedy-M admits all ten. The reported time gain is therefore a candidate-pool comparison, not a comparison at a fixed admitted batch size. This is an allocation of master size across iterations, not a guarantee that each batch is globally best.</w:t>
      </w:r>
    </w:p>
    <w:p>
      <w:pPr/>
      <w:r>
        <w:rPr>
          <w:rFonts w:ascii="Times New Roman" w:hAnsi="Times New Roman"/>
          <w:b w:val="0"/>
          <w:i w:val="0"/>
          <w:color w:val="000000"/>
        </w:rPr>
        <w:t>Temporary rejection is recoverable if unrestricted pricing can regenerate the column. Finite convergence also needs a progress rule, particularly when columns can repeatedly leave and reenter the RMP (Fang et al., 2023; Morabit et al., 2021). Section 6 gives one sufficient guard. Removal of a zero-valued variable preserves the current primal solution, but that fact alone does not prove eventual closure.</w:t>
      </w:r>
    </w:p>
    <w:p>
      <w:pPr/>
      <w:r>
        <w:rPr>
          <w:rFonts w:ascii="Times New Roman" w:hAnsi="Times New Roman"/>
          <w:b w:val="0"/>
          <w:i w:val="0"/>
          <w:color w:val="000000"/>
        </w:rPr>
        <w:t xml:space="preserve">Permanent fixing requires stronger information. DeLuxing uses Lagrangian underestimates over an appropriately enumerated pool (Yang, 2025). In its high-reduced-cost case, the incumbent gap argument ensures that an improving integer solution contains at most one high-cost column. All other selected columns then belong to an auxiliary low-cost set. For an auxiliary dual </w:t>
      </w:r>
      <w:r>
        <w:rPr>
          <w:rFonts w:ascii="Times New Roman" w:hAnsi="Times New Roman"/>
          <w:b w:val="0"/>
          <w:i/>
          <w:color w:val="000000"/>
        </w:rPr>
        <w:t>ŷ</w:t>
      </w:r>
      <w:r>
        <w:rPr>
          <w:rFonts w:ascii="Times New Roman" w:hAnsi="Times New Roman"/>
          <w:b w:val="0"/>
          <w:i w:val="0"/>
          <w:color w:val="000000"/>
        </w:rPr>
        <w:t xml:space="preserve"> feasible for that set, a conditional fixing test is</w:t>
      </w:r>
    </w:p>
    <w:p>
      <w:pPr>
        <w:keepLines/>
        <w:spacing w:before="100" w:after="160"/>
        <w:jc w:val="center"/>
      </w:pPr>
      <m:oMath xmlns:mml="http://www.w3.org/1998/Math/MathML">
        <m:sSub>
          <m:e>
            <m:r>
              <w:rPr>
                <w:rFonts w:ascii="Cambria Math" w:hAnsi="Cambria Math"/>
                <w:sz w:val="22"/>
              </w:rPr>
              <m:t>c</m:t>
            </m:r>
          </m:e>
          <m:sub>
            <m:r>
              <w:rPr>
                <w:rFonts w:ascii="Cambria Math" w:hAnsi="Cambria Math"/>
                <w:sz w:val="22"/>
              </w:rPr>
              <m:t>j</m:t>
            </m:r>
          </m:sub>
        </m:sSub>
        <m:r>
          <w:rPr>
            <w:rFonts w:ascii="Cambria Math" w:hAnsi="Cambria Math"/>
            <w:sz w:val="22"/>
          </w:rPr>
          <m:t>+(b−</m:t>
        </m:r>
        <m:sSub>
          <m:e>
            <m:r>
              <w:rPr>
                <w:rFonts w:ascii="Cambria Math" w:hAnsi="Cambria Math"/>
                <w:sz w:val="22"/>
              </w:rPr>
              <m:t>a</m:t>
            </m:r>
          </m:e>
          <m:sub>
            <m:r>
              <w:rPr>
                <w:rFonts w:ascii="Cambria Math" w:hAnsi="Cambria Math"/>
                <w:sz w:val="22"/>
              </w:rPr>
              <m:t>j</m:t>
            </m:r>
          </m:sub>
        </m:sSub>
        <m:sSup>
          <m:e>
            <m:r>
              <w:rPr>
                <w:rFonts w:ascii="Cambria Math" w:hAnsi="Cambria Math"/>
                <w:sz w:val="22"/>
              </w:rPr>
              <m:t>)</m:t>
            </m:r>
          </m:e>
          <m:sup>
            <m:r>
              <m:rPr>
                <m:scr m:val="sans-serif"/>
                <m:sty m:val="p"/>
              </m:rPr>
              <w:rPr>
                <w:rFonts w:ascii="Cambria Math" w:hAnsi="Cambria Math"/>
                <w:sz w:val="22"/>
              </w:rPr>
              <m:t>T</m:t>
            </m:r>
          </m:sup>
        </m:sSup>
        <m:acc>
          <m:accPr>
            <m:chr m:val="̂"/>
          </m:accPr>
          <m:e>
            <m:r>
              <w:rPr>
                <w:rFonts w:ascii="Cambria Math" w:hAnsi="Cambria Math"/>
                <w:sz w:val="22"/>
              </w:rPr>
              <m:t>y</m:t>
            </m:r>
          </m:e>
        </m:acc>
        <m:r>
          <w:rPr>
            <w:rFonts w:ascii="Cambria Math" w:hAnsi="Cambria Math"/>
            <w:sz w:val="22"/>
          </w:rPr>
          <m:t>&gt;UB</m:t>
        </m:r>
        <m:r>
          <w:rPr>
            <w:rFonts w:ascii="Cambria Math" w:hAnsi="Cambria Math"/>
            <w:sz w:val="22"/>
          </w:rPr>
          <m:t>⟹</m:t>
        </m:r>
        <m:r>
          <m:rPr>
            <m:nor/>
          </m:rPr>
          <w:rPr>
            <w:rFonts w:ascii="Cambria Math" w:hAnsi="Cambria Math"/>
            <w:sz w:val="22"/>
          </w:rPr>
          <m:t>column </m:t>
        </m:r>
        <m:r>
          <w:rPr>
            <w:rFonts w:ascii="Cambria Math" w:hAnsi="Cambria Math"/>
            <w:sz w:val="22"/>
          </w:rPr>
          <m:t>j</m:t>
        </m:r>
        <m:r>
          <m:rPr>
            <m:nor/>
          </m:rPr>
          <w:rPr>
            <w:rFonts w:ascii="Cambria Math" w:hAnsi="Cambria Math"/>
            <w:sz w:val="22"/>
          </w:rPr>
          <m:t> cannot belong to an improving integer solution</m:t>
        </m:r>
        <m:r>
          <w:rPr>
            <w:rFonts w:ascii="Cambria Math" w:hAnsi="Cambria Math"/>
            <w:sz w:val="22"/>
          </w:rPr>
          <m:t>.</m:t>
        </m:r>
      </m:oMath>
      <w:r>
        <w:rPr>
          <w:rFonts w:ascii="Times New Roman" w:hAnsi="Times New Roman"/>
          <w:color w:val="000000"/>
          <w:sz w:val="22"/>
        </w:rPr>
        <w:t xml:space="preserve">    (12)</w:t>
      </w:r>
    </w:p>
    <w:p>
      <w:pPr/>
      <w:r>
        <w:rPr>
          <w:rFonts w:ascii="Times New Roman" w:hAnsi="Times New Roman"/>
          <w:b w:val="0"/>
          <w:i w:val="0"/>
          <w:color w:val="000000"/>
        </w:rPr>
        <w:t xml:space="preserve">Here </w:t>
      </w:r>
      <w:r>
        <w:rPr>
          <w:rFonts w:ascii="Times New Roman" w:hAnsi="Times New Roman"/>
          <w:b w:val="0"/>
          <w:i/>
          <w:color w:val="000000"/>
        </w:rPr>
        <w:t>UB</w:t>
      </w:r>
      <w:r>
        <w:rPr>
          <w:rFonts w:ascii="Times New Roman" w:hAnsi="Times New Roman"/>
          <w:b w:val="0"/>
          <w:i w:val="0"/>
          <w:color w:val="000000"/>
        </w:rPr>
        <w:t xml:space="preserve"> is a valid incumbent value, and the row signs and auxiliary feasibility conditions must be respected. The expression bounds the cost after forcing column </w:t>
      </w:r>
      <w:r>
        <w:rPr>
          <w:rFonts w:ascii="Times New Roman" w:hAnsi="Times New Roman"/>
          <w:b w:val="0"/>
          <w:i/>
          <w:color w:val="000000"/>
        </w:rPr>
        <w:t>j</w:t>
      </w:r>
      <w:r>
        <w:rPr>
          <w:rFonts w:ascii="Times New Roman" w:hAnsi="Times New Roman"/>
          <w:b w:val="0"/>
          <w:i w:val="0"/>
          <w:color w:val="000000"/>
        </w:rPr>
        <w:t xml:space="preserve"> to one. The auxiliary dual need not be feasible for every original column because the gap argument has already restricted the remaining columns. Low-cost columns require a different compatibility correction. Applying Eq. (12) to an arbitrary learned subset would lose the premise that makes it safe.</w:t>
      </w:r>
    </w:p>
    <w:p>
      <w:pPr/>
      <w:r>
        <w:rPr>
          <w:rFonts w:ascii="Times New Roman" w:hAnsi="Times New Roman"/>
          <w:b w:val="0"/>
          <w:i w:val="0"/>
          <w:color w:val="000000"/>
        </w:rPr>
        <w:t>Clustering in DeLuxing searches for effective auxiliary duals; the fixing inequality supplies the guarantee. Its full-solver experiments also separate fixing from an added primal heuristic. Enumeration and incumbent quality affect when the mechanism becomes useful, so its gains cannot be assigned to learned elimination or assumed available before an adequate column pool exists.</w:t>
      </w:r>
    </w:p>
    <w:p>
      <w:pPr>
        <w:pStyle w:val="Heading1"/>
      </w:pPr>
      <w:r>
        <w:rPr>
          <w:rFonts w:ascii="Times New Roman" w:hAnsi="Times New Roman"/>
          <w:b/>
          <w:i w:val="0"/>
          <w:color w:val="000000"/>
        </w:rPr>
        <w:t>6 Certificates, recovery and complete search</w:t>
      </w:r>
    </w:p>
    <w:p>
      <w:pPr/>
      <w:r>
        <w:rPr>
          <w:rFonts w:ascii="Times New Roman" w:hAnsi="Times New Roman"/>
          <w:b w:val="0"/>
          <w:i w:val="0"/>
          <w:color w:val="000000"/>
        </w:rPr>
        <w:t>Heuristic proposals can accelerate an exact method when the solver separately verifies accepted columns, valid bounds and stopping decisions under the current node model.</w:t>
      </w:r>
    </w:p>
    <w:p>
      <w:pPr>
        <w:pStyle w:val="Heading2"/>
      </w:pPr>
      <w:r>
        <w:rPr>
          <w:rFonts w:ascii="Times New Roman" w:hAnsi="Times New Roman"/>
          <w:b/>
          <w:i w:val="0"/>
          <w:color w:val="000000"/>
        </w:rPr>
        <w:t>6.1 Accept proposals; certify stopping decisions</w:t>
      </w:r>
    </w:p>
    <w:p>
      <w:pPr/>
      <w:r>
        <w:rPr>
          <w:rFonts w:ascii="Times New Roman" w:hAnsi="Times New Roman"/>
          <w:b w:val="0"/>
          <w:i w:val="0"/>
          <w:color w:val="000000"/>
        </w:rPr>
        <w:t>A proposed column does not need to be the pricing optimum. It needs to be legal under the current node model and, when used for improvement, have verified negative reduced cost at the current dual. This permits inexpensive learned construction and heuristic search inside exact methods. The stronger obligation arises when the solver wishes to stop searching or raise a bound. Figure 2 separates those decisions. A failed proposal triggers either another valid bound calculation or restored search. Nonnegative lower bounds covering all pricing blocks at the same current state can certify closure. An interrupted call without that coverage leaves the node unresolved. Neither a classifier's confidence nor a routine's name substitutes for this test.</w:t>
      </w:r>
    </w:p>
    <w:p>
      <w:pPr/>
      <w:r>
        <w:rPr>
          <w:rFonts w:ascii="Times New Roman" w:hAnsi="Times New Roman"/>
          <w:b w:val="0"/>
          <w:i w:val="0"/>
          <w:color w:val="000000"/>
        </w:rPr>
        <w:t>The principle also applies to feasibility. If the RMP is infeasible, ordinary reduced-cost closure is not the immediate target. Phase-I or Farkas pricing must determine whether missing columns can repair feasibility. A positive restricted artificial objective cannot by itself prove the full node infeasible (Petris et al., 2025; Vanderbeck, 2005; Zhang et al., 2026).</w:t>
      </w:r>
    </w:p>
    <w:p>
      <w:pPr>
        <w:keepNext/>
        <w:keepLines/>
        <w:spacing w:before="120" w:after="60"/>
        <w:jc w:val="center"/>
      </w:pPr>
      <w:r>
        <w:drawing>
          <wp:inline xmlns:a="http://schemas.openxmlformats.org/drawingml/2006/main" xmlns:pic="http://schemas.openxmlformats.org/drawingml/2006/picture">
            <wp:extent cx="4343400" cy="3783893"/>
            <wp:docPr id="2" name="Picture 2" descr="F2_recovery_flow"/>
            <wp:cNvGraphicFramePr>
              <a:graphicFrameLocks noChangeAspect="1"/>
            </wp:cNvGraphicFramePr>
            <a:graphic>
              <a:graphicData uri="http://schemas.openxmlformats.org/drawingml/2006/picture">
                <pic:pic>
                  <pic:nvPicPr>
                    <pic:cNvPr id="0" name="F2_recovery_flow.png"/>
                    <pic:cNvPicPr/>
                  </pic:nvPicPr>
                  <pic:blipFill>
                    <a:blip r:embed="rId11"/>
                    <a:stretch>
                      <a:fillRect/>
                    </a:stretch>
                  </pic:blipFill>
                  <pic:spPr>
                    <a:xfrm>
                      <a:off x="0" y="0"/>
                      <a:ext cx="4343400" cy="3783893"/>
                    </a:xfrm>
                    <a:prstGeom prst="rect"/>
                  </pic:spPr>
                </pic:pic>
              </a:graphicData>
            </a:graphic>
          </wp:inline>
        </w:drawing>
      </w:r>
    </w:p>
    <w:p>
      <w:pPr>
        <w:pStyle w:val="Caption"/>
        <w:keepLines/>
      </w:pPr>
      <w:r>
        <w:rPr>
          <w:b/>
        </w:rPr>
        <w:t xml:space="preserve">Figure 2. </w:t>
      </w:r>
      <w:r>
        <w:rPr>
          <w:b w:val="0"/>
        </w:rPr>
        <w:t>From a checked proposal to valid LP closure. A proposed column enters the RMP only after a legality and reduced-cost check at the current dual; closure requires a valid full-domain lower bound for every pricing block. Recovery (G2) returns columns or bounds, whereas an interrupted or unchecked return keeps only the last valid bound, for example Eq. (3). An infeasible RMP first requires Phase-I or Farkas pricing (Section 6.1). Python rendering used code assisted by OpenAI GPT-series models via Codex and Notion AI. Exact model versions were not recorded.</w:t>
      </w:r>
    </w:p>
    <w:p>
      <w:pPr>
        <w:pStyle w:val="Heading2"/>
      </w:pPr>
      <w:r>
        <w:rPr>
          <w:rFonts w:ascii="Times New Roman" w:hAnsi="Times New Roman"/>
          <w:b/>
          <w:i w:val="0"/>
          <w:color w:val="000000"/>
        </w:rPr>
        <w:t>6.2 Recovery has a domain, a trigger and a cost</w:t>
      </w:r>
    </w:p>
    <w:p>
      <w:pPr/>
      <w:r>
        <w:rPr>
          <w:rFonts w:ascii="Times New Roman" w:hAnsi="Times New Roman"/>
          <w:b w:val="0"/>
          <w:i w:val="0"/>
          <w:color w:val="000000"/>
        </w:rPr>
        <w:t>An auditable G2 mechanism specifies four things: the heuristic proposal or restricted object, the trigger for recovery, the full domain restored, and the condition used to terminate. In the running example, those objects are the two intercustomer arcs, failure of restricted pricing, the complete current routing graph, and nonnegative full-domain reduced costs after reoptimization. Restoring only a local neighborhood would not repair the example if both necessary arcs remained absent.</w:t>
      </w:r>
    </w:p>
    <w:p>
      <w:pPr/>
      <w:r>
        <w:rPr>
          <w:rFonts w:ascii="Times New Roman" w:hAnsi="Times New Roman"/>
          <w:b w:val="0"/>
          <w:i w:val="0"/>
          <w:color w:val="000000"/>
        </w:rPr>
        <w:t>The word current matters. A route may remain feasible after the dual changes, while its stored reduced cost becomes obsolete. New cuts or branches can also alter its coefficients or legality. Similarly, a full-domain certificate at an old dual does not automatically close the new RMP. Certified subproblem filters can justify reuse under quantified dual changes; otherwise coverage must be renewed (Bulaich Mehamdi et al., 2025; Shan et al., 2026).</w:t>
      </w:r>
    </w:p>
    <w:p>
      <w:pPr/>
      <w:r>
        <w:rPr>
          <w:rFonts w:ascii="Times New Roman" w:hAnsi="Times New Roman"/>
          <w:b w:val="0"/>
          <w:i w:val="0"/>
          <w:color w:val="000000"/>
        </w:rPr>
        <w:t xml:space="preserve">Recovery should enter the optimization target. For a decision </w:t>
      </w:r>
      <w:r>
        <w:rPr>
          <w:rFonts w:ascii="Times New Roman" w:hAnsi="Times New Roman"/>
          <w:b w:val="0"/>
          <w:i/>
          <w:color w:val="000000"/>
        </w:rPr>
        <w:t>a</w:t>
      </w:r>
      <w:r>
        <w:rPr>
          <w:rFonts w:ascii="Times New Roman" w:hAnsi="Times New Roman"/>
          <w:b w:val="0"/>
          <w:i w:val="0"/>
          <w:color w:val="000000"/>
        </w:rPr>
        <w:t xml:space="preserve"> in state </w:t>
      </w:r>
      <w:r>
        <w:rPr>
          <w:rFonts w:ascii="Times New Roman" w:hAnsi="Times New Roman"/>
          <w:b w:val="0"/>
          <w:i/>
          <w:color w:val="000000"/>
        </w:rPr>
        <w:t>s</w:t>
      </w:r>
      <w:r>
        <w:rPr>
          <w:rFonts w:ascii="Times New Roman" w:hAnsi="Times New Roman"/>
          <w:b w:val="0"/>
          <w:i w:val="0"/>
          <w:color w:val="000000"/>
        </w:rPr>
        <w:t>, an illustrative accounting is</w:t>
      </w:r>
    </w:p>
    <w:p>
      <w:pPr>
        <w:keepLines/>
        <w:spacing w:before="100" w:after="160"/>
        <w:jc w:val="center"/>
      </w:pPr>
      <m:oMath xmlns:mml="http://www.w3.org/1998/Math/MathML">
        <m:r>
          <m:rPr>
            <m:scr m:val="double-struck"/>
            <m:sty m:val="p"/>
          </m:rPr>
          <w:rPr>
            <w:rFonts w:ascii="Cambria Math" w:hAnsi="Cambria Math"/>
            <w:sz w:val="22"/>
          </w:rPr>
          <m:t>E</m:t>
        </m:r>
        <m:r>
          <w:rPr>
            <w:rFonts w:ascii="Cambria Math" w:hAnsi="Cambria Math"/>
            <w:sz w:val="22"/>
          </w:rPr>
          <m:t>[C(a)∣s]=</m:t>
        </m:r>
        <m:sSub>
          <m:e>
            <m:r>
              <w:rPr>
                <w:rFonts w:ascii="Cambria Math" w:hAnsi="Cambria Math"/>
                <w:sz w:val="22"/>
              </w:rPr>
              <m:t>C</m:t>
            </m:r>
          </m:e>
          <m:sub>
            <m:r>
              <w:rPr>
                <w:rFonts w:ascii="Cambria Math" w:hAnsi="Cambria Math"/>
                <w:sz w:val="22"/>
              </w:rPr>
              <m:t>f</m:t>
            </m:r>
          </m:sub>
        </m:sSub>
        <m:r>
          <w:rPr>
            <w:rFonts w:ascii="Cambria Math" w:hAnsi="Cambria Math"/>
            <w:sz w:val="22"/>
          </w:rPr>
          <m:t>+</m:t>
        </m:r>
        <m:sSub>
          <m:e>
            <m:r>
              <w:rPr>
                <w:rFonts w:ascii="Cambria Math" w:hAnsi="Cambria Math"/>
                <w:sz w:val="22"/>
              </w:rPr>
              <m:t>C</m:t>
            </m:r>
          </m:e>
          <m:sub>
            <m:r>
              <w:rPr>
                <w:rFonts w:ascii="Cambria Math" w:hAnsi="Cambria Math"/>
                <w:sz w:val="22"/>
              </w:rPr>
              <m:t>i</m:t>
            </m:r>
          </m:sub>
        </m:sSub>
        <m:r>
          <w:rPr>
            <w:rFonts w:ascii="Cambria Math" w:hAnsi="Cambria Math"/>
            <w:sz w:val="22"/>
          </w:rPr>
          <m:t>+</m:t>
        </m:r>
        <m:r>
          <m:rPr>
            <m:scr m:val="double-struck"/>
            <m:sty m:val="p"/>
          </m:rPr>
          <w:rPr>
            <w:rFonts w:ascii="Cambria Math" w:hAnsi="Cambria Math"/>
            <w:sz w:val="22"/>
          </w:rPr>
          <m:t>E</m:t>
        </m:r>
        <m:r>
          <w:rPr>
            <w:rFonts w:ascii="Cambria Math" w:hAnsi="Cambria Math"/>
            <w:sz w:val="22"/>
          </w:rPr>
          <m:t>[</m:t>
        </m:r>
        <m:sSub>
          <m:e>
            <m:r>
              <w:rPr>
                <w:rFonts w:ascii="Cambria Math" w:hAnsi="Cambria Math"/>
                <w:sz w:val="22"/>
              </w:rPr>
              <m:t>C</m:t>
            </m:r>
          </m:e>
          <m:sub>
            <m:r>
              <w:rPr>
                <w:rFonts w:ascii="Cambria Math" w:hAnsi="Cambria Math"/>
                <w:sz w:val="22"/>
              </w:rPr>
              <m:t>s</m:t>
            </m:r>
          </m:sub>
        </m:sSub>
        <m:r>
          <w:rPr>
            <w:rFonts w:ascii="Cambria Math" w:hAnsi="Cambria Math"/>
            <w:sz w:val="22"/>
          </w:rPr>
          <m:t>(a)+</m:t>
        </m:r>
        <m:sSub>
          <m:e>
            <m:r>
              <w:rPr>
                <w:rFonts w:ascii="Cambria Math" w:hAnsi="Cambria Math"/>
                <w:sz w:val="22"/>
              </w:rPr>
              <m:t>𝕀</m:t>
            </m:r>
          </m:e>
          <m:sub>
            <m:r>
              <w:rPr>
                <w:rFonts w:ascii="Cambria Math" w:hAnsi="Cambria Math"/>
                <w:sz w:val="22"/>
              </w:rPr>
              <m:t>R</m:t>
            </m:r>
          </m:sub>
        </m:sSub>
        <m:sSub>
          <m:e>
            <m:r>
              <w:rPr>
                <w:rFonts w:ascii="Cambria Math" w:hAnsi="Cambria Math"/>
                <w:sz w:val="22"/>
              </w:rPr>
              <m:t>C</m:t>
            </m:r>
          </m:e>
          <m:sub>
            <m:r>
              <w:rPr>
                <w:rFonts w:ascii="Cambria Math" w:hAnsi="Cambria Math"/>
                <w:sz w:val="22"/>
              </w:rPr>
              <m:t>r</m:t>
            </m:r>
          </m:sub>
        </m:sSub>
        <m:r>
          <w:rPr>
            <w:rFonts w:ascii="Cambria Math" w:hAnsi="Cambria Math"/>
            <w:sz w:val="22"/>
          </w:rPr>
          <m:t>(a)+</m:t>
        </m:r>
        <m:sSub>
          <m:e>
            <m:r>
              <w:rPr>
                <w:rFonts w:ascii="Cambria Math" w:hAnsi="Cambria Math"/>
                <w:sz w:val="22"/>
              </w:rPr>
              <m:t>C</m:t>
            </m:r>
          </m:e>
          <m:sub>
            <m:r>
              <m:rPr>
                <m:sty m:val="p"/>
              </m:rPr>
              <w:rPr>
                <w:rFonts w:ascii="Cambria Math" w:hAnsi="Cambria Math"/>
                <w:sz w:val="22"/>
              </w:rPr>
              <m:t>post</m:t>
            </m:r>
          </m:sub>
        </m:sSub>
        <m:r>
          <w:rPr>
            <w:rFonts w:ascii="Cambria Math" w:hAnsi="Cambria Math"/>
            <w:sz w:val="22"/>
          </w:rPr>
          <m:t>∣s].</m:t>
        </m:r>
      </m:oMath>
      <w:r>
        <w:rPr>
          <w:rFonts w:ascii="Times New Roman" w:hAnsi="Times New Roman"/>
          <w:color w:val="000000"/>
          <w:sz w:val="22"/>
        </w:rPr>
        <w:t xml:space="preserve">    (13)</w:t>
      </w:r>
    </w:p>
    <w:p>
      <w:pPr/>
      <w:r>
        <w:rPr>
          <w:rFonts w:ascii="Times New Roman" w:hAnsi="Times New Roman"/>
          <w:b w:val="0"/>
          <w:i w:val="0"/>
          <w:color w:val="000000"/>
        </w:rPr>
        <w:t xml:space="preserve">Here </w:t>
      </w:r>
      <w:r>
        <w:rPr>
          <w:rFonts w:ascii="Times New Roman" w:hAnsi="Times New Roman"/>
          <w:b w:val="0"/>
          <w:i/>
          <w:color w:val="000000"/>
        </w:rPr>
        <w:t>C</w:t>
      </w:r>
      <w:r>
        <w:rPr>
          <w:rFonts w:ascii="Times New Roman" w:hAnsi="Times New Roman"/>
          <w:b w:val="0"/>
          <w:i w:val="0"/>
          <w:color w:val="000000"/>
          <w:vertAlign w:val="subscript"/>
        </w:rPr>
        <w:t>f</w:t>
      </w:r>
      <w:r>
        <w:rPr>
          <w:rFonts w:ascii="Times New Roman" w:hAnsi="Times New Roman"/>
          <w:b w:val="0"/>
          <w:i w:val="0"/>
          <w:color w:val="000000"/>
        </w:rPr>
        <w:t xml:space="preserve"> and </w:t>
      </w:r>
      <w:r>
        <w:rPr>
          <w:rFonts w:ascii="Times New Roman" w:hAnsi="Times New Roman"/>
          <w:b w:val="0"/>
          <w:i/>
          <w:color w:val="000000"/>
        </w:rPr>
        <w:t>C</w:t>
      </w:r>
      <w:r>
        <w:rPr>
          <w:rFonts w:ascii="Times New Roman" w:hAnsi="Times New Roman"/>
          <w:b w:val="0"/>
          <w:i w:val="0"/>
          <w:color w:val="000000"/>
          <w:vertAlign w:val="subscript"/>
        </w:rPr>
        <w:t>i</w:t>
      </w:r>
      <w:r>
        <w:rPr>
          <w:rFonts w:ascii="Times New Roman" w:hAnsi="Times New Roman"/>
          <w:b w:val="0"/>
          <w:i w:val="0"/>
          <w:color w:val="000000"/>
        </w:rPr>
        <w:t xml:space="preserve"> are feature and inference costs, </w:t>
      </w:r>
      <w:r>
        <w:rPr>
          <w:rFonts w:ascii="Times New Roman" w:hAnsi="Times New Roman"/>
          <w:b w:val="0"/>
          <w:i/>
          <w:color w:val="000000"/>
        </w:rPr>
        <w:t>C</w:t>
      </w:r>
      <w:r>
        <w:rPr>
          <w:rFonts w:ascii="Times New Roman" w:hAnsi="Times New Roman"/>
          <w:b w:val="0"/>
          <w:i w:val="0"/>
          <w:color w:val="000000"/>
          <w:vertAlign w:val="subscript"/>
        </w:rPr>
        <w:t>s</w:t>
      </w:r>
      <w:r>
        <w:rPr>
          <w:rFonts w:ascii="Times New Roman" w:hAnsi="Times New Roman"/>
          <w:b w:val="0"/>
          <w:i w:val="0"/>
          <w:color w:val="000000"/>
        </w:rPr>
        <w:t xml:space="preserve"> is initial search cost, and </w:t>
      </w:r>
      <w:r>
        <w:rPr>
          <w:rFonts w:ascii="Times New Roman" w:hAnsi="Times New Roman"/>
          <w:b w:val="0"/>
          <w:i/>
          <w:color w:val="000000"/>
        </w:rPr>
        <w:t>C</w:t>
      </w:r>
      <w:r>
        <w:rPr>
          <w:rFonts w:ascii="Times New Roman" w:hAnsi="Times New Roman"/>
          <w:b w:val="0"/>
          <w:i w:val="0"/>
          <w:color w:val="000000"/>
          <w:vertAlign w:val="subscript"/>
        </w:rPr>
        <w:t>r</w:t>
      </w:r>
      <w:r>
        <w:rPr>
          <w:rFonts w:ascii="Times New Roman" w:hAnsi="Times New Roman"/>
          <w:b w:val="0"/>
          <w:i w:val="0"/>
          <w:color w:val="000000"/>
        </w:rPr>
        <w:t xml:space="preserve"> is recovery cost. The indicator equals one when recovery is invoked and zero otherwise. </w:t>
      </w:r>
      <w:r>
        <w:rPr>
          <w:rFonts w:ascii="Times New Roman" w:hAnsi="Times New Roman"/>
          <w:b w:val="0"/>
          <w:i/>
          <w:color w:val="000000"/>
        </w:rPr>
        <w:t>C</w:t>
      </w:r>
      <w:r>
        <w:rPr>
          <w:rFonts w:ascii="Times New Roman" w:hAnsi="Times New Roman"/>
          <w:b w:val="0"/>
          <w:i w:val="0"/>
          <w:color w:val="000000"/>
          <w:vertAlign w:val="subscript"/>
        </w:rPr>
        <w:t>post</w:t>
      </w:r>
      <w:r>
        <w:rPr>
          <w:rFonts w:ascii="Times New Roman" w:hAnsi="Times New Roman"/>
          <w:b w:val="0"/>
          <w:i w:val="0"/>
          <w:color w:val="000000"/>
        </w:rPr>
        <w:t xml:space="preserve"> includes later master solves and certification, excluding work already counted. The recovery indicator and cost can depend strongly on the state and chosen restriction. Eq. (13) is a design objective, not an estimated relationship from the reviewed studies. It shows why an average recovery probability multiplied by an unconditional average exact-call cost can be misleading: the failures that trigger recovery may be precisely the hardest states. A filter can save most early label extensions and still lose at final closure.</w:t>
      </w:r>
    </w:p>
    <w:p>
      <w:pPr/>
      <w:r>
        <w:rPr>
          <w:rFonts w:ascii="Times New Roman" w:hAnsi="Times New Roman"/>
          <w:b w:val="0"/>
          <w:i w:val="0"/>
          <w:color w:val="000000"/>
        </w:rPr>
        <w:t xml:space="preserve">Column deletion adds a progress obligation. One sufficient guard is a </w:t>
      </w:r>
      <w:r>
        <w:rPr>
          <w:rFonts w:ascii="Times New Roman" w:hAnsi="Times New Roman"/>
          <w:b/>
          <w:i w:val="0"/>
          <w:color w:val="000000"/>
        </w:rPr>
        <w:t>finite deletion budget</w:t>
      </w:r>
      <w:r>
        <w:rPr>
          <w:rFonts w:ascii="Times New Roman" w:hAnsi="Times New Roman"/>
          <w:b w:val="0"/>
          <w:i w:val="0"/>
          <w:color w:val="000000"/>
        </w:rPr>
        <w:t xml:space="preserve"> followed by a no-deletion tail. In that tail, solve each feasible RMP to optimality and use complete pricing to add at least one new negative-reduced-cost column whenever one exists. Under a finite legal column set and terminating master and pricing solves, every nonclosing iteration adds a previously absent column: an existing RMP column cannot have negative reduced cost at an optimal RMP dual. Since retained columns are no longer deleted, only finitely many such iterations are possible. Full pricing then closes the LP. This is a sufficient design condition, not a claim that every reviewed selector implements it or that exact arithmetic automatically describes a floating-point solver (Morabit et al., 2021; Yuan et al., 2024).</w:t>
      </w:r>
    </w:p>
    <w:p>
      <w:pPr>
        <w:pStyle w:val="Heading2"/>
      </w:pPr>
      <w:r>
        <w:rPr>
          <w:rFonts w:ascii="Times New Roman" w:hAnsi="Times New Roman"/>
          <w:b/>
          <w:i w:val="0"/>
          <w:color w:val="000000"/>
        </w:rPr>
        <w:t>6.3 A local protection does not certify the whole algorithm</w:t>
      </w:r>
    </w:p>
    <w:p>
      <w:pPr/>
      <w:r>
        <w:rPr>
          <w:rFonts w:ascii="Times New Roman" w:hAnsi="Times New Roman"/>
          <w:b w:val="0"/>
          <w:i w:val="0"/>
          <w:color w:val="000000"/>
        </w:rPr>
        <w:t>The guarantee labels summarize distinct arguments. G1 retains the needed search while changing an admissible order; G3 proves that particular work is unnecessary; G4 changes the solved relaxation or stabilizes its trajectory under explicit bound or recovery conditions. Table 3 gives representative obligations.</w:t>
      </w:r>
    </w:p>
    <w:p>
      <w:pPr/>
      <w:r>
        <w:rPr>
          <w:rFonts w:ascii="Times New Roman" w:hAnsi="Times New Roman"/>
          <w:b w:val="0"/>
          <w:i w:val="0"/>
          <w:color w:val="000000"/>
        </w:rPr>
        <w:t>Composition needs its own check. A loading-feasibility verifier does not validate a separate approximate dominance test (Zhang et al., 2022). A safe arc bound must include the dual contributions of active branch and cut rows. A stabilization predictor can guide discovery while certification still uses the raw RMP dual. A complete root LP followed by an integer RMP does not become complete integer optimization simply because its pricing was exact.</w:t>
      </w:r>
    </w:p>
    <w:p>
      <w:pPr/>
      <w:r>
        <w:rPr>
          <w:rFonts w:ascii="Times New Roman" w:hAnsi="Times New Roman"/>
          <w:b w:val="0"/>
          <w:i w:val="0"/>
          <w:color w:val="000000"/>
        </w:rPr>
        <w:t>Numerical safeguards can be substantive. The unit-commitment certificate requires a one-sided RMP error budget and trusted pricing lower endpoints at the same raw dual (Zhang et al., 2026). Setting a solver tolerance is not itself proof that this error budget holds. The source distinguishes zero-tolerance finite termination from positive-tolerance validity for the nodes and trees that actually resolve. These are different statements about correctness and completion.</w:t>
      </w:r>
    </w:p>
    <w:p>
      <w:pPr/>
      <w:r>
        <w:rPr>
          <w:rFonts w:ascii="Times New Roman" w:hAnsi="Times New Roman"/>
          <w:b w:val="0"/>
          <w:i w:val="0"/>
          <w:color w:val="000000"/>
        </w:rPr>
        <w:t>For tree search, every necessary child must remain represented and every pruning decision needs a valid reason. A learned priority must not starve unresolved nodes indefinitely. A trial-child score may be approximate if it is used only to choose a valid branch, but an approximate score cannot also be treated as a child lower bound without justification (Furian et al., 2021; You et al., 2026b). Exact integer completion by exhaustive eligible-column enumeration has a different proof structure and should retain its own description (Baldacci et al., 2011; Muter and Öncan, 2015).</w:t>
      </w:r>
    </w:p>
    <w:p>
      <w:pPr>
        <w:pStyle w:val="Caption"/>
        <w:keepNext/>
        <w:keepLines/>
      </w:pPr>
      <w:r>
        <w:rPr>
          <w:rFonts w:ascii="Times New Roman" w:hAnsi="Times New Roman"/>
          <w:b/>
          <w:i w:val="0"/>
          <w:color w:val="000000"/>
        </w:rPr>
        <w:t>Table 3. Representative guarantee conditions. Labels apply to the stated variant, not automatically to every stage of a paper.</w:t>
      </w:r>
    </w:p>
    <w:tbl>
      <w:tblPr>
        <w:tblW w:type="auto" w:w="0"/>
        <w:jc w:val="center"/>
        <w:tblLayout w:type="fixed"/>
        <w:tblLook w:val="0000" w:firstRow="0" w:lastRow="0" w:firstColumn="0" w:lastColumn="0" w:noHBand="1" w:noVBand="1"/>
        <w:tblBorders>
          <w:top w:val="single" w:sz="8" w:color="000000"/>
          <w:left w:val="nil"/>
          <w:bottom w:val="single" w:sz="8" w:color="000000"/>
          <w:right w:val="nil"/>
          <w:insideH w:val="nil"/>
          <w:insideV w:val="nil"/>
          <w:start w:val="nil"/>
          <w:end w:val="nil"/>
        </w:tblBorders>
        <w:tblLayout w:type="fixed"/>
        <w:tblCellMar>
          <w:top w:w="70" w:type="dxa"/>
          <w:bottom w:w="70" w:type="dxa"/>
          <w:left w:w="85" w:type="dxa"/>
          <w:right w:w="85" w:type="dxa"/>
        </w:tblCellMar>
      </w:tblPr>
      <w:tblGrid>
        <w:gridCol w:w="2448"/>
        <w:gridCol w:w="3672"/>
        <w:gridCol w:w="3240"/>
      </w:tblGrid>
      <w:tr>
        <w:trPr>
          <w:cantSplit/>
          <w:tblHeader w:val="true"/>
        </w:trPr>
        <w:tc>
          <w:tcPr>
            <w:tcW w:type="dxa" w:w="2448"/>
            <w:vAlign w:val="center"/>
            <w:tcBorders>
              <w:bottom w:val="single" w:sz="4" w:color="000000"/>
            </w:tcBorders>
          </w:tcPr>
          <w:p>
            <w:pPr>
              <w:keepNext/>
              <w:widowControl w:val="0"/>
              <w:spacing w:after="0" w:line="245" w:lineRule="auto"/>
            </w:pPr>
            <w:r>
              <w:rPr>
                <w:rFonts w:ascii="Times New Roman" w:hAnsi="Times New Roman"/>
                <w:b/>
                <w:i w:val="0"/>
                <w:color w:val="000000"/>
                <w:sz w:val="19"/>
              </w:rPr>
              <w:t>Variant and label</w:t>
            </w:r>
          </w:p>
        </w:tc>
        <w:tc>
          <w:tcPr>
            <w:tcW w:type="dxa" w:w="3672"/>
            <w:vAlign w:val="center"/>
            <w:tcBorders>
              <w:bottom w:val="single" w:sz="4" w:color="000000"/>
            </w:tcBorders>
          </w:tcPr>
          <w:p>
            <w:pPr>
              <w:keepNext/>
              <w:widowControl w:val="0"/>
              <w:spacing w:after="0" w:line="245" w:lineRule="auto"/>
            </w:pPr>
            <w:r>
              <w:rPr>
                <w:rFonts w:ascii="Times New Roman" w:hAnsi="Times New Roman"/>
                <w:b/>
                <w:i w:val="0"/>
                <w:color w:val="000000"/>
                <w:sz w:val="19"/>
              </w:rPr>
              <w:t>What supports the guarantee</w:t>
            </w:r>
          </w:p>
        </w:tc>
        <w:tc>
          <w:tcPr>
            <w:tcW w:type="dxa" w:w="3240"/>
            <w:vAlign w:val="center"/>
            <w:tcBorders>
              <w:bottom w:val="single" w:sz="4" w:color="000000"/>
            </w:tcBorders>
          </w:tcPr>
          <w:p>
            <w:pPr>
              <w:keepNext/>
              <w:widowControl w:val="0"/>
              <w:spacing w:after="0" w:line="245" w:lineRule="auto"/>
            </w:pPr>
            <w:r>
              <w:rPr>
                <w:rFonts w:ascii="Times New Roman" w:hAnsi="Times New Roman"/>
                <w:b/>
                <w:i w:val="0"/>
                <w:color w:val="000000"/>
                <w:sz w:val="19"/>
              </w:rPr>
              <w:t>Boundary</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Learned pricing order, G1 (Koutecká et al., 2025; Shan et al., 2026)</w:t>
            </w:r>
          </w:p>
        </w:tc>
        <w:tc>
          <w:tcPr>
            <w:tcW w:type="dxa" w:w="3672"/>
            <w:vAlign w:val="center"/>
          </w:tcPr>
          <w:p>
            <w:pPr>
              <w:keepNext w:val="0"/>
              <w:widowControl w:val="0"/>
              <w:spacing w:after="0" w:line="245" w:lineRule="auto"/>
            </w:pPr>
            <w:r>
              <w:rPr>
                <w:rFonts w:ascii="Times New Roman" w:hAnsi="Times New Roman"/>
                <w:b w:val="0"/>
                <w:i w:val="0"/>
                <w:color w:val="000000"/>
                <w:sz w:val="19"/>
              </w:rPr>
              <w:t>Retain complete block list and certify all relevant subproblems at closure</w:t>
            </w:r>
          </w:p>
        </w:tc>
        <w:tc>
          <w:tcPr>
            <w:tcW w:type="dxa" w:w="3240"/>
            <w:vAlign w:val="center"/>
          </w:tcPr>
          <w:p>
            <w:pPr>
              <w:keepNext w:val="0"/>
              <w:widowControl w:val="0"/>
              <w:spacing w:after="0" w:line="245" w:lineRule="auto"/>
            </w:pPr>
            <w:r>
              <w:rPr>
                <w:rFonts w:ascii="Times New Roman" w:hAnsi="Times New Roman"/>
                <w:b w:val="0"/>
                <w:i w:val="0"/>
                <w:color w:val="000000"/>
                <w:sz w:val="19"/>
              </w:rPr>
              <w:t>Earlier successful or stale calls do not close the current node</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Graph restriction with restoration, G2 (Morabit et al., 2023)</w:t>
            </w:r>
          </w:p>
        </w:tc>
        <w:tc>
          <w:tcPr>
            <w:tcW w:type="dxa" w:w="3672"/>
            <w:vAlign w:val="center"/>
          </w:tcPr>
          <w:p>
            <w:pPr>
              <w:keepNext w:val="0"/>
              <w:widowControl w:val="0"/>
              <w:spacing w:after="0" w:line="245" w:lineRule="auto"/>
            </w:pPr>
            <w:r>
              <w:rPr>
                <w:rFonts w:ascii="Times New Roman" w:hAnsi="Times New Roman"/>
                <w:b w:val="0"/>
                <w:i w:val="0"/>
                <w:color w:val="000000"/>
                <w:sz w:val="19"/>
              </w:rPr>
              <w:t>Final pricing on the complete graph</w:t>
            </w:r>
          </w:p>
        </w:tc>
        <w:tc>
          <w:tcPr>
            <w:tcW w:type="dxa" w:w="3240"/>
            <w:vAlign w:val="center"/>
          </w:tcPr>
          <w:p>
            <w:pPr>
              <w:keepNext w:val="0"/>
              <w:widowControl w:val="0"/>
              <w:spacing w:after="0" w:line="245" w:lineRule="auto"/>
            </w:pPr>
            <w:r>
              <w:rPr>
                <w:rFonts w:ascii="Times New Roman" w:hAnsi="Times New Roman"/>
                <w:b w:val="0"/>
                <w:i w:val="0"/>
                <w:color w:val="000000"/>
                <w:sz w:val="19"/>
              </w:rPr>
              <w:t>Guarantee is for the modeled route relaxation; restoration time counts</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Learned construction, G2 (Shen et al., 2022; Xu et al., 2024)</w:t>
            </w:r>
          </w:p>
        </w:tc>
        <w:tc>
          <w:tcPr>
            <w:tcW w:type="dxa" w:w="3672"/>
            <w:vAlign w:val="center"/>
          </w:tcPr>
          <w:p>
            <w:pPr>
              <w:keepNext w:val="0"/>
              <w:widowControl w:val="0"/>
              <w:spacing w:after="0" w:line="245" w:lineRule="auto"/>
            </w:pPr>
            <w:r>
              <w:rPr>
                <w:rFonts w:ascii="Times New Roman" w:hAnsi="Times New Roman"/>
                <w:b w:val="0"/>
                <w:i w:val="0"/>
                <w:color w:val="000000"/>
                <w:sz w:val="19"/>
              </w:rPr>
              <w:t>Check feasibility and reduced cost; complete oracle after proposal failure</w:t>
            </w:r>
          </w:p>
        </w:tc>
        <w:tc>
          <w:tcPr>
            <w:tcW w:type="dxa" w:w="3240"/>
            <w:vAlign w:val="center"/>
          </w:tcPr>
          <w:p>
            <w:pPr>
              <w:keepNext w:val="0"/>
              <w:widowControl w:val="0"/>
              <w:spacing w:after="0" w:line="245" w:lineRule="auto"/>
            </w:pPr>
            <w:r>
              <w:rPr>
                <w:rFonts w:ascii="Times New Roman" w:hAnsi="Times New Roman"/>
                <w:b w:val="0"/>
                <w:i w:val="0"/>
                <w:color w:val="000000"/>
                <w:sz w:val="19"/>
              </w:rPr>
              <w:t>Restricted or capped fallback does not give the same guarantee</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Partial dominance and fixing, G3 (Desaulniers et al., 2020; Faldum et al., 2024)</w:t>
            </w:r>
          </w:p>
        </w:tc>
        <w:tc>
          <w:tcPr>
            <w:tcW w:type="dxa" w:w="3672"/>
            <w:vAlign w:val="center"/>
          </w:tcPr>
          <w:p>
            <w:pPr>
              <w:keepNext w:val="0"/>
              <w:widowControl w:val="0"/>
              <w:spacing w:after="0" w:line="245" w:lineRule="auto"/>
            </w:pPr>
            <w:r>
              <w:rPr>
                <w:rFonts w:ascii="Times New Roman" w:hAnsi="Times New Roman"/>
                <w:b w:val="0"/>
                <w:i w:val="0"/>
                <w:color w:val="000000"/>
                <w:sz w:val="19"/>
              </w:rPr>
              <w:t>Proved continuation coverage or valid lower-bound plus incumbent test</w:t>
            </w:r>
          </w:p>
        </w:tc>
        <w:tc>
          <w:tcPr>
            <w:tcW w:type="dxa" w:w="3240"/>
            <w:vAlign w:val="center"/>
          </w:tcPr>
          <w:p>
            <w:pPr>
              <w:keepNext w:val="0"/>
              <w:widowControl w:val="0"/>
              <w:spacing w:after="0" w:line="245" w:lineRule="auto"/>
            </w:pPr>
            <w:r>
              <w:rPr>
                <w:rFonts w:ascii="Times New Roman" w:hAnsi="Times New Roman"/>
                <w:b w:val="0"/>
                <w:i w:val="0"/>
                <w:color w:val="000000"/>
                <w:sz w:val="19"/>
              </w:rPr>
              <w:t>Resources, active cuts and branching must satisfy the proof conditions</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Learned dual restrictions (You et al., 2026a)</w:t>
            </w:r>
          </w:p>
        </w:tc>
        <w:tc>
          <w:tcPr>
            <w:tcW w:type="dxa" w:w="3672"/>
            <w:vAlign w:val="center"/>
          </w:tcPr>
          <w:p>
            <w:pPr>
              <w:keepNext w:val="0"/>
              <w:widowControl w:val="0"/>
              <w:spacing w:after="0" w:line="245" w:lineRule="auto"/>
            </w:pPr>
            <w:r>
              <w:rPr>
                <w:rFonts w:ascii="Times New Roman" w:hAnsi="Times New Roman"/>
                <w:b w:val="0"/>
                <w:i w:val="0"/>
                <w:color w:val="000000"/>
                <w:sz w:val="19"/>
              </w:rPr>
              <w:t>Direct valid weak bound: G4. Original-LP recovery: G2 primary, G4 secondary</w:t>
            </w:r>
          </w:p>
        </w:tc>
        <w:tc>
          <w:tcPr>
            <w:tcW w:type="dxa" w:w="3240"/>
            <w:vAlign w:val="center"/>
          </w:tcPr>
          <w:p>
            <w:pPr>
              <w:keepNext w:val="0"/>
              <w:widowControl w:val="0"/>
              <w:spacing w:after="0" w:line="245" w:lineRule="auto"/>
            </w:pPr>
            <w:r>
              <w:rPr>
                <w:rFonts w:ascii="Times New Roman" w:hAnsi="Times New Roman"/>
                <w:b w:val="0"/>
                <w:i w:val="0"/>
                <w:color w:val="000000"/>
                <w:sz w:val="19"/>
              </w:rPr>
              <w:t>Preprint; target determines primary code; exact pricing alone does not recover the original bound</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Exact and approximate loading dominance (Zhang et al., 2022)</w:t>
            </w:r>
          </w:p>
        </w:tc>
        <w:tc>
          <w:tcPr>
            <w:tcW w:type="dxa" w:w="3672"/>
            <w:vAlign w:val="center"/>
          </w:tcPr>
          <w:p>
            <w:pPr>
              <w:keepNext w:val="0"/>
              <w:widowControl w:val="0"/>
              <w:spacing w:after="0" w:line="245" w:lineRule="auto"/>
            </w:pPr>
            <w:r>
              <w:rPr>
                <w:rFonts w:ascii="Times New Roman" w:hAnsi="Times New Roman"/>
                <w:b w:val="0"/>
                <w:i w:val="0"/>
                <w:color w:val="000000"/>
                <w:sz w:val="19"/>
              </w:rPr>
              <w:t>Feasibility verification plus exact dominance variant</w:t>
            </w:r>
          </w:p>
        </w:tc>
        <w:tc>
          <w:tcPr>
            <w:tcW w:type="dxa" w:w="3240"/>
            <w:vAlign w:val="center"/>
          </w:tcPr>
          <w:p>
            <w:pPr>
              <w:keepNext w:val="0"/>
              <w:widowControl w:val="0"/>
              <w:spacing w:after="0" w:line="245" w:lineRule="auto"/>
            </w:pPr>
            <w:r>
              <w:rPr>
                <w:rFonts w:ascii="Times New Roman" w:hAnsi="Times New Roman"/>
                <w:b w:val="0"/>
                <w:i w:val="0"/>
                <w:color w:val="000000"/>
                <w:sz w:val="19"/>
              </w:rPr>
              <w:t>Neural packing checks do not repair an approximate dominance rule</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Permanent learned graph restriction, G5 (Gao et al., 2025)</w:t>
            </w:r>
          </w:p>
        </w:tc>
        <w:tc>
          <w:tcPr>
            <w:tcW w:type="dxa" w:w="3672"/>
            <w:vAlign w:val="center"/>
          </w:tcPr>
          <w:p>
            <w:pPr>
              <w:keepNext w:val="0"/>
              <w:widowControl w:val="0"/>
              <w:spacing w:after="0" w:line="245" w:lineRule="auto"/>
            </w:pPr>
            <w:r>
              <w:rPr>
                <w:rFonts w:ascii="Times New Roman" w:hAnsi="Times New Roman"/>
                <w:b w:val="0"/>
                <w:i w:val="0"/>
                <w:color w:val="000000"/>
                <w:sz w:val="19"/>
              </w:rPr>
              <w:t>Useful feasible columns may be generated</w:t>
            </w:r>
          </w:p>
        </w:tc>
        <w:tc>
          <w:tcPr>
            <w:tcW w:type="dxa" w:w="3240"/>
            <w:vAlign w:val="center"/>
          </w:tcPr>
          <w:p>
            <w:pPr>
              <w:keepNext w:val="0"/>
              <w:widowControl w:val="0"/>
              <w:spacing w:after="0" w:line="245" w:lineRule="auto"/>
            </w:pPr>
            <w:r>
              <w:rPr>
                <w:rFonts w:ascii="Times New Roman" w:hAnsi="Times New Roman"/>
                <w:b w:val="0"/>
                <w:i w:val="0"/>
                <w:color w:val="000000"/>
                <w:sz w:val="19"/>
              </w:rPr>
              <w:t>No full-domain certificate; known-optimum matches are not proofs</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Documentation unresolved, GU (Núñez Ares et al., 2016)</w:t>
            </w:r>
          </w:p>
        </w:tc>
        <w:tc>
          <w:tcPr>
            <w:tcW w:type="dxa" w:w="3672"/>
            <w:vAlign w:val="center"/>
          </w:tcPr>
          <w:p>
            <w:pPr>
              <w:keepNext w:val="0"/>
              <w:widowControl w:val="0"/>
              <w:spacing w:after="0" w:line="245" w:lineRule="auto"/>
            </w:pPr>
            <w:r>
              <w:rPr>
                <w:rFonts w:ascii="Times New Roman" w:hAnsi="Times New Roman"/>
                <w:b w:val="0"/>
                <w:i w:val="0"/>
                <w:color w:val="000000"/>
                <w:sz w:val="19"/>
              </w:rPr>
              <w:t xml:space="preserve">Appendix C is available; certificate derivation and stopping-rule use remain unresolved</w:t>
            </w:r>
          </w:p>
        </w:tc>
        <w:tc>
          <w:tcPr>
            <w:tcW w:type="dxa" w:w="3240"/>
            <w:vAlign w:val="center"/>
          </w:tcPr>
          <w:p>
            <w:pPr>
              <w:keepNext w:val="0"/>
              <w:widowControl w:val="0"/>
              <w:spacing w:after="0" w:line="245" w:lineRule="auto"/>
            </w:pPr>
            <w:r>
              <w:rPr>
                <w:rFonts w:ascii="Times New Roman" w:hAnsi="Times New Roman"/>
                <w:b w:val="0"/>
                <w:i w:val="0"/>
                <w:color w:val="000000"/>
                <w:sz w:val="19"/>
              </w:rPr>
              <w:t>Evidence-status flag, not a mathematical guarantee or proof of error</w:t>
            </w:r>
          </w:p>
        </w:tc>
      </w:tr>
    </w:tbl>
    <w:p>
      <w:pPr>
        <w:spacing w:after="40" w:before="0" w:line="240" w:lineRule="auto"/>
      </w:pPr>
      <w:r>
        <w:rPr>
          <w:rFonts w:ascii="Times New Roman" w:hAnsi="Times New Roman"/>
          <w:color w:val="000000"/>
          <w:sz w:val="2"/>
        </w:rPr>
      </w:r>
    </w:p>
    <w:p>
      <w:pPr>
        <w:pStyle w:val="Heading2"/>
      </w:pPr>
      <w:r>
        <w:rPr>
          <w:rFonts w:ascii="Times New Roman" w:hAnsi="Times New Roman"/>
          <w:b/>
          <w:i w:val="0"/>
          <w:color w:val="000000"/>
        </w:rPr>
        <w:t>6.4 Report the certificate actually returned</w:t>
      </w:r>
    </w:p>
    <w:p>
      <w:pPr/>
      <w:r>
        <w:rPr>
          <w:rFonts w:ascii="Times New Roman" w:hAnsi="Times New Roman"/>
          <w:b w:val="0"/>
          <w:i w:val="0"/>
          <w:color w:val="000000"/>
        </w:rPr>
        <w:t>A useful endpoint can be a feasible incumbent, a valid lower bound, a closed node relaxation or a completed integer proof. These outputs should not share an undifferentiated success flag. When a deadline interrupts certification, the solver can retain its last valid bound and its unresolved status; an unchecked restricted objective is not a replacement.</w:t>
      </w:r>
    </w:p>
    <w:p>
      <w:pPr/>
      <w:r>
        <w:rPr>
          <w:rFonts w:ascii="Times New Roman" w:hAnsi="Times New Roman"/>
          <w:b w:val="0"/>
          <w:i w:val="0"/>
          <w:color w:val="000000"/>
        </w:rPr>
        <w:t xml:space="preserve">G5 denotes an explicitly heuristic target. A permanent graph restriction, bounded beam or learned stopping decision without recovery has no established complete certificate for the original domain (Abouelrous et al., 2025b; Gao et al., 2025; Jin and Yu, 2023). For Núñez Ares et al. (2016), Appendix C is available in the accessed report, but the certificate derivation and its use in the stopping rule remain unresolved. This does not establish an implementation error. Figure 3 maps the recorded combinations of guarantee and evidence scope. It describes this sample of method variants, without estimating the prevalence of methods in the field.</w:t>
      </w:r>
    </w:p>
    <w:p>
      <w:pPr>
        <w:pStyle w:val="Heading1"/>
      </w:pPr>
      <w:r>
        <w:rPr>
          <w:rFonts w:ascii="Times New Roman" w:hAnsi="Times New Roman"/>
          <w:b/>
          <w:i w:val="0"/>
          <w:color w:val="000000"/>
        </w:rPr>
        <w:t>7 Computational evidence and substantive synthesis</w:t>
      </w:r>
    </w:p>
    <w:p>
      <w:pPr/>
      <w:r>
        <w:rPr>
          <w:rFonts w:ascii="Times New Roman" w:hAnsi="Times New Roman"/>
          <w:b w:val="0"/>
          <w:i w:val="0"/>
          <w:color w:val="000000"/>
        </w:rPr>
        <w:t>The strongest evidence supports specific interventions under stated conditions, rather than a uniform learning advantage across CG and B&amp;P. Tables 4 and 5 separate those conditions from the broader descriptive inventory.</w:t>
      </w:r>
    </w:p>
    <w:p>
      <w:pPr>
        <w:pStyle w:val="Heading2"/>
      </w:pPr>
      <w:r>
        <w:rPr>
          <w:rFonts w:ascii="Times New Roman" w:hAnsi="Times New Roman"/>
          <w:b/>
          <w:i w:val="0"/>
          <w:color w:val="000000"/>
        </w:rPr>
        <w:t>7.1 What has been evaluated</w:t>
      </w:r>
    </w:p>
    <w:p>
      <w:pPr/>
      <w:r>
        <w:rPr>
          <w:rFonts w:ascii="Times New Roman" w:hAnsi="Times New Roman"/>
          <w:b w:val="0"/>
          <w:i w:val="0"/>
          <w:color w:val="000000"/>
        </w:rPr>
        <w:t xml:space="preserve">Offline accuracy tests a predictor, fixed-state pricing tests a search mechanism, CG adds feedback through the dual trajectory, and complete-tree evaluation adds branching, cuts, incumbents and repeated node certification. A reduction in work at one level does not establish a reduction in time at another. Among the 80 core study families, 24 have at least one variant evaluated in a complete B&amp;P or BPC implementation, and 9 of these 24 evaluate a learning-guided variant. Twenty-three report at least one completed tree solve under their stated stopping criteria. The remaining family reports call and elapsed-time comparisons without a completed tree solve (Zhang et al., 2026). Five of the 23 families use optimal or near-optimal supplied upper bounds, and one reports a single showcased instance. Additional studies use heuristic or feasible initial bounds, including Sadykov et al. (2021), Ropke and Cordeau (2009), and Pessoa et al. (2020). The count of five does not include all forms of upper-bound initialization. For S091, completion uses a prescribed numerical gap whose threshold is not given in the accessed main report (Shan et al., 2026). Supplementary Table S2 distinguishes these conditions. These are inventory counts, not a uniform count of exact optimality proofs or an estimate of field prevalence.</w:t>
      </w:r>
    </w:p>
    <w:p>
      <w:pPr/>
      <w:r>
        <w:rPr>
          <w:rFonts w:ascii="Times New Roman" w:hAnsi="Times New Roman"/>
          <w:b w:val="0"/>
          <w:i w:val="0"/>
          <w:color w:val="000000"/>
        </w:rPr>
        <w:t xml:space="preserve">Figure 3 maps the 146 core or supporting variants, 72 traditional and 74 learning-guided, using the current coding snapshot. Each variant is counted once in the right margin. The cells count 239 scope memberships because a variant may be tested at several scopes; one variant has no measured scope. Learning-guided variants contribute 100 of their 123 memberships at E0 or E2 and 18 at E3 or E4. Traditional variants contribute 24 of the 30 E3 and 29 of the 41 E4 memberships. No learning-guided variant is currently assigned primarily to G3; 22 are recorded under G2 and 29 under G5. Traditional variants are spread across G1–G5, with G4 the most frequent. The four GU variants are shown separately. Fields marked unresolved in Table A.1 retain their previous codes for this descriptive snapshot, so these totals are provisional coding summaries, not finalized quality judgments or an inferential comparison.</w:t>
      </w:r>
    </w:p>
    <w:p>
      <w:pPr>
        <w:keepNext/>
        <w:keepLines/>
        <w:spacing w:before="120" w:after="60"/>
        <w:jc w:val="center"/>
      </w:pPr>
      <w:r>
        <w:drawing>
          <wp:inline xmlns:a="http://schemas.openxmlformats.org/drawingml/2006/main" xmlns:pic="http://schemas.openxmlformats.org/drawingml/2006/picture">
            <wp:extent cx="5943600" cy="2627473"/>
            <wp:docPr id="3" name="Picture 3" descr="F3_guarantee_evidence"/>
            <wp:cNvGraphicFramePr>
              <a:graphicFrameLocks noChangeAspect="1"/>
            </wp:cNvGraphicFramePr>
            <a:graphic>
              <a:graphicData uri="http://schemas.openxmlformats.org/drawingml/2006/picture">
                <pic:pic>
                  <pic:nvPicPr>
                    <pic:cNvPr id="0" name="F3_guarantee_evidence.png"/>
                    <pic:cNvPicPr/>
                  </pic:nvPicPr>
                  <pic:blipFill>
                    <a:blip r:embed="rId12"/>
                    <a:stretch>
                      <a:fillRect/>
                    </a:stretch>
                  </pic:blipFill>
                  <pic:spPr>
                    <a:xfrm>
                      <a:off x="0" y="0"/>
                      <a:ext cx="5943600" cy="2627473"/>
                    </a:xfrm>
                    <a:prstGeom prst="rect"/>
                  </pic:spPr>
                </pic:pic>
              </a:graphicData>
            </a:graphic>
          </wp:inline>
        </w:drawing>
      </w:r>
    </w:p>
    <w:p>
      <w:pPr>
        <w:pStyle w:val="Caption"/>
        <w:keepLines/>
      </w:pPr>
      <w:r>
        <w:rPr>
          <w:b/>
        </w:rPr>
        <w:t xml:space="preserve">Figure 3. </w:t>
      </w:r>
      <w:r>
        <w:rPr>
          <w:b w:val="0"/>
        </w:rPr>
        <w:t xml:space="preserve">Primary guarantee mechanism by reported evidence scope for (a) 72 traditional and (b) 74 learning-guided variants. Cells count variant–scope memberships (239 in total), because a variant may be tested at several scopes; top bars give scope totals and right bars the number of distinct variants per mechanism. G1, order preserved; G2, recovery restores the domain; G3, safe elimination; G4, valid relaxation or bound; G5, explicitly heuristic; GU, unassigned. *One G4 variant has no measured scope. Counts use the Table A.1 coding snapshot, including the previous values of unresolved fields marked †. They are not prevalence or quality measures. The figure was regenerated from the local revision records (Section 2.3).</w:t>
      </w:r>
    </w:p>
    <w:p>
      <w:pPr/>
      <w:r>
        <w:rPr>
          <w:rFonts w:ascii="Times New Roman" w:hAnsi="Times New Roman"/>
          <w:b w:val="0"/>
          <w:i w:val="0"/>
          <w:color w:val="000000"/>
        </w:rPr>
        <w:t>Table 4 presents a purposive set of peer-reviewed within-study contrasts across the six intervention layers. The rows compare an intervention with a classical or learning-free alternative at the same interface, or with the same solver without that intervention. Each row reports the population, statistic and denominator supported by the accessed source version. These are characteristics of the selected comparisons, not a prospectively specified or exhaustive selection protocol. Favorable and unfavorable results are retained, and statistics preserve their published definitions. For example, the FFCG values are total runtimes over the 60-instance VRPTW test set described in the arXiv appendix (Hu et al., 2024). Other comparisons are discussed in Section 7.2, and preprints and supplement-limited illustrations are collected in Appendix C.</w:t>
      </w:r>
    </w:p>
    <w:p>
      <w:pPr>
        <w:pStyle w:val="Caption"/>
        <w:keepNext/>
        <w:keepLines/>
      </w:pPr>
      <w:r>
        <w:rPr>
          <w:rFonts w:ascii="Times New Roman" w:hAnsi="Times New Roman"/>
          <w:b/>
          <w:i w:val="0"/>
          <w:color w:val="000000"/>
        </w:rPr>
        <w:t>Table 4. Selected peer-reviewed within-study contrasts. Each row retains its own population and endpoint.</w:t>
      </w:r>
    </w:p>
    <w:tbl>
      <w:tblPr>
        <w:tblW w:type="auto" w:w="0"/>
        <w:jc w:val="center"/>
        <w:tblLayout w:type="fixed"/>
        <w:tblLook w:val="0000" w:firstRow="0" w:lastRow="0" w:firstColumn="0" w:lastColumn="0" w:noHBand="1" w:noVBand="1"/>
        <w:tblBorders>
          <w:top w:val="single" w:sz="8" w:color="000000"/>
          <w:left w:val="nil"/>
          <w:bottom w:val="single" w:sz="8" w:color="000000"/>
          <w:right w:val="nil"/>
          <w:insideH w:val="nil"/>
          <w:insideV w:val="nil"/>
          <w:start w:val="nil"/>
          <w:end w:val="nil"/>
        </w:tblBorders>
        <w:tblLayout w:type="fixed"/>
        <w:tblCellMar>
          <w:top w:w="70" w:type="dxa"/>
          <w:bottom w:w="70" w:type="dxa"/>
          <w:left w:w="85" w:type="dxa"/>
          <w:right w:w="85" w:type="dxa"/>
        </w:tblCellMar>
      </w:tblPr>
      <w:tblGrid>
        <w:gridCol w:w="1469"/>
        <w:gridCol w:w="2707"/>
        <w:gridCol w:w="2376"/>
        <w:gridCol w:w="2808"/>
      </w:tblGrid>
      <w:tr>
        <w:trPr>
          <w:cantSplit/>
          <w:tblHeader w:val="true"/>
        </w:trPr>
        <w:tc>
          <w:tcPr>
            <w:tcW w:type="dxa" w:w="1469"/>
            <w:vAlign w:val="center"/>
            <w:tcBorders>
              <w:bottom w:val="single" w:sz="4" w:color="000000"/>
            </w:tcBorders>
          </w:tcPr>
          <w:p>
            <w:pPr>
              <w:keepNext/>
              <w:widowControl w:val="0"/>
              <w:spacing w:after="0" w:line="245" w:lineRule="auto"/>
            </w:pPr>
            <w:r>
              <w:rPr>
                <w:rFonts w:ascii="Times New Roman" w:hAnsi="Times New Roman"/>
                <w:b/>
                <w:i w:val="0"/>
                <w:color w:val="000000"/>
                <w:sz w:val="19"/>
              </w:rPr>
              <w:t>Study and scope</w:t>
            </w:r>
          </w:p>
        </w:tc>
        <w:tc>
          <w:tcPr>
            <w:tcW w:type="dxa" w:w="2707"/>
            <w:vAlign w:val="center"/>
            <w:tcBorders>
              <w:bottom w:val="single" w:sz="4" w:color="000000"/>
            </w:tcBorders>
          </w:tcPr>
          <w:p>
            <w:pPr>
              <w:keepNext/>
              <w:widowControl w:val="0"/>
              <w:spacing w:after="0" w:line="245" w:lineRule="auto"/>
            </w:pPr>
            <w:r>
              <w:rPr>
                <w:rFonts w:ascii="Times New Roman" w:hAnsi="Times New Roman"/>
                <w:b/>
                <w:i w:val="0"/>
                <w:color w:val="000000"/>
                <w:sz w:val="19"/>
              </w:rPr>
              <w:t>Comparator and population</w:t>
            </w:r>
          </w:p>
        </w:tc>
        <w:tc>
          <w:tcPr>
            <w:tcW w:type="dxa" w:w="2376"/>
            <w:vAlign w:val="center"/>
            <w:tcBorders>
              <w:bottom w:val="single" w:sz="4" w:color="000000"/>
            </w:tcBorders>
          </w:tcPr>
          <w:p>
            <w:pPr>
              <w:keepNext/>
              <w:widowControl w:val="0"/>
              <w:spacing w:after="0" w:line="245" w:lineRule="auto"/>
            </w:pPr>
            <w:r>
              <w:rPr>
                <w:rFonts w:ascii="Times New Roman" w:hAnsi="Times New Roman"/>
                <w:b/>
                <w:i w:val="0"/>
                <w:color w:val="000000"/>
                <w:sz w:val="19"/>
              </w:rPr>
              <w:t>Reported result</w:t>
            </w:r>
          </w:p>
        </w:tc>
        <w:tc>
          <w:tcPr>
            <w:tcW w:type="dxa" w:w="2808"/>
            <w:vAlign w:val="center"/>
            <w:tcBorders>
              <w:bottom w:val="single" w:sz="4" w:color="000000"/>
            </w:tcBorders>
          </w:tcPr>
          <w:p>
            <w:pPr>
              <w:keepNext/>
              <w:widowControl w:val="0"/>
              <w:spacing w:after="0" w:line="245" w:lineRule="auto"/>
            </w:pPr>
            <w:r>
              <w:rPr>
                <w:rFonts w:ascii="Times New Roman" w:hAnsi="Times New Roman"/>
                <w:b/>
                <w:i w:val="0"/>
                <w:color w:val="000000"/>
                <w:sz w:val="19"/>
              </w:rPr>
              <w:t>Supported interpretation</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(You et al., 2026b), E4</w:t>
            </w:r>
          </w:p>
        </w:tc>
        <w:tc>
          <w:tcPr>
            <w:tcW w:type="dxa" w:w="2707"/>
            <w:vAlign w:val="center"/>
          </w:tcPr>
          <w:p>
            <w:pPr>
              <w:keepNext w:val="0"/>
              <w:widowControl w:val="0"/>
              <w:spacing w:after="0" w:line="245" w:lineRule="auto"/>
            </w:pPr>
            <w:r>
              <w:rPr>
                <w:rFonts w:ascii="Times New Roman" w:hAnsi="Times New Roman"/>
                <w:b w:val="0"/>
                <w:i w:val="0"/>
                <w:color w:val="000000"/>
                <w:sz w:val="19"/>
              </w:rPr>
              <w:t>2LBB-dy versus learning-free 3PB-dy; 90 CVRP150 instances, Setting II</w:t>
            </w:r>
          </w:p>
        </w:tc>
        <w:tc>
          <w:tcPr>
            <w:tcW w:type="dxa" w:w="2376"/>
            <w:vAlign w:val="center"/>
          </w:tcPr>
          <w:p>
            <w:pPr>
              <w:keepNext w:val="0"/>
              <w:widowControl w:val="0"/>
              <w:spacing w:after="0" w:line="245" w:lineRule="auto"/>
            </w:pPr>
            <w:r>
              <w:rPr>
                <w:rFonts w:ascii="Times New Roman" w:hAnsi="Times New Roman"/>
                <w:b w:val="0"/>
                <w:i w:val="0"/>
                <w:color w:val="000000"/>
                <w:sz w:val="19"/>
              </w:rPr>
              <w:t>Geometric mean 317.2 versus 436.8 s with optimal supplied upper bounds</w:t>
            </w:r>
          </w:p>
        </w:tc>
        <w:tc>
          <w:tcPr>
            <w:tcW w:type="dxa" w:w="2808"/>
            <w:vAlign w:val="center"/>
          </w:tcPr>
          <w:p>
            <w:pPr>
              <w:keepNext w:val="0"/>
              <w:widowControl w:val="0"/>
              <w:spacing w:after="0" w:line="245" w:lineRule="auto"/>
            </w:pPr>
            <w:r>
              <w:rPr>
                <w:rFonts w:ascii="Times New Roman" w:hAnsi="Times New Roman"/>
                <w:b w:val="0"/>
                <w:i w:val="0"/>
                <w:color w:val="000000"/>
                <w:sz w:val="19"/>
              </w:rPr>
              <w:t>Learned screening adds value to adaptive branching in this setting; root-only cuts and no enumeration</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(Václavík et al., 2018), E4</w:t>
            </w:r>
          </w:p>
        </w:tc>
        <w:tc>
          <w:tcPr>
            <w:tcW w:type="dxa" w:w="2707"/>
            <w:vAlign w:val="center"/>
          </w:tcPr>
          <w:p>
            <w:pPr>
              <w:keepNext w:val="0"/>
              <w:widowControl w:val="0"/>
              <w:spacing w:after="0" w:line="245" w:lineRule="auto"/>
            </w:pPr>
            <w:r>
              <w:rPr>
                <w:rFonts w:ascii="Times New Roman" w:hAnsi="Times New Roman"/>
                <w:b w:val="0"/>
                <w:i w:val="0"/>
                <w:color w:val="000000"/>
                <w:sz w:val="19"/>
              </w:rPr>
              <w:t>Regression cutoff versus the same improved B&amp;P; 13 nurse-roster and 12 multiplexing cases, 10 repetitions</w:t>
            </w:r>
          </w:p>
        </w:tc>
        <w:tc>
          <w:tcPr>
            <w:tcW w:type="dxa" w:w="2376"/>
            <w:vAlign w:val="center"/>
          </w:tcPr>
          <w:p>
            <w:pPr>
              <w:keepNext w:val="0"/>
              <w:widowControl w:val="0"/>
              <w:spacing w:after="0" w:line="245" w:lineRule="auto"/>
            </w:pPr>
            <w:r>
              <w:rPr>
                <w:rFonts w:ascii="Times New Roman" w:hAnsi="Times New Roman"/>
                <w:b w:val="0"/>
                <w:i w:val="0"/>
                <w:color w:val="000000"/>
                <w:sz w:val="19"/>
              </w:rPr>
              <w:t>Source-reported runtime-reduction summaries of about 40% and 22%</w:t>
            </w:r>
          </w:p>
        </w:tc>
        <w:tc>
          <w:tcPr>
            <w:tcW w:type="dxa" w:w="2808"/>
            <w:vAlign w:val="center"/>
          </w:tcPr>
          <w:p>
            <w:pPr>
              <w:keepNext w:val="0"/>
              <w:widowControl w:val="0"/>
              <w:spacing w:after="0" w:line="245" w:lineRule="auto"/>
            </w:pPr>
            <w:r>
              <w:rPr>
                <w:rFonts w:ascii="Times New Roman" w:hAnsi="Times New Roman"/>
                <w:b w:val="0"/>
                <w:i w:val="0"/>
                <w:color w:val="000000"/>
                <w:sz w:val="19"/>
              </w:rPr>
              <w:t>Whole-solver times include online learning and backup; selected benchmarks; repetitions lack reported dispersion</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(Kraul et al., 2023), E2</w:t>
            </w:r>
          </w:p>
        </w:tc>
        <w:tc>
          <w:tcPr>
            <w:tcW w:type="dxa" w:w="2707"/>
            <w:vAlign w:val="center"/>
          </w:tcPr>
          <w:p>
            <w:pPr>
              <w:keepNext w:val="0"/>
              <w:widowControl w:val="0"/>
              <w:spacing w:after="0" w:line="245" w:lineRule="auto"/>
            </w:pPr>
            <w:r>
              <w:rPr>
                <w:rFonts w:ascii="Times New Roman" w:hAnsi="Times New Roman"/>
                <w:b w:val="0"/>
                <w:i w:val="0"/>
                <w:color w:val="000000"/>
                <w:sz w:val="19"/>
              </w:rPr>
              <w:t>Sparse predicted dual center versus classical stabilization</w:t>
            </w:r>
          </w:p>
        </w:tc>
        <w:tc>
          <w:tcPr>
            <w:tcW w:type="dxa" w:w="2376"/>
            <w:vAlign w:val="center"/>
          </w:tcPr>
          <w:p>
            <w:pPr>
              <w:keepNext w:val="0"/>
              <w:widowControl w:val="0"/>
              <w:spacing w:after="0" w:line="245" w:lineRule="auto"/>
            </w:pPr>
            <w:r>
              <w:rPr>
                <w:rFonts w:ascii="Times New Roman" w:hAnsi="Times New Roman"/>
                <w:b w:val="0"/>
                <w:i w:val="0"/>
                <w:color w:val="000000"/>
                <w:sz w:val="19"/>
              </w:rPr>
              <w:t>500 synthetic cases: means 3.08 versus 5.62 s; 6195 BPPLIB cases: 128.51 versus 99.48 s</w:t>
            </w:r>
          </w:p>
        </w:tc>
        <w:tc>
          <w:tcPr>
            <w:tcW w:type="dxa" w:w="2808"/>
            <w:vAlign w:val="center"/>
          </w:tcPr>
          <w:p>
            <w:pPr>
              <w:keepNext w:val="0"/>
              <w:widowControl w:val="0"/>
              <w:spacing w:after="0" w:line="245" w:lineRule="auto"/>
            </w:pPr>
            <w:r>
              <w:rPr>
                <w:rFonts w:ascii="Times New Roman" w:hAnsi="Times New Roman"/>
                <w:b w:val="0"/>
                <w:i w:val="0"/>
                <w:color w:val="000000"/>
                <w:sz w:val="19"/>
              </w:rPr>
              <w:t>Advantage changes with test distribution; not evidence of a universal stabilization gain</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(Sugishita et al., 2024), E2</w:t>
            </w:r>
          </w:p>
        </w:tc>
        <w:tc>
          <w:tcPr>
            <w:tcW w:type="dxa" w:w="2707"/>
            <w:vAlign w:val="center"/>
          </w:tcPr>
          <w:p>
            <w:pPr>
              <w:keepNext w:val="0"/>
              <w:widowControl w:val="0"/>
              <w:spacing w:after="0" w:line="245" w:lineRule="auto"/>
            </w:pPr>
            <w:r>
              <w:rPr>
                <w:rFonts w:ascii="Times New Roman" w:hAnsi="Times New Roman"/>
                <w:b w:val="0"/>
                <w:i w:val="0"/>
                <w:color w:val="000000"/>
                <w:sz w:val="19"/>
              </w:rPr>
              <w:t>Dual-prediction warm start versus LP-relaxation warm start; 100 tests, 1000 generators</w:t>
            </w:r>
          </w:p>
        </w:tc>
        <w:tc>
          <w:tcPr>
            <w:tcW w:type="dxa" w:w="2376"/>
            <w:vAlign w:val="center"/>
          </w:tcPr>
          <w:p>
            <w:pPr>
              <w:keepNext w:val="0"/>
              <w:widowControl w:val="0"/>
              <w:spacing w:after="0" w:line="245" w:lineRule="auto"/>
            </w:pPr>
            <w:r>
              <w:rPr>
                <w:rFonts w:ascii="Times New Roman" w:hAnsi="Times New Roman"/>
                <w:b w:val="0"/>
                <w:i w:val="0"/>
                <w:color w:val="000000"/>
                <w:sz w:val="19"/>
              </w:rPr>
              <w:t>Mean 65.9 versus 131.2 s; both solve 100/100 to 0.25% gap</w:t>
            </w:r>
          </w:p>
        </w:tc>
        <w:tc>
          <w:tcPr>
            <w:tcW w:type="dxa" w:w="2808"/>
            <w:vAlign w:val="center"/>
          </w:tcPr>
          <w:p>
            <w:pPr>
              <w:keepNext w:val="0"/>
              <w:widowControl w:val="0"/>
              <w:spacing w:after="0" w:line="245" w:lineRule="auto"/>
            </w:pPr>
            <w:r>
              <w:rPr>
                <w:rFonts w:ascii="Times New Roman" w:hAnsi="Times New Roman"/>
                <w:b w:val="0"/>
                <w:i w:val="0"/>
                <w:color w:val="000000"/>
                <w:sz w:val="19"/>
              </w:rPr>
              <w:t>Fixed fleet with varied demand; training 24 h on eight cores per fleet; CG plus primal heuristic, not B&amp;P</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(Morabit et al., 2023), E2</w:t>
            </w:r>
          </w:p>
        </w:tc>
        <w:tc>
          <w:tcPr>
            <w:tcW w:type="dxa" w:w="2707"/>
            <w:vAlign w:val="center"/>
          </w:tcPr>
          <w:p>
            <w:pPr>
              <w:keepNext w:val="0"/>
              <w:widowControl w:val="0"/>
              <w:spacing w:after="0" w:line="245" w:lineRule="auto"/>
            </w:pPr>
            <w:r>
              <w:rPr>
                <w:rFonts w:ascii="Times New Roman" w:hAnsi="Times New Roman"/>
                <w:b w:val="0"/>
                <w:i w:val="0"/>
                <w:color w:val="000000"/>
                <w:sz w:val="19"/>
              </w:rPr>
              <w:t>Classical reduced-cost versus learned-only filtering; two reported groups, each n=5</w:t>
            </w:r>
          </w:p>
        </w:tc>
        <w:tc>
          <w:tcPr>
            <w:tcW w:type="dxa" w:w="2376"/>
            <w:vAlign w:val="center"/>
          </w:tcPr>
          <w:p>
            <w:pPr>
              <w:keepNext w:val="0"/>
              <w:widowControl w:val="0"/>
              <w:spacing w:after="0" w:line="245" w:lineRule="auto"/>
            </w:pPr>
            <w:r>
              <w:rPr>
                <w:rFonts w:ascii="Times New Roman" w:hAnsi="Times New Roman"/>
                <w:b w:val="0"/>
                <w:i w:val="0"/>
                <w:color w:val="000000"/>
                <w:sz w:val="19"/>
              </w:rPr>
              <w:t>Reported group means 32 versus 65 s on 200-R2; 254 versus 560 s on 400-C2</w:t>
            </w:r>
          </w:p>
        </w:tc>
        <w:tc>
          <w:tcPr>
            <w:tcW w:type="dxa" w:w="2808"/>
            <w:vAlign w:val="center"/>
          </w:tcPr>
          <w:p>
            <w:pPr>
              <w:keepNext w:val="0"/>
              <w:widowControl w:val="0"/>
              <w:spacing w:after="0" w:line="245" w:lineRule="auto"/>
            </w:pPr>
            <w:r>
              <w:rPr>
                <w:rFonts w:ascii="Times New Roman" w:hAnsi="Times New Roman"/>
                <w:b w:val="0"/>
                <w:i w:val="0"/>
                <w:color w:val="000000"/>
                <w:sz w:val="19"/>
              </w:rPr>
              <w:t>Strong classical filter wins in these groups; two-cycle root relaxation; hybrid results vary</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(Koutecká et al., 2025), E4</w:t>
            </w:r>
          </w:p>
        </w:tc>
        <w:tc>
          <w:tcPr>
            <w:tcW w:type="dxa" w:w="2707"/>
            <w:vAlign w:val="center"/>
          </w:tcPr>
          <w:p>
            <w:pPr>
              <w:keepNext w:val="0"/>
              <w:widowControl w:val="0"/>
              <w:spacing w:after="0" w:line="245" w:lineRule="auto"/>
            </w:pPr>
            <w:r>
              <w:rPr>
                <w:rFonts w:ascii="Times New Roman" w:hAnsi="Times New Roman"/>
                <w:b w:val="0"/>
                <w:i w:val="0"/>
                <w:color w:val="000000"/>
                <w:sz w:val="19"/>
              </w:rPr>
              <w:t>Learned versus random pricing-block order, k=1; 9 five-day operating-room cases</w:t>
            </w:r>
          </w:p>
        </w:tc>
        <w:tc>
          <w:tcPr>
            <w:tcW w:type="dxa" w:w="2376"/>
            <w:vAlign w:val="center"/>
          </w:tcPr>
          <w:p>
            <w:pPr>
              <w:keepNext w:val="0"/>
              <w:widowControl w:val="0"/>
              <w:spacing w:after="0" w:line="245" w:lineRule="auto"/>
            </w:pPr>
            <w:r>
              <w:rPr>
                <w:rFonts w:ascii="Times New Roman" w:hAnsi="Times New Roman"/>
                <w:b w:val="0"/>
                <w:i w:val="0"/>
                <w:color w:val="000000"/>
                <w:sz w:val="19"/>
              </w:rPr>
              <w:t>Mean calls 2950 versus 3923; mean time 2087 versus 1916 s</w:t>
            </w:r>
          </w:p>
        </w:tc>
        <w:tc>
          <w:tcPr>
            <w:tcW w:type="dxa" w:w="2808"/>
            <w:vAlign w:val="center"/>
          </w:tcPr>
          <w:p>
            <w:pPr>
              <w:keepNext w:val="0"/>
              <w:widowControl w:val="0"/>
              <w:spacing w:after="0" w:line="245" w:lineRule="auto"/>
            </w:pPr>
            <w:r>
              <w:rPr>
                <w:rFonts w:ascii="Times New Roman" w:hAnsi="Times New Roman"/>
                <w:b w:val="0"/>
                <w:i w:val="0"/>
                <w:color w:val="000000"/>
                <w:sz w:val="19"/>
              </w:rPr>
              <w:t>All nine finish within four hours; call savings do not translate to time savings here</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(Xu et al., 2024), E4</w:t>
            </w:r>
          </w:p>
        </w:tc>
        <w:tc>
          <w:tcPr>
            <w:tcW w:type="dxa" w:w="2707"/>
            <w:vAlign w:val="center"/>
          </w:tcPr>
          <w:p>
            <w:pPr>
              <w:keepNext w:val="0"/>
              <w:widowControl w:val="0"/>
              <w:spacing w:after="0" w:line="245" w:lineRule="auto"/>
            </w:pPr>
            <w:r>
              <w:rPr>
                <w:rFonts w:ascii="Times New Roman" w:hAnsi="Times New Roman"/>
                <w:b w:val="0"/>
                <w:i w:val="0"/>
                <w:color w:val="000000"/>
                <w:sz w:val="19"/>
              </w:rPr>
              <w:t>MLACO versus Gurobi solution-pool pricing; Hard28, four capacity settings</w:t>
            </w:r>
          </w:p>
        </w:tc>
        <w:tc>
          <w:tcPr>
            <w:tcW w:type="dxa" w:w="2376"/>
            <w:vAlign w:val="center"/>
          </w:tcPr>
          <w:p>
            <w:pPr>
              <w:keepNext w:val="0"/>
              <w:widowControl w:val="0"/>
              <w:spacing w:after="0" w:line="245" w:lineRule="auto"/>
            </w:pPr>
            <w:r>
              <w:rPr>
                <w:rFonts w:ascii="Times New Roman" w:hAnsi="Times New Roman"/>
                <w:b w:val="0"/>
                <w:i w:val="0"/>
                <w:color w:val="000000"/>
                <w:sz w:val="19"/>
              </w:rPr>
              <w:t>Proof counts 14/17/3/1 versus 14/9/4/0, each out of 28</w:t>
            </w:r>
          </w:p>
        </w:tc>
        <w:tc>
          <w:tcPr>
            <w:tcW w:type="dxa" w:w="2808"/>
            <w:vAlign w:val="center"/>
          </w:tcPr>
          <w:p>
            <w:pPr>
              <w:keepNext w:val="0"/>
              <w:widowControl w:val="0"/>
              <w:spacing w:after="0" w:line="245" w:lineRule="auto"/>
            </w:pPr>
            <w:r>
              <w:rPr>
                <w:rFonts w:ascii="Times New Roman" w:hAnsi="Times New Roman"/>
                <w:b w:val="0"/>
                <w:i w:val="0"/>
                <w:color w:val="000000"/>
                <w:sz w:val="19"/>
              </w:rPr>
              <w:t>Benefit depends on capacity; fewer proofs in the third setting; fallback remains exact</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(Yuan et al., 2024), E2</w:t>
            </w:r>
          </w:p>
        </w:tc>
        <w:tc>
          <w:tcPr>
            <w:tcW w:type="dxa" w:w="2707"/>
            <w:vAlign w:val="center"/>
          </w:tcPr>
          <w:p>
            <w:pPr>
              <w:keepNext w:val="0"/>
              <w:widowControl w:val="0"/>
              <w:spacing w:after="0" w:line="245" w:lineRule="auto"/>
            </w:pPr>
            <w:r>
              <w:rPr>
                <w:rFonts w:ascii="Times New Roman" w:hAnsi="Times New Roman"/>
                <w:b w:val="0"/>
                <w:i w:val="0"/>
                <w:color w:val="000000"/>
                <w:sz w:val="19"/>
              </w:rPr>
              <w:t>Learned five-of-ten selection versus Diverse-M; 1000/200/100 cutting-stock tests</w:t>
            </w:r>
          </w:p>
        </w:tc>
        <w:tc>
          <w:tcPr>
            <w:tcW w:type="dxa" w:w="2376"/>
            <w:vAlign w:val="center"/>
          </w:tcPr>
          <w:p>
            <w:pPr>
              <w:keepNext w:val="0"/>
              <w:widowControl w:val="0"/>
              <w:spacing w:after="0" w:line="245" w:lineRule="auto"/>
            </w:pPr>
            <w:r>
              <w:rPr>
                <w:rFonts w:ascii="Times New Roman" w:hAnsi="Times New Roman"/>
                <w:b w:val="0"/>
                <w:i w:val="0"/>
                <w:color w:val="000000"/>
                <w:sz w:val="19"/>
              </w:rPr>
              <w:t>Totals 67.84/55.05/87.95 versus 74.59/59.32/93.60 s</w:t>
            </w:r>
          </w:p>
        </w:tc>
        <w:tc>
          <w:tcPr>
            <w:tcW w:type="dxa" w:w="2808"/>
            <w:vAlign w:val="center"/>
          </w:tcPr>
          <w:p>
            <w:pPr>
              <w:keepNext w:val="0"/>
              <w:widowControl w:val="0"/>
              <w:spacing w:after="0" w:line="245" w:lineRule="auto"/>
            </w:pPr>
            <w:r>
              <w:rPr>
                <w:rFonts w:ascii="Times New Roman" w:hAnsi="Times New Roman"/>
                <w:b w:val="0"/>
                <w:i w:val="0"/>
                <w:color w:val="000000"/>
                <w:sz w:val="19"/>
              </w:rPr>
              <w:t>Online selection included; matched batch isolates roughly 6–9% reduction; no tree result</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(Hu et al., 2024; Hu et al., 2025), E2</w:t>
            </w:r>
          </w:p>
        </w:tc>
        <w:tc>
          <w:tcPr>
            <w:tcW w:type="dxa" w:w="2707"/>
            <w:vAlign w:val="center"/>
          </w:tcPr>
          <w:p>
            <w:pPr>
              <w:keepNext w:val="0"/>
              <w:widowControl w:val="0"/>
              <w:spacing w:after="0" w:line="245" w:lineRule="auto"/>
            </w:pPr>
            <w:r>
              <w:rPr>
                <w:rFonts w:ascii="Times New Roman" w:hAnsi="Times New Roman"/>
                <w:b w:val="0"/>
                <w:i w:val="0"/>
                <w:color w:val="000000"/>
                <w:sz w:val="19"/>
              </w:rPr>
              <w:t xml:space="preserve">FFCG versus single-column admission and Greedy-M all-ten admission; 60 VRPTW tests; same ten-column candidate pool for FFCG and Greedy-M</w:t>
            </w:r>
          </w:p>
        </w:tc>
        <w:tc>
          <w:tcPr>
            <w:tcW w:type="dxa" w:w="2376"/>
            <w:vAlign w:val="center"/>
          </w:tcPr>
          <w:p>
            <w:pPr>
              <w:keepNext w:val="0"/>
              <w:widowControl w:val="0"/>
              <w:spacing w:after="0" w:line="245" w:lineRule="auto"/>
            </w:pPr>
            <w:r>
              <w:rPr>
                <w:rFonts w:ascii="Times New Roman" w:hAnsi="Times New Roman"/>
                <w:b w:val="0"/>
                <w:i w:val="0"/>
                <w:color w:val="000000"/>
                <w:sz w:val="19"/>
              </w:rPr>
              <w:t>Reported runtimes 426.99 versus 2662.07 and 511.97 s</w:t>
            </w:r>
          </w:p>
        </w:tc>
        <w:tc>
          <w:tcPr>
            <w:tcW w:type="dxa" w:w="2808"/>
            <w:vAlign w:val="center"/>
          </w:tcPr>
          <w:p>
            <w:pPr>
              <w:keepNext w:val="0"/>
              <w:widowControl w:val="0"/>
              <w:spacing w:after="0" w:line="245" w:lineRule="auto"/>
            </w:pPr>
            <w:r>
              <w:rPr>
                <w:rFonts w:ascii="Times New Roman" w:hAnsi="Times New Roman"/>
                <w:b w:val="0"/>
                <w:i w:val="0"/>
                <w:color w:val="000000"/>
                <w:sz w:val="19"/>
              </w:rPr>
              <w:t xml:space="preserve">Reductions 83.96% and 16.60%; source reports total runtime over the test set; the all-ten comparison does not match admitted batch size</w:t>
            </w:r>
          </w:p>
        </w:tc>
      </w:tr>
      <w:tr>
        <w:trPr>
          <w:cantSplit/>
        </w:trPr>
        <w:tc>
          <w:tcPr>
            <w:tcW w:type="dxa" w:w="1469"/>
            <w:vAlign w:val="center"/>
          </w:tcPr>
          <w:p>
            <w:pPr>
              <w:keepNext w:val="0"/>
              <w:widowControl w:val="0"/>
              <w:spacing w:after="0" w:line="245" w:lineRule="auto"/>
            </w:pPr>
            <w:r>
              <w:rPr>
                <w:rFonts w:ascii="Times New Roman" w:hAnsi="Times New Roman"/>
                <w:b w:val="0"/>
                <w:i w:val="0"/>
                <w:color w:val="000000"/>
                <w:sz w:val="19"/>
              </w:rPr>
              <w:t>(Desaulniers et al., 2020), E4</w:t>
            </w:r>
          </w:p>
        </w:tc>
        <w:tc>
          <w:tcPr>
            <w:tcW w:type="dxa" w:w="2707"/>
            <w:vAlign w:val="center"/>
          </w:tcPr>
          <w:p>
            <w:pPr>
              <w:keepNext w:val="0"/>
              <w:widowControl w:val="0"/>
              <w:spacing w:after="0" w:line="245" w:lineRule="auto"/>
            </w:pPr>
            <w:r>
              <w:rPr>
                <w:rFonts w:ascii="Times New Roman" w:hAnsi="Times New Roman"/>
                <w:b w:val="0"/>
                <w:i w:val="0"/>
                <w:color w:val="000000"/>
                <w:sz w:val="19"/>
              </w:rPr>
              <w:t>Classical two-arc versus single-arc fixing; selected 459 cases from 840</w:t>
            </w:r>
          </w:p>
        </w:tc>
        <w:tc>
          <w:tcPr>
            <w:tcW w:type="dxa" w:w="2376"/>
            <w:vAlign w:val="center"/>
          </w:tcPr>
          <w:p>
            <w:pPr>
              <w:keepNext w:val="0"/>
              <w:widowControl w:val="0"/>
              <w:spacing w:after="0" w:line="245" w:lineRule="auto"/>
            </w:pPr>
            <w:r>
              <w:rPr>
                <w:rFonts w:ascii="Times New Roman" w:hAnsi="Times New Roman"/>
                <w:b w:val="0"/>
                <w:i w:val="0"/>
                <w:color w:val="000000"/>
                <w:sz w:val="19"/>
              </w:rPr>
              <w:t>About 19% whole-BPC time reduction based on geometric runtime ratios; 459 versus 455 proofs in selected set</w:t>
            </w:r>
          </w:p>
        </w:tc>
        <w:tc>
          <w:tcPr>
            <w:tcW w:type="dxa" w:w="2808"/>
            <w:vAlign w:val="center"/>
          </w:tcPr>
          <w:p>
            <w:pPr>
              <w:keepNext w:val="0"/>
              <w:widowControl w:val="0"/>
              <w:spacing w:after="0" w:line="245" w:lineRule="auto"/>
            </w:pPr>
            <w:r>
              <w:rPr>
                <w:rFonts w:ascii="Times New Roman" w:hAnsi="Times New Roman"/>
                <w:b w:val="0"/>
                <w:i w:val="0"/>
                <w:color w:val="000000"/>
                <w:sz w:val="19"/>
              </w:rPr>
              <w:t>New-method timeouts excluded, limits asymmetric, known optimum+1 supplied for VRPTW</w:t>
            </w:r>
          </w:p>
        </w:tc>
      </w:tr>
    </w:tbl>
    <w:p>
      <w:pPr>
        <w:spacing w:after="40" w:before="0" w:line="240" w:lineRule="auto"/>
      </w:pPr>
      <w:r>
        <w:rPr>
          <w:rFonts w:ascii="Times New Roman" w:hAnsi="Times New Roman"/>
          <w:color w:val="000000"/>
          <w:sz w:val="2"/>
        </w:rPr>
      </w:r>
    </w:p>
    <w:p>
      <w:pPr/>
      <w:r>
        <w:rPr>
          <w:rFonts w:ascii="Times New Roman" w:hAnsi="Times New Roman"/>
          <w:b w:val="0"/>
          <w:i w:val="0"/>
          <w:color w:val="000000"/>
        </w:rPr>
        <w:t>Note. Times are seconds and are not pooled effect estimates. E4 denotes the evaluated complete-tree implementation, not success on every instance. Means, totals, geometric means and means of percentage gains are preserved as different statistics. Source-version locators are retained in the evidence records. The last row is a traditional comparison that anchors the interpretation of learned pruning. The comparison set is described in Section 7.1.</w:t>
      </w:r>
    </w:p>
    <w:p>
      <w:pPr>
        <w:pStyle w:val="Heading2"/>
      </w:pPr>
      <w:r>
        <w:rPr>
          <w:rFonts w:ascii="Times New Roman" w:hAnsi="Times New Roman"/>
          <w:b/>
          <w:i w:val="0"/>
          <w:color w:val="000000"/>
        </w:rPr>
        <w:t>7.2 Which learning interventions survive stronger comparisons</w:t>
      </w:r>
    </w:p>
    <w:p>
      <w:pPr/>
      <w:r>
        <w:rPr>
          <w:rFonts w:ascii="Times New Roman" w:hAnsi="Times New Roman"/>
          <w:b w:val="0"/>
          <w:i w:val="0"/>
          <w:color w:val="000000"/>
        </w:rPr>
        <w:t xml:space="preserve">At </w:t>
      </w:r>
      <w:r>
        <w:rPr>
          <w:rFonts w:ascii="Times New Roman" w:hAnsi="Times New Roman"/>
          <w:b/>
          <w:i w:val="0"/>
          <w:color w:val="000000"/>
        </w:rPr>
        <w:t>L1</w:t>
      </w:r>
      <w:r>
        <w:rPr>
          <w:rFonts w:ascii="Times New Roman" w:hAnsi="Times New Roman"/>
          <w:b w:val="0"/>
          <w:i w:val="0"/>
          <w:color w:val="000000"/>
        </w:rPr>
        <w:t>, learned candidate screening has conditional complete-tree support. The two-stage branching study compares a learned rule with a learning-free adaptive strong-branching comparator inside the same solver (You et al., 2026b). Its result survives that stronger comparison, but the reported setting uses a supplied incumbent and a specified cut and enumeration configuration. This establishes a component advantage there, not a general preference for learning over all branch rules. General MIP learning-to-branch and traditional diving motivate different comparators because branch selection and incumbent construction optimize different outcomes (Gasse et al., 2019; Khalil et al., 2016; Sadykov et al., 2019).</w:t>
      </w:r>
    </w:p>
    <w:p>
      <w:pPr/>
      <w:r>
        <w:rPr>
          <w:rFonts w:ascii="Times New Roman" w:hAnsi="Times New Roman"/>
          <w:b w:val="0"/>
          <w:i w:val="0"/>
          <w:color w:val="000000"/>
        </w:rPr>
        <w:t xml:space="preserve">At </w:t>
      </w:r>
      <w:r>
        <w:rPr>
          <w:rFonts w:ascii="Times New Roman" w:hAnsi="Times New Roman"/>
          <w:b/>
          <w:i w:val="0"/>
          <w:color w:val="000000"/>
        </w:rPr>
        <w:t>L2</w:t>
      </w:r>
      <w:r>
        <w:rPr>
          <w:rFonts w:ascii="Times New Roman" w:hAnsi="Times New Roman"/>
          <w:b w:val="0"/>
          <w:i w:val="0"/>
          <w:color w:val="000000"/>
        </w:rPr>
        <w:t>, the most persuasive benefits concern repeated related root or CG solves. Predicted sparse centers can improve tuned stabilization on synthetic cutting stock, but the BPPLIB comparison reverses the runtime advantage (Kraul et al., 2023). Demand-based dual prediction improves unit-commitment performance against an LP-relaxation warm start on a fixed fleet, with substantial offline training (Sugishita et al., 2024). These results support learning reusable dual information when the deployment distribution is stable. They do not yet supply E4 evidence for the learned L2 variants in this corpus. Iteration savings alone remain insufficient when stabilization makes pricing harder (Shen et al., 2024; Wang and Khir, 2026).</w:t>
      </w:r>
    </w:p>
    <w:p>
      <w:pPr/>
      <w:r>
        <w:rPr>
          <w:rFonts w:ascii="Times New Roman" w:hAnsi="Times New Roman"/>
          <w:b w:val="0"/>
          <w:i w:val="0"/>
          <w:color w:val="000000"/>
        </w:rPr>
        <w:t xml:space="preserve">At </w:t>
      </w:r>
      <w:r>
        <w:rPr>
          <w:rFonts w:ascii="Times New Roman" w:hAnsi="Times New Roman"/>
          <w:b/>
          <w:i w:val="0"/>
          <w:color w:val="000000"/>
        </w:rPr>
        <w:t>L3</w:t>
      </w:r>
      <w:r>
        <w:rPr>
          <w:rFonts w:ascii="Times New Roman" w:hAnsi="Times New Roman"/>
          <w:b w:val="0"/>
          <w:i w:val="0"/>
          <w:color w:val="000000"/>
        </w:rPr>
        <w:t>, the useful finding is sensitivity to batching and oracle cost. Learned ordering can improve some operating-room configurations but reduces calls while increasing time in the nine-instance comparison in Table 4 (Koutecká et al., 2025). Ranking by expected column yield therefore need not rank calls by their contribution to elapsed-time savings. The evidence supports configuration-dependent scheduling, with classical partial pricing and complete coverage retained as necessary comparators. The available depot-ranking preprint proposes a longer-horizon target but does not settle the missing complete-policy timing comparison (Shan et al., 2026).</w:t>
      </w:r>
    </w:p>
    <w:p>
      <w:pPr/>
      <w:r>
        <w:rPr>
          <w:rFonts w:ascii="Times New Roman" w:hAnsi="Times New Roman"/>
          <w:b w:val="0"/>
          <w:i w:val="0"/>
          <w:color w:val="000000"/>
        </w:rPr>
        <w:t xml:space="preserve">At </w:t>
      </w:r>
      <w:r>
        <w:rPr>
          <w:rFonts w:ascii="Times New Roman" w:hAnsi="Times New Roman"/>
          <w:b/>
          <w:i w:val="0"/>
          <w:color w:val="000000"/>
        </w:rPr>
        <w:t>L4</w:t>
      </w:r>
      <w:r>
        <w:rPr>
          <w:rFonts w:ascii="Times New Roman" w:hAnsi="Times New Roman"/>
          <w:b w:val="0"/>
          <w:i w:val="0"/>
          <w:color w:val="000000"/>
        </w:rPr>
        <w:t>, recoverable learned cutoffs have peer-reviewed tree-level support in nurse rostering and multiplexing, using the same improved solver with regression switched on or off (Václavík et al., 2018). This is stronger evidence for a cutoff proposal with backup than for unchecked learned pruning. For route-graph filtering, classical reduced-cost restriction wins over learned-only restriction in the reported routing groups, while combined filters are mixed (Morabit et al., 2023). Loading-feasibility prediction supplies an additional E4 demonstration, but its tabulated complete-tree evidence is a single showcased instance and its supplement is missing (Xia and Zhang, 2024). These interventions should not be collapsed into a single pruning-success rate.</w:t>
      </w:r>
    </w:p>
    <w:p>
      <w:pPr/>
      <w:r>
        <w:rPr>
          <w:rFonts w:ascii="Times New Roman" w:hAnsi="Times New Roman"/>
          <w:b w:val="0"/>
          <w:i w:val="0"/>
          <w:color w:val="000000"/>
        </w:rPr>
        <w:t xml:space="preserve">At </w:t>
      </w:r>
      <w:r>
        <w:rPr>
          <w:rFonts w:ascii="Times New Roman" w:hAnsi="Times New Roman"/>
          <w:b/>
          <w:i w:val="0"/>
          <w:color w:val="000000"/>
        </w:rPr>
        <w:t>L5</w:t>
      </w:r>
      <w:r>
        <w:rPr>
          <w:rFonts w:ascii="Times New Roman" w:hAnsi="Times New Roman"/>
          <w:b w:val="0"/>
          <w:i w:val="0"/>
          <w:color w:val="000000"/>
        </w:rPr>
        <w:t>, learned construction followed by complete pricing is promising when it produces useful columns more cheaply than the fallback. Bin packing with conflicts gives a qualified E4 example against a Gurobi solution-pool pricing comparator, but proof counts vary with the capacity setting (Xu et al., 2024). Graph-coloring experiments also reach E4, although changes in sampling and batch generation complicate attribution of the whole gain to prediction (Shen et al., 2022). Pure learned ordering currently offers a cleaner local intervention, but the accessed evidence is a preprint E1 experiment rather than a demonstrated tree benefit (Minoli et al., 2026).</w:t>
      </w:r>
    </w:p>
    <w:p>
      <w:pPr/>
      <w:r>
        <w:rPr>
          <w:rFonts w:ascii="Times New Roman" w:hAnsi="Times New Roman"/>
          <w:b w:val="0"/>
          <w:i w:val="0"/>
          <w:color w:val="000000"/>
        </w:rPr>
        <w:t xml:space="preserve">At </w:t>
      </w:r>
      <w:r>
        <w:rPr>
          <w:rFonts w:ascii="Times New Roman" w:hAnsi="Times New Roman"/>
          <w:b/>
          <w:i w:val="0"/>
          <w:color w:val="000000"/>
        </w:rPr>
        <w:t>L6</w:t>
      </w:r>
      <w:r>
        <w:rPr>
          <w:rFonts w:ascii="Times New Roman" w:hAnsi="Times New Roman"/>
          <w:b w:val="0"/>
          <w:i w:val="0"/>
          <w:color w:val="000000"/>
        </w:rPr>
        <w:t>, fixed-budget selection offers a relatively clean root-level test of learning. Five-of-ten learned admission reduces test-set totals by roughly 6–9% against a matched diversity selector (Yuan et al., 2024). Variable-batch FFCG also improves its all-ten comparator, but much of its larger advantage over single-column CG belongs to batching itself (Hu et al., 2025). E4 is reached by loading-related column-management variants (Zhang et al., 2022); that does not establish the same tree-level benefit for generic learned batch selection. Classical safe fixing provides a separate route to tree acceleration, conditional on a suitable pool and incumbent (Yang, 2025).</w:t>
      </w:r>
    </w:p>
    <w:p>
      <w:pPr>
        <w:pStyle w:val="Caption"/>
        <w:keepNext/>
        <w:keepLines/>
      </w:pPr>
      <w:r>
        <w:rPr>
          <w:rFonts w:ascii="Times New Roman" w:hAnsi="Times New Roman"/>
          <w:b/>
          <w:i w:val="0"/>
          <w:color w:val="000000"/>
        </w:rPr>
        <w:t>Table 5. Layer-by-layer synthesis and comparison with classical alternatives.</w:t>
      </w:r>
    </w:p>
    <w:tbl>
      <w:tblPr>
        <w:tblW w:type="auto" w:w="0"/>
        <w:jc w:val="center"/>
        <w:tblLayout w:type="fixed"/>
        <w:tblLook w:val="0000" w:firstRow="0" w:lastRow="0" w:firstColumn="0" w:lastColumn="0" w:noHBand="1" w:noVBand="1"/>
        <w:tblBorders>
          <w:top w:val="single" w:sz="8" w:color="000000"/>
          <w:left w:val="nil"/>
          <w:bottom w:val="single" w:sz="8" w:color="000000"/>
          <w:right w:val="nil"/>
          <w:insideH w:val="nil"/>
          <w:insideV w:val="nil"/>
          <w:start w:val="nil"/>
          <w:end w:val="nil"/>
        </w:tblBorders>
        <w:tblLayout w:type="fixed"/>
        <w:tblCellMar>
          <w:top w:w="70" w:type="dxa"/>
          <w:bottom w:w="70" w:type="dxa"/>
          <w:left w:w="85" w:type="dxa"/>
          <w:right w:w="85" w:type="dxa"/>
        </w:tblCellMar>
      </w:tblPr>
      <w:tblGrid>
        <w:gridCol w:w="1512"/>
        <w:gridCol w:w="1224"/>
        <w:gridCol w:w="3096"/>
        <w:gridCol w:w="3528"/>
      </w:tblGrid>
      <w:tr>
        <w:trPr>
          <w:cantSplit/>
          <w:tblHeader w:val="true"/>
        </w:trPr>
        <w:tc>
          <w:tcPr>
            <w:tcW w:type="dxa" w:w="1512"/>
            <w:vAlign w:val="center"/>
            <w:tcBorders>
              <w:bottom w:val="single" w:sz="4" w:color="000000"/>
            </w:tcBorders>
          </w:tcPr>
          <w:p>
            <w:pPr>
              <w:keepNext/>
              <w:widowControl w:val="0"/>
              <w:spacing w:after="0" w:line="245" w:lineRule="auto"/>
            </w:pPr>
            <w:r>
              <w:rPr>
                <w:rFonts w:ascii="Times New Roman" w:hAnsi="Times New Roman"/>
                <w:b/>
                <w:i w:val="0"/>
                <w:color w:val="000000"/>
                <w:sz w:val="19"/>
              </w:rPr>
              <w:t>Layer and families</w:t>
            </w:r>
          </w:p>
        </w:tc>
        <w:tc>
          <w:tcPr>
            <w:tcW w:type="dxa" w:w="1224"/>
            <w:vAlign w:val="center"/>
            <w:tcBorders>
              <w:bottom w:val="single" w:sz="4" w:color="000000"/>
            </w:tcBorders>
          </w:tcPr>
          <w:p>
            <w:pPr>
              <w:keepNext/>
              <w:widowControl w:val="0"/>
              <w:spacing w:after="0" w:line="245" w:lineRule="auto"/>
            </w:pPr>
            <w:r>
              <w:rPr>
                <w:rFonts w:ascii="Times New Roman" w:hAnsi="Times New Roman"/>
                <w:b/>
                <w:i w:val="0"/>
                <w:color w:val="000000"/>
                <w:sz w:val="19"/>
              </w:rPr>
              <w:t>Highest scope, all / learned</w:t>
            </w:r>
          </w:p>
        </w:tc>
        <w:tc>
          <w:tcPr>
            <w:tcW w:type="dxa" w:w="3096"/>
            <w:vAlign w:val="center"/>
            <w:tcBorders>
              <w:bottom w:val="single" w:sz="4" w:color="000000"/>
            </w:tcBorders>
          </w:tcPr>
          <w:p>
            <w:pPr>
              <w:keepNext/>
              <w:widowControl w:val="0"/>
              <w:spacing w:after="0" w:line="245" w:lineRule="auto"/>
            </w:pPr>
            <w:r>
              <w:rPr>
                <w:rFonts w:ascii="Times New Roman" w:hAnsi="Times New Roman"/>
                <w:b/>
                <w:i w:val="0"/>
                <w:color w:val="000000"/>
                <w:sz w:val="19"/>
              </w:rPr>
              <w:t>Strongest relevant matched comparator in the discussed contrasts</w:t>
            </w:r>
          </w:p>
        </w:tc>
        <w:tc>
          <w:tcPr>
            <w:tcW w:type="dxa" w:w="3528"/>
            <w:vAlign w:val="center"/>
            <w:tcBorders>
              <w:bottom w:val="single" w:sz="4" w:color="000000"/>
            </w:tcBorders>
          </w:tcPr>
          <w:p>
            <w:pPr>
              <w:keepNext/>
              <w:widowControl w:val="0"/>
              <w:spacing w:after="0" w:line="245" w:lineRule="auto"/>
            </w:pPr>
            <w:r>
              <w:rPr>
                <w:rFonts w:ascii="Times New Roman" w:hAnsi="Times New Roman"/>
                <w:b/>
                <w:i w:val="0"/>
                <w:color w:val="000000"/>
                <w:sz w:val="19"/>
              </w:rPr>
              <w:t>Qualified verdict</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L1: 5 (2 learned)</w:t>
            </w:r>
          </w:p>
        </w:tc>
        <w:tc>
          <w:tcPr>
            <w:tcW w:type="dxa" w:w="1224"/>
            <w:vAlign w:val="center"/>
          </w:tcPr>
          <w:p>
            <w:pPr>
              <w:keepNext w:val="0"/>
              <w:widowControl w:val="0"/>
              <w:spacing w:after="0" w:line="245" w:lineRule="auto"/>
            </w:pPr>
            <w:r>
              <w:rPr>
                <w:rFonts w:ascii="Times New Roman" w:hAnsi="Times New Roman"/>
                <w:b w:val="0"/>
                <w:i w:val="0"/>
                <w:color w:val="000000"/>
                <w:sz w:val="19"/>
              </w:rPr>
              <w:t>E4 / E4</w:t>
            </w:r>
          </w:p>
        </w:tc>
        <w:tc>
          <w:tcPr>
            <w:tcW w:type="dxa" w:w="3096"/>
            <w:vAlign w:val="center"/>
          </w:tcPr>
          <w:p>
            <w:pPr>
              <w:keepNext w:val="0"/>
              <w:widowControl w:val="0"/>
              <w:spacing w:after="0" w:line="245" w:lineRule="auto"/>
            </w:pPr>
            <w:r>
              <w:rPr>
                <w:rFonts w:ascii="Times New Roman" w:hAnsi="Times New Roman"/>
                <w:b w:val="0"/>
                <w:i w:val="0"/>
                <w:color w:val="000000"/>
                <w:sz w:val="19"/>
              </w:rPr>
              <w:t>Adaptive strong branching with the same candidate machinery (You et al., 2026b)</w:t>
            </w:r>
          </w:p>
        </w:tc>
        <w:tc>
          <w:tcPr>
            <w:tcW w:type="dxa" w:w="3528"/>
            <w:vAlign w:val="center"/>
          </w:tcPr>
          <w:p>
            <w:pPr>
              <w:keepNext w:val="0"/>
              <w:widowControl w:val="0"/>
              <w:spacing w:after="0" w:line="245" w:lineRule="auto"/>
            </w:pPr>
            <w:r>
              <w:rPr>
                <w:rFonts w:ascii="Times New Roman" w:hAnsi="Times New Roman"/>
                <w:b w:val="0"/>
                <w:i w:val="0"/>
                <w:color w:val="000000"/>
                <w:sz w:val="19"/>
              </w:rPr>
              <w:t>Single-study support at E4 for candidate screening (You et al., 2026b); supplied incumbent and cut settings delimit the result.</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 xml:space="preserve">L2: 22 (12 learned)</w:t>
            </w:r>
          </w:p>
        </w:tc>
        <w:tc>
          <w:tcPr>
            <w:tcW w:type="dxa" w:w="1224"/>
            <w:vAlign w:val="center"/>
          </w:tcPr>
          <w:p>
            <w:pPr>
              <w:keepNext w:val="0"/>
              <w:widowControl w:val="0"/>
              <w:spacing w:after="0" w:line="245" w:lineRule="auto"/>
            </w:pPr>
            <w:r>
              <w:rPr>
                <w:rFonts w:ascii="Times New Roman" w:hAnsi="Times New Roman"/>
                <w:b w:val="0"/>
                <w:i w:val="0"/>
                <w:color w:val="000000"/>
                <w:sz w:val="19"/>
              </w:rPr>
              <w:t>E4 / E2</w:t>
            </w:r>
          </w:p>
        </w:tc>
        <w:tc>
          <w:tcPr>
            <w:tcW w:type="dxa" w:w="3096"/>
            <w:vAlign w:val="center"/>
          </w:tcPr>
          <w:p>
            <w:pPr>
              <w:keepNext w:val="0"/>
              <w:widowControl w:val="0"/>
              <w:spacing w:after="0" w:line="245" w:lineRule="auto"/>
            </w:pPr>
            <w:r>
              <w:rPr>
                <w:rFonts w:ascii="Times New Roman" w:hAnsi="Times New Roman"/>
                <w:b w:val="0"/>
                <w:i w:val="0"/>
                <w:color w:val="000000"/>
                <w:sz w:val="19"/>
              </w:rPr>
              <w:t>Classical penalty stabilization; LP-relaxation warm start (Kraul et al., 2023; Sugishita et al., 2024)</w:t>
            </w:r>
          </w:p>
        </w:tc>
        <w:tc>
          <w:tcPr>
            <w:tcW w:type="dxa" w:w="3528"/>
            <w:vAlign w:val="center"/>
          </w:tcPr>
          <w:p>
            <w:pPr>
              <w:keepNext w:val="0"/>
              <w:widowControl w:val="0"/>
              <w:spacing w:after="0" w:line="245" w:lineRule="auto"/>
            </w:pPr>
            <w:r>
              <w:rPr>
                <w:rFonts w:ascii="Times New Roman" w:hAnsi="Times New Roman"/>
                <w:b w:val="0"/>
                <w:i w:val="0"/>
                <w:color w:val="000000"/>
                <w:sz w:val="19"/>
              </w:rPr>
              <w:t>Conditionally supported at E2 for related repeated solves; broader cutting-stock tests reverse a gain; no learned E4 here.</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 xml:space="preserve">L3: 15 (4 learned)</w:t>
            </w:r>
          </w:p>
        </w:tc>
        <w:tc>
          <w:tcPr>
            <w:tcW w:type="dxa" w:w="1224"/>
            <w:vAlign w:val="center"/>
          </w:tcPr>
          <w:p>
            <w:pPr>
              <w:keepNext w:val="0"/>
              <w:widowControl w:val="0"/>
              <w:spacing w:after="0" w:line="245" w:lineRule="auto"/>
            </w:pPr>
            <w:r>
              <w:rPr>
                <w:rFonts w:ascii="Times New Roman" w:hAnsi="Times New Roman"/>
                <w:b w:val="0"/>
                <w:i w:val="0"/>
                <w:color w:val="000000"/>
                <w:sz w:val="19"/>
              </w:rPr>
              <w:t>E4 / E4</w:t>
            </w:r>
          </w:p>
        </w:tc>
        <w:tc>
          <w:tcPr>
            <w:tcW w:type="dxa" w:w="3096"/>
            <w:vAlign w:val="center"/>
          </w:tcPr>
          <w:p>
            <w:pPr>
              <w:keepNext w:val="0"/>
              <w:widowControl w:val="0"/>
              <w:spacing w:after="0" w:line="245" w:lineRule="auto"/>
            </w:pPr>
            <w:r>
              <w:rPr>
                <w:rFonts w:ascii="Times New Roman" w:hAnsi="Times New Roman"/>
                <w:b w:val="0"/>
                <w:i w:val="0"/>
                <w:color w:val="000000"/>
                <w:sz w:val="19"/>
              </w:rPr>
              <w:t>Classical partial-pricing order and matched call batches (Koutecká et al., 2025)</w:t>
            </w:r>
          </w:p>
        </w:tc>
        <w:tc>
          <w:tcPr>
            <w:tcW w:type="dxa" w:w="3528"/>
            <w:vAlign w:val="center"/>
          </w:tcPr>
          <w:p>
            <w:pPr>
              <w:keepNext w:val="0"/>
              <w:widowControl w:val="0"/>
              <w:spacing w:after="0" w:line="245" w:lineRule="auto"/>
            </w:pPr>
            <w:r>
              <w:rPr>
                <w:rFonts w:ascii="Times New Roman" w:hAnsi="Times New Roman"/>
                <w:b w:val="0"/>
                <w:i w:val="0"/>
                <w:color w:val="000000"/>
                <w:sz w:val="19"/>
              </w:rPr>
              <w:t>Configuration-dependent E4 results; no consistent call-count-to-time benefit; richer state targets remain provisional.</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L4: 27 (12 learned)</w:t>
            </w:r>
          </w:p>
        </w:tc>
        <w:tc>
          <w:tcPr>
            <w:tcW w:type="dxa" w:w="1224"/>
            <w:vAlign w:val="center"/>
          </w:tcPr>
          <w:p>
            <w:pPr>
              <w:keepNext w:val="0"/>
              <w:widowControl w:val="0"/>
              <w:spacing w:after="0" w:line="245" w:lineRule="auto"/>
            </w:pPr>
            <w:r>
              <w:rPr>
                <w:rFonts w:ascii="Times New Roman" w:hAnsi="Times New Roman"/>
                <w:b w:val="0"/>
                <w:i w:val="0"/>
                <w:color w:val="000000"/>
                <w:sz w:val="19"/>
              </w:rPr>
              <w:t>E4 / E4</w:t>
            </w:r>
          </w:p>
        </w:tc>
        <w:tc>
          <w:tcPr>
            <w:tcW w:type="dxa" w:w="3096"/>
            <w:vAlign w:val="center"/>
          </w:tcPr>
          <w:p>
            <w:pPr>
              <w:keepNext w:val="0"/>
              <w:widowControl w:val="0"/>
              <w:spacing w:after="0" w:line="245" w:lineRule="auto"/>
            </w:pPr>
            <w:r>
              <w:rPr>
                <w:rFonts w:ascii="Times New Roman" w:hAnsi="Times New Roman"/>
                <w:b w:val="0"/>
                <w:i w:val="0"/>
                <w:color w:val="000000"/>
                <w:sz w:val="19"/>
              </w:rPr>
              <w:t>Improved solver without regression; reduced-cost arc filtering (Morabit et al., 2023; Václavík et al., 2018)</w:t>
            </w:r>
          </w:p>
        </w:tc>
        <w:tc>
          <w:tcPr>
            <w:tcW w:type="dxa" w:w="3528"/>
            <w:vAlign w:val="center"/>
          </w:tcPr>
          <w:p>
            <w:pPr>
              <w:keepNext w:val="0"/>
              <w:widowControl w:val="0"/>
              <w:spacing w:after="0" w:line="245" w:lineRule="auto"/>
            </w:pPr>
            <w:r>
              <w:rPr>
                <w:rFonts w:ascii="Times New Roman" w:hAnsi="Times New Roman"/>
                <w:b w:val="0"/>
                <w:i w:val="0"/>
                <w:color w:val="000000"/>
                <w:sz w:val="19"/>
              </w:rPr>
              <w:t>Recoverable cutoff gains rest on a single E4 study with selected benchmarks (Václavík et al., 2018); learned-only routing filters do not consistently beat classical filters.</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 xml:space="preserve">L5: 18 (11 learned)</w:t>
            </w:r>
          </w:p>
        </w:tc>
        <w:tc>
          <w:tcPr>
            <w:tcW w:type="dxa" w:w="1224"/>
            <w:vAlign w:val="center"/>
          </w:tcPr>
          <w:p>
            <w:pPr>
              <w:keepNext w:val="0"/>
              <w:widowControl w:val="0"/>
              <w:spacing w:after="0" w:line="245" w:lineRule="auto"/>
            </w:pPr>
            <w:r>
              <w:rPr>
                <w:rFonts w:ascii="Times New Roman" w:hAnsi="Times New Roman"/>
                <w:b w:val="0"/>
                <w:i w:val="0"/>
                <w:color w:val="000000"/>
                <w:sz w:val="19"/>
              </w:rPr>
              <w:t>E4 / E4</w:t>
            </w:r>
          </w:p>
        </w:tc>
        <w:tc>
          <w:tcPr>
            <w:tcW w:type="dxa" w:w="3096"/>
            <w:vAlign w:val="center"/>
          </w:tcPr>
          <w:p>
            <w:pPr>
              <w:keepNext w:val="0"/>
              <w:widowControl w:val="0"/>
              <w:spacing w:after="0" w:line="245" w:lineRule="auto"/>
            </w:pPr>
            <w:r>
              <w:rPr>
                <w:rFonts w:ascii="Times New Roman" w:hAnsi="Times New Roman"/>
                <w:b w:val="0"/>
                <w:i w:val="0"/>
                <w:color w:val="000000"/>
                <w:sz w:val="19"/>
              </w:rPr>
              <w:t>Gurobi solution-pool pricing with the same B&amp;P framework (Xu et al., 2024)</w:t>
            </w:r>
          </w:p>
        </w:tc>
        <w:tc>
          <w:tcPr>
            <w:tcW w:type="dxa" w:w="3528"/>
            <w:vAlign w:val="center"/>
          </w:tcPr>
          <w:p>
            <w:pPr>
              <w:keepNext w:val="0"/>
              <w:widowControl w:val="0"/>
              <w:spacing w:after="0" w:line="245" w:lineRule="auto"/>
            </w:pPr>
            <w:r>
              <w:rPr>
                <w:rFonts w:ascii="Times New Roman" w:hAnsi="Times New Roman"/>
                <w:b w:val="0"/>
                <w:i w:val="0"/>
                <w:color w:val="000000"/>
                <w:sz w:val="19"/>
              </w:rPr>
              <w:t>Single-study E4 construction benefit (Xu et al., 2024); proof counts vary by capacity. Ordering-only E1 evidence remains preliminary.</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L6: 15 (12 learned)</w:t>
            </w:r>
          </w:p>
        </w:tc>
        <w:tc>
          <w:tcPr>
            <w:tcW w:type="dxa" w:w="1224"/>
            <w:vAlign w:val="center"/>
          </w:tcPr>
          <w:p>
            <w:pPr>
              <w:keepNext w:val="0"/>
              <w:widowControl w:val="0"/>
              <w:spacing w:after="0" w:line="245" w:lineRule="auto"/>
            </w:pPr>
            <w:r>
              <w:rPr>
                <w:rFonts w:ascii="Times New Roman" w:hAnsi="Times New Roman"/>
                <w:b w:val="0"/>
                <w:i w:val="0"/>
                <w:color w:val="000000"/>
                <w:sz w:val="19"/>
              </w:rPr>
              <w:t>E4 / E4</w:t>
            </w:r>
          </w:p>
        </w:tc>
        <w:tc>
          <w:tcPr>
            <w:tcW w:type="dxa" w:w="3096"/>
            <w:vAlign w:val="center"/>
          </w:tcPr>
          <w:p>
            <w:pPr>
              <w:keepNext w:val="0"/>
              <w:widowControl w:val="0"/>
              <w:spacing w:after="0" w:line="245" w:lineRule="auto"/>
            </w:pPr>
            <w:r>
              <w:rPr>
                <w:rFonts w:ascii="Times New Roman" w:hAnsi="Times New Roman"/>
                <w:b w:val="0"/>
                <w:i w:val="0"/>
                <w:color w:val="000000"/>
                <w:sz w:val="19"/>
              </w:rPr>
              <w:t xml:space="preserve">Matched five-of-ten diversity admission (Yuan et al., 2024); shared ten-column candidate pool with all-ten comparator (Hu et al., 2025)</w:t>
            </w:r>
          </w:p>
        </w:tc>
        <w:tc>
          <w:tcPr>
            <w:tcW w:type="dxa" w:w="3528"/>
            <w:vAlign w:val="center"/>
          </w:tcPr>
          <w:p>
            <w:pPr>
              <w:keepNext w:val="0"/>
              <w:widowControl w:val="0"/>
              <w:spacing w:after="0" w:line="245" w:lineRule="auto"/>
            </w:pPr>
            <w:r>
              <w:rPr>
                <w:rFonts w:ascii="Times New Roman" w:hAnsi="Times New Roman"/>
                <w:b w:val="0"/>
                <w:i w:val="0"/>
                <w:color w:val="000000"/>
                <w:sz w:val="19"/>
              </w:rPr>
              <w:t>Generic batch-selection gains supported at E2. E4 loading variants do not establish tree gains for generic selectors.</w:t>
            </w:r>
          </w:p>
        </w:tc>
      </w:tr>
    </w:tbl>
    <w:p>
      <w:pPr>
        <w:spacing w:after="40" w:before="0" w:line="240" w:lineRule="auto"/>
      </w:pPr>
      <w:r>
        <w:rPr>
          <w:rFonts w:ascii="Times New Roman" w:hAnsi="Times New Roman"/>
          <w:color w:val="000000"/>
          <w:sz w:val="2"/>
        </w:rPr>
      </w:r>
    </w:p>
    <w:p>
      <w:pPr/>
      <w:r>
        <w:rPr>
          <w:rFonts w:ascii="Times New Roman" w:hAnsi="Times New Roman"/>
          <w:b w:val="0"/>
          <w:i w:val="0"/>
          <w:color w:val="000000"/>
        </w:rPr>
        <w:t xml:space="preserve">Note. Counts are distinct core or supporting families with at least one variant primarily assigned to that layer. A family can appear in several rows; these counts therefore do not sum to 88. Secondary layers are not counted. Counts use the displayed primary-layer snapshot; dagger-marked unresolved assignments remain provisional. Highest scope describes coverage, not the strength of a particular comparison. Verdicts are narrative assessments of the located evidence, not pooled effects or validated quality scores. A verdict marked single-study rests on one located peer-reviewed contrast and indicates conditional evidence, not an established pattern.</w:t>
      </w:r>
    </w:p>
    <w:p>
      <w:pPr/>
      <w:r>
        <w:rPr>
          <w:rFonts w:ascii="Times New Roman" w:hAnsi="Times New Roman"/>
          <w:b w:val="0"/>
          <w:i w:val="0"/>
          <w:color w:val="000000"/>
        </w:rPr>
        <w:t xml:space="preserve">The common positive conclusion is that learning is most credible when it supplies expensive information to a retained optimization procedure and is compared with a competitive operation at that same interface. The strongest current demonstrations are conditional: adaptive branching in a specified BPC setting and recoverable cutoffs in expensive pricing, each from a single peer-reviewed study, together with dual initialization for related repeated solves and matched five-column admission at the root. The evidence does not identify one preferred learned layer for an arbitrary solver. The table's verdicts summarize those located contrasts, not a meta-analysis or a vote based on study counts.</w:t>
      </w:r>
    </w:p>
    <w:p>
      <w:pPr>
        <w:pStyle w:val="Heading2"/>
      </w:pPr>
      <w:r>
        <w:rPr>
          <w:rFonts w:ascii="Times New Roman" w:hAnsi="Times New Roman"/>
          <w:b/>
          <w:i w:val="0"/>
          <w:color w:val="000000"/>
        </w:rPr>
        <w:t>7.3 Interpreting comparisons without changing their meaning</w:t>
      </w:r>
    </w:p>
    <w:p>
      <w:pPr>
        <w:pStyle w:val="Heading3"/>
      </w:pPr>
      <w:r>
        <w:rPr>
          <w:rFonts w:ascii="Times New Roman" w:hAnsi="Times New Roman"/>
          <w:b/>
          <w:i w:val="0"/>
          <w:color w:val="000000"/>
        </w:rPr>
        <w:t>7.3.1 Comparator and component attribution</w:t>
      </w:r>
    </w:p>
    <w:p>
      <w:pPr/>
      <w:r>
        <w:rPr>
          <w:rFonts w:ascii="Times New Roman" w:hAnsi="Times New Roman"/>
          <w:b w:val="0"/>
          <w:i w:val="0"/>
          <w:color w:val="000000"/>
        </w:rPr>
        <w:t xml:space="preserve">The FFCG values 426.99, 2662.07 and 511.97 s yield baseline-relative reductions of 83.96% against single-column admission and 16.60% against all-ten admission (Hu et al., 2025). The all-ten comparison holds the candidate pool fixed, but not the number of columns admitted: FFCG may choose a smaller subset, whereas Greedy-M admits all ten. The extended appendix identifies 60 test instances and reports 15–21 CPU hours of training, while independence between training and test parent templates remains unclear (Hu et al., 2024).</w:t>
      </w:r>
    </w:p>
    <w:p>
      <w:pPr/>
      <w:r>
        <w:rPr>
          <w:rFonts w:ascii="Times New Roman" w:hAnsi="Times New Roman"/>
          <w:b w:val="0"/>
          <w:i w:val="0"/>
          <w:color w:val="000000"/>
        </w:rPr>
        <w:t>Tree-level comparisons likewise need a component ablation. DeLuxing's CVRP mean time changes from 2369.9 s to 1959.8 s with fixing and to 1635.5 s with fixing plus a new primal heuristic. The corresponding VRPTW means are 3915.1, 2993.9 and 2293.8 s (Yang, 2025). All 200 instances per class finish, but the supplied initial bound is 1.001 times the known optimum. The result supports the combined implementation under that initialization and does not charge it with finding the supplied incumbent.</w:t>
      </w:r>
    </w:p>
    <w:p>
      <w:pPr>
        <w:pStyle w:val="Heading3"/>
      </w:pPr>
      <w:r>
        <w:rPr>
          <w:rFonts w:ascii="Times New Roman" w:hAnsi="Times New Roman"/>
          <w:b/>
          <w:i w:val="0"/>
          <w:color w:val="000000"/>
        </w:rPr>
        <w:t>7.3.2 Percentages and unresolved numerical interpretation</w:t>
      </w:r>
    </w:p>
    <w:p>
      <w:pPr/>
      <w:r>
        <w:rPr>
          <w:rFonts w:ascii="Times New Roman" w:hAnsi="Times New Roman"/>
          <w:b w:val="0"/>
          <w:i w:val="0"/>
          <w:color w:val="000000"/>
        </w:rPr>
        <w:t>A time reduction divides the saving by the baseline time. Dividing by the new method's time gives a different quantity. The reported CG times 536.04 and 448.20 s yield a baseline-relative reduction of 16.39%; the source's 19.60% uses the method time as denominator (Gao et al., 2025). Test-set totals, arithmetic means, geometric means and means of paired ratios are also distinct statistics.</w:t>
      </w:r>
    </w:p>
    <w:p>
      <w:pPr/>
      <w:r>
        <w:rPr>
          <w:rFonts w:ascii="Times New Roman" w:hAnsi="Times New Roman"/>
          <w:b w:val="0"/>
          <w:i w:val="0"/>
          <w:color w:val="000000"/>
        </w:rPr>
        <w:t>Two source reports raise interpretation questions that could not be resolved from the accessed material. In Table 7 of the stabilized-CG study, LP-to-integer gaps of 8.22 and 4.96 at 100 tasks are reported without enough detail to establish their units and the common stopping target (Sarkar et al., 2025). In the crew-pairing preprint, an example gives LP and integer objectives of 77,325,470 and 77,325,387, and a reported LP-optimal baseline retains reduced cost −83.33 (Kumar and Aghalaya, 2026). For the same minimization model and feasible column set, the LP optimum cannot exceed a feasible integer objective; a feasible negative-reduced-cost column also prevents full-dual feasibility. Different models, numerical tolerances or incomplete convergence could explain the observations. The author has not contacted either study's authors and has received no clarification. These are unresolved reporting questions, not findings of misconduct or a demonstrated algorithmic error. The review does not use them as evidence of a stronger certified bound or faster certified closure.</w:t>
      </w:r>
    </w:p>
    <w:p>
      <w:pPr>
        <w:pStyle w:val="Heading3"/>
      </w:pPr>
      <w:r>
        <w:rPr>
          <w:rFonts w:ascii="Times New Roman" w:hAnsi="Times New Roman"/>
          <w:b/>
          <w:i w:val="0"/>
          <w:color w:val="000000"/>
        </w:rPr>
        <w:t>7.3.3 Completion, censoring and timing coverage</w:t>
      </w:r>
    </w:p>
    <w:p>
      <w:pPr/>
      <w:r>
        <w:rPr>
          <w:rFonts w:ascii="Times New Roman" w:hAnsi="Times New Roman"/>
          <w:b w:val="0"/>
          <w:i w:val="0"/>
          <w:color w:val="000000"/>
        </w:rPr>
        <w:t>Timings on jointly solved instances must be accompanied by completion over the full test population. The two-arc-fixing study's selected set and asymmetric limits restrict interpretation of its 19% reduction (Desaulniers et al., 2020). A more recent selective-pricing study has accepted root endpoints in 15 of 24 conditions, against 24 of 24 for exact-all pricing. Exact calls decrease in all 15 jointly accepted comparisons, but time increases in 14 (Zhang et al., 2026). Its small tree checks do not complete an integer proof. These results explain why call savings and success-conditioned timing must not replace end-to-end status.</w:t>
      </w:r>
    </w:p>
    <w:p>
      <w:pPr/>
      <w:r>
        <w:rPr>
          <w:rFonts w:ascii="Times New Roman" w:hAnsi="Times New Roman"/>
          <w:b w:val="0"/>
          <w:i w:val="0"/>
          <w:color w:val="000000"/>
        </w:rPr>
        <w:t>An endpoint can be a feasible solution, an externally known optimum, an infeasible cutoff or a completed primal–dual proof. Matching a known optimum with a permanently restricted heuristic does not mean that the algorithm supplied its own proof (Gao et al., 2025). A supplied upper bound can also remove incumbent discovery from a BPC timing experiment (You et al., 2026b).</w:t>
      </w:r>
    </w:p>
    <w:p>
      <w:pPr>
        <w:pStyle w:val="Heading2"/>
      </w:pPr>
      <w:r>
        <w:rPr>
          <w:rFonts w:ascii="Times New Roman" w:hAnsi="Times New Roman"/>
          <w:b/>
          <w:i w:val="0"/>
          <w:color w:val="000000"/>
        </w:rPr>
        <w:t>7.4 Learning cost, transfer and a practical protocol</w:t>
      </w:r>
    </w:p>
    <w:p>
      <w:pPr/>
      <w:r>
        <w:rPr>
          <w:rFonts w:ascii="Times New Roman" w:hAnsi="Times New Roman"/>
          <w:b w:val="0"/>
          <w:i w:val="0"/>
          <w:color w:val="000000"/>
        </w:rPr>
        <w:t>Online time should cover feature extraction, graph conversion, inference, verification and recovery. Offline time should separate state collection, expert solves, tuning and training. The deployment volume determines whether this investment pays off. Unit-commitment warm starts, for example, exploit repeated demand scenarios on the same generator fleet; this is a different generalization claim from a new network topology (Sugishita et al., 2024). Parent-instance separation should be distinguished from transfer across sizes, deeper nodes or new cuts (Gerbaux et al., 2025; Morabit et al., 2023; Wang and Khir, 2026; Zhao et al., 2026).</w:t>
      </w:r>
    </w:p>
    <w:p>
      <w:pPr/>
      <w:r>
        <w:rPr>
          <w:rFonts w:ascii="Times New Roman" w:hAnsi="Times New Roman"/>
          <w:b w:val="0"/>
          <w:i w:val="0"/>
          <w:color w:val="000000"/>
        </w:rPr>
        <w:t>Supporting path evidence has a narrower domain. Jin and Yu test 1000 unseen networks with the same 100-node, 4758-arc structure and nonnegative features (Jin and Yu, 2023). The reported better-path percentages and favorable comparisons do not count certified optima or test signed reduced-cost pricing. Keeping this boundary explicit makes the study useful for construction without treating it as realized CG acceleration.</w:t>
      </w:r>
    </w:p>
    <w:p>
      <w:pPr/>
      <w:r>
        <w:rPr>
          <w:rFonts w:ascii="Times New Roman" w:hAnsi="Times New Roman"/>
          <w:b w:val="0"/>
          <w:i w:val="0"/>
          <w:color w:val="000000"/>
        </w:rPr>
        <w:t>Table 6 proposes a reporting protocol for practitioners and reviewers, linking each computational claim to its required comparator and endpoint. The source solvers were not rerun for this review.</w:t>
      </w:r>
    </w:p>
    <w:p>
      <w:pPr>
        <w:pStyle w:val="Caption"/>
        <w:keepNext/>
        <w:keepLines/>
      </w:pPr>
      <w:r>
        <w:rPr>
          <w:rFonts w:ascii="Times New Roman" w:hAnsi="Times New Roman"/>
          <w:b/>
          <w:i w:val="0"/>
          <w:color w:val="000000"/>
        </w:rPr>
        <w:t>Table 6. Proposed practitioner protocol and reviewer checklist for accelerated CG and B&amp;P. These recommendations are not additional journal rules.</w:t>
      </w:r>
    </w:p>
    <w:tbl>
      <w:tblPr>
        <w:tblW w:type="auto" w:w="0"/>
        <w:jc w:val="center"/>
        <w:tblLayout w:type="fixed"/>
        <w:tblLook w:val="0000" w:firstRow="0" w:lastRow="0" w:firstColumn="0" w:lastColumn="0" w:noHBand="1" w:noVBand="1"/>
        <w:tblBorders>
          <w:top w:val="single" w:sz="8" w:color="000000"/>
          <w:left w:val="nil"/>
          <w:bottom w:val="single" w:sz="8" w:color="000000"/>
          <w:right w:val="nil"/>
          <w:insideH w:val="nil"/>
          <w:insideV w:val="nil"/>
          <w:start w:val="nil"/>
          <w:end w:val="nil"/>
        </w:tblBorders>
        <w:tblLayout w:type="fixed"/>
        <w:tblCellMar>
          <w:top w:w="70" w:type="dxa"/>
          <w:bottom w:w="70" w:type="dxa"/>
          <w:left w:w="85" w:type="dxa"/>
          <w:right w:w="85" w:type="dxa"/>
        </w:tblCellMar>
      </w:tblPr>
      <w:tblGrid>
        <w:gridCol w:w="1512"/>
        <w:gridCol w:w="2880"/>
        <w:gridCol w:w="2952"/>
        <w:gridCol w:w="2016"/>
      </w:tblGrid>
      <w:tr>
        <w:trPr>
          <w:cantSplit/>
          <w:tblHeader w:val="true"/>
        </w:trPr>
        <w:tc>
          <w:tcPr>
            <w:tcW w:type="dxa" w:w="1512"/>
            <w:vAlign w:val="center"/>
            <w:tcBorders>
              <w:bottom w:val="single" w:sz="4" w:color="000000"/>
            </w:tcBorders>
          </w:tcPr>
          <w:p>
            <w:pPr>
              <w:keepNext/>
              <w:widowControl w:val="0"/>
              <w:spacing w:after="0" w:line="245" w:lineRule="auto"/>
            </w:pPr>
            <w:r>
              <w:rPr>
                <w:rFonts w:ascii="Times New Roman" w:hAnsi="Times New Roman"/>
                <w:b/>
                <w:i w:val="0"/>
                <w:color w:val="000000"/>
                <w:sz w:val="19"/>
              </w:rPr>
              <w:t>Decision to assess</w:t>
            </w:r>
          </w:p>
        </w:tc>
        <w:tc>
          <w:tcPr>
            <w:tcW w:type="dxa" w:w="2880"/>
            <w:vAlign w:val="center"/>
            <w:tcBorders>
              <w:bottom w:val="single" w:sz="4" w:color="000000"/>
            </w:tcBorders>
          </w:tcPr>
          <w:p>
            <w:pPr>
              <w:keepNext/>
              <w:widowControl w:val="0"/>
              <w:spacing w:after="0" w:line="245" w:lineRule="auto"/>
            </w:pPr>
            <w:r>
              <w:rPr>
                <w:rFonts w:ascii="Times New Roman" w:hAnsi="Times New Roman"/>
                <w:b/>
                <w:i w:val="0"/>
                <w:color w:val="000000"/>
                <w:sz w:val="19"/>
              </w:rPr>
              <w:t>Minimum report</w:t>
            </w:r>
          </w:p>
        </w:tc>
        <w:tc>
          <w:tcPr>
            <w:tcW w:type="dxa" w:w="2952"/>
            <w:vAlign w:val="center"/>
            <w:tcBorders>
              <w:bottom w:val="single" w:sz="4" w:color="000000"/>
            </w:tcBorders>
          </w:tcPr>
          <w:p>
            <w:pPr>
              <w:keepNext/>
              <w:widowControl w:val="0"/>
              <w:spacing w:after="0" w:line="245" w:lineRule="auto"/>
            </w:pPr>
            <w:r>
              <w:rPr>
                <w:rFonts w:ascii="Times New Roman" w:hAnsi="Times New Roman"/>
                <w:b/>
                <w:i w:val="0"/>
                <w:color w:val="000000"/>
                <w:sz w:val="19"/>
              </w:rPr>
              <w:t>Matched comparison or check</w:t>
            </w:r>
          </w:p>
        </w:tc>
        <w:tc>
          <w:tcPr>
            <w:tcW w:type="dxa" w:w="2016"/>
            <w:vAlign w:val="center"/>
            <w:tcBorders>
              <w:bottom w:val="single" w:sz="4" w:color="000000"/>
            </w:tcBorders>
          </w:tcPr>
          <w:p>
            <w:pPr>
              <w:keepNext/>
              <w:widowControl w:val="0"/>
              <w:spacing w:after="0" w:line="245" w:lineRule="auto"/>
            </w:pPr>
            <w:r>
              <w:rPr>
                <w:rFonts w:ascii="Times New Roman" w:hAnsi="Times New Roman"/>
                <w:b/>
                <w:i w:val="0"/>
                <w:color w:val="000000"/>
                <w:sz w:val="19"/>
              </w:rPr>
              <w:t>Interpretation enabled</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Define the task</w:t>
            </w:r>
          </w:p>
        </w:tc>
        <w:tc>
          <w:tcPr>
            <w:tcW w:type="dxa" w:w="2880"/>
            <w:vAlign w:val="center"/>
          </w:tcPr>
          <w:p>
            <w:pPr>
              <w:keepNext w:val="0"/>
              <w:widowControl w:val="0"/>
              <w:spacing w:after="0" w:line="245" w:lineRule="auto"/>
            </w:pPr>
            <w:r>
              <w:rPr>
                <w:rFonts w:ascii="Times New Roman" w:hAnsi="Times New Roman"/>
                <w:b w:val="0"/>
                <w:i w:val="0"/>
                <w:color w:val="000000"/>
                <w:sz w:val="19"/>
              </w:rPr>
              <w:t>Layer, changed object, legal column universe and target endpoint</w:t>
            </w:r>
          </w:p>
        </w:tc>
        <w:tc>
          <w:tcPr>
            <w:tcW w:type="dxa" w:w="2952"/>
            <w:vAlign w:val="center"/>
          </w:tcPr>
          <w:p>
            <w:pPr>
              <w:keepNext w:val="0"/>
              <w:widowControl w:val="0"/>
              <w:spacing w:after="0" w:line="245" w:lineRule="auto"/>
            </w:pPr>
            <w:r>
              <w:rPr>
                <w:rFonts w:ascii="Times New Roman" w:hAnsi="Times New Roman"/>
                <w:b w:val="0"/>
                <w:i w:val="0"/>
                <w:color w:val="000000"/>
                <w:sz w:val="19"/>
              </w:rPr>
              <w:t>Same formulation, route relaxation, active rows and stopping tolerances</w:t>
            </w:r>
          </w:p>
        </w:tc>
        <w:tc>
          <w:tcPr>
            <w:tcW w:type="dxa" w:w="2016"/>
            <w:vAlign w:val="center"/>
          </w:tcPr>
          <w:p>
            <w:pPr>
              <w:keepNext w:val="0"/>
              <w:widowControl w:val="0"/>
              <w:spacing w:after="0" w:line="245" w:lineRule="auto"/>
            </w:pPr>
            <w:r>
              <w:rPr>
                <w:rFonts w:ascii="Times New Roman" w:hAnsi="Times New Roman"/>
                <w:b w:val="0"/>
                <w:i w:val="0"/>
                <w:color w:val="000000"/>
                <w:sz w:val="19"/>
              </w:rPr>
              <w:t>Identifies whether methods solve the same task</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Protect the result</w:t>
            </w:r>
          </w:p>
        </w:tc>
        <w:tc>
          <w:tcPr>
            <w:tcW w:type="dxa" w:w="2880"/>
            <w:vAlign w:val="center"/>
          </w:tcPr>
          <w:p>
            <w:pPr>
              <w:keepNext w:val="0"/>
              <w:widowControl w:val="0"/>
              <w:spacing w:after="0" w:line="245" w:lineRule="auto"/>
            </w:pPr>
            <w:r>
              <w:rPr>
                <w:rFonts w:ascii="Times New Roman" w:hAnsi="Times New Roman"/>
                <w:b w:val="0"/>
                <w:i w:val="0"/>
                <w:color w:val="000000"/>
                <w:sz w:val="19"/>
              </w:rPr>
              <w:t>G label, sufficient condition, recovery trigger and restored domain</w:t>
            </w:r>
          </w:p>
        </w:tc>
        <w:tc>
          <w:tcPr>
            <w:tcW w:type="dxa" w:w="2952"/>
            <w:vAlign w:val="center"/>
          </w:tcPr>
          <w:p>
            <w:pPr>
              <w:keepNext w:val="0"/>
              <w:widowControl w:val="0"/>
              <w:spacing w:after="0" w:line="245" w:lineRule="auto"/>
            </w:pPr>
            <w:r>
              <w:rPr>
                <w:rFonts w:ascii="Times New Roman" w:hAnsi="Times New Roman"/>
                <w:b w:val="0"/>
                <w:i w:val="0"/>
                <w:color w:val="000000"/>
                <w:sz w:val="19"/>
              </w:rPr>
              <w:t>Validate columns; test full-domain closure and Phase-I behavior</w:t>
            </w:r>
          </w:p>
        </w:tc>
        <w:tc>
          <w:tcPr>
            <w:tcW w:type="dxa" w:w="2016"/>
            <w:vAlign w:val="center"/>
          </w:tcPr>
          <w:p>
            <w:pPr>
              <w:keepNext w:val="0"/>
              <w:widowControl w:val="0"/>
              <w:spacing w:after="0" w:line="245" w:lineRule="auto"/>
            </w:pPr>
            <w:r>
              <w:rPr>
                <w:rFonts w:ascii="Times New Roman" w:hAnsi="Times New Roman"/>
                <w:b w:val="0"/>
                <w:i w:val="0"/>
                <w:color w:val="000000"/>
                <w:sz w:val="19"/>
              </w:rPr>
              <w:t>Separates proposals, bounds and certificates</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Price the intervention</w:t>
            </w:r>
          </w:p>
        </w:tc>
        <w:tc>
          <w:tcPr>
            <w:tcW w:type="dxa" w:w="2880"/>
            <w:vAlign w:val="center"/>
          </w:tcPr>
          <w:p>
            <w:pPr>
              <w:keepNext w:val="0"/>
              <w:widowControl w:val="0"/>
              <w:spacing w:after="0" w:line="245" w:lineRule="auto"/>
            </w:pPr>
            <w:r>
              <w:rPr>
                <w:rFonts w:ascii="Times New Roman" w:hAnsi="Times New Roman"/>
                <w:b w:val="0"/>
                <w:i w:val="0"/>
                <w:color w:val="000000"/>
                <w:sz w:val="19"/>
              </w:rPr>
              <w:t>Wall-clock total, feature conversion, inference, verification and recovery; offline costs separately</w:t>
            </w:r>
          </w:p>
        </w:tc>
        <w:tc>
          <w:tcPr>
            <w:tcW w:type="dxa" w:w="2952"/>
            <w:vAlign w:val="center"/>
          </w:tcPr>
          <w:p>
            <w:pPr>
              <w:keepNext w:val="0"/>
              <w:widowControl w:val="0"/>
              <w:spacing w:after="0" w:line="245" w:lineRule="auto"/>
            </w:pPr>
            <w:r>
              <w:rPr>
                <w:rFonts w:ascii="Times New Roman" w:hAnsi="Times New Roman"/>
                <w:b w:val="0"/>
                <w:i w:val="0"/>
                <w:color w:val="000000"/>
                <w:sz w:val="19"/>
              </w:rPr>
              <w:t>Same hardware, solver setup and timing boundaries</w:t>
            </w:r>
          </w:p>
        </w:tc>
        <w:tc>
          <w:tcPr>
            <w:tcW w:type="dxa" w:w="2016"/>
            <w:vAlign w:val="center"/>
          </w:tcPr>
          <w:p>
            <w:pPr>
              <w:keepNext w:val="0"/>
              <w:widowControl w:val="0"/>
              <w:spacing w:after="0" w:line="245" w:lineRule="auto"/>
            </w:pPr>
            <w:r>
              <w:rPr>
                <w:rFonts w:ascii="Times New Roman" w:hAnsi="Times New Roman"/>
                <w:b w:val="0"/>
                <w:i w:val="0"/>
                <w:color w:val="000000"/>
                <w:sz w:val="19"/>
              </w:rPr>
              <w:t>Shows whether saved work reduces elapsed time</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Isolate learning</w:t>
            </w:r>
          </w:p>
        </w:tc>
        <w:tc>
          <w:tcPr>
            <w:tcW w:type="dxa" w:w="2880"/>
            <w:vAlign w:val="center"/>
          </w:tcPr>
          <w:p>
            <w:pPr>
              <w:keepNext w:val="0"/>
              <w:widowControl w:val="0"/>
              <w:spacing w:after="0" w:line="245" w:lineRule="auto"/>
            </w:pPr>
            <w:r>
              <w:rPr>
                <w:rFonts w:ascii="Times New Roman" w:hAnsi="Times New Roman"/>
                <w:b w:val="0"/>
                <w:i w:val="0"/>
                <w:color w:val="000000"/>
                <w:sz w:val="19"/>
              </w:rPr>
              <w:t>Strong classical cascade, matched batch size or candidate budget, and component ablation</w:t>
            </w:r>
          </w:p>
        </w:tc>
        <w:tc>
          <w:tcPr>
            <w:tcW w:type="dxa" w:w="2952"/>
            <w:vAlign w:val="center"/>
          </w:tcPr>
          <w:p>
            <w:pPr>
              <w:keepNext w:val="0"/>
              <w:widowControl w:val="0"/>
              <w:spacing w:after="0" w:line="245" w:lineRule="auto"/>
            </w:pPr>
            <w:r>
              <w:rPr>
                <w:rFonts w:ascii="Times New Roman" w:hAnsi="Times New Roman"/>
                <w:b w:val="0"/>
                <w:i w:val="0"/>
                <w:color w:val="000000"/>
                <w:sz w:val="19"/>
              </w:rPr>
              <w:t>Hold surrounding solver and initial incumbent fixed</w:t>
            </w:r>
          </w:p>
        </w:tc>
        <w:tc>
          <w:tcPr>
            <w:tcW w:type="dxa" w:w="2016"/>
            <w:vAlign w:val="center"/>
          </w:tcPr>
          <w:p>
            <w:pPr>
              <w:keepNext w:val="0"/>
              <w:widowControl w:val="0"/>
              <w:spacing w:after="0" w:line="245" w:lineRule="auto"/>
            </w:pPr>
            <w:r>
              <w:rPr>
                <w:rFonts w:ascii="Times New Roman" w:hAnsi="Times New Roman"/>
                <w:b w:val="0"/>
                <w:i w:val="0"/>
                <w:color w:val="000000"/>
                <w:sz w:val="19"/>
              </w:rPr>
              <w:t>Separates learning from batching or engineering</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Follow the scope</w:t>
            </w:r>
          </w:p>
        </w:tc>
        <w:tc>
          <w:tcPr>
            <w:tcW w:type="dxa" w:w="2880"/>
            <w:vAlign w:val="center"/>
          </w:tcPr>
          <w:p>
            <w:pPr>
              <w:keepNext w:val="0"/>
              <w:widowControl w:val="0"/>
              <w:spacing w:after="0" w:line="245" w:lineRule="auto"/>
            </w:pPr>
            <w:r>
              <w:rPr>
                <w:rFonts w:ascii="Times New Roman" w:hAnsi="Times New Roman"/>
                <w:b w:val="0"/>
                <w:i w:val="0"/>
                <w:color w:val="000000"/>
                <w:sz w:val="19"/>
              </w:rPr>
              <w:t>E0–E4 evidence and distinct pricing, root and full-tree outcomes</w:t>
            </w:r>
          </w:p>
        </w:tc>
        <w:tc>
          <w:tcPr>
            <w:tcW w:type="dxa" w:w="2952"/>
            <w:vAlign w:val="center"/>
          </w:tcPr>
          <w:p>
            <w:pPr>
              <w:keepNext w:val="0"/>
              <w:widowControl w:val="0"/>
              <w:spacing w:after="0" w:line="245" w:lineRule="auto"/>
            </w:pPr>
            <w:r>
              <w:rPr>
                <w:rFonts w:ascii="Times New Roman" w:hAnsi="Times New Roman"/>
                <w:b w:val="0"/>
                <w:i w:val="0"/>
                <w:color w:val="000000"/>
                <w:sz w:val="19"/>
              </w:rPr>
              <w:t>Fixed-state replay plus prospective solves at the claimed level</w:t>
            </w:r>
          </w:p>
        </w:tc>
        <w:tc>
          <w:tcPr>
            <w:tcW w:type="dxa" w:w="2016"/>
            <w:vAlign w:val="center"/>
          </w:tcPr>
          <w:p>
            <w:pPr>
              <w:keepNext w:val="0"/>
              <w:widowControl w:val="0"/>
              <w:spacing w:after="0" w:line="245" w:lineRule="auto"/>
            </w:pPr>
            <w:r>
              <w:rPr>
                <w:rFonts w:ascii="Times New Roman" w:hAnsi="Times New Roman"/>
                <w:b w:val="0"/>
                <w:i w:val="0"/>
                <w:color w:val="000000"/>
                <w:sz w:val="19"/>
              </w:rPr>
              <w:t>Prevents root-to-tree extrapolation</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Keep all runs</w:t>
            </w:r>
          </w:p>
        </w:tc>
        <w:tc>
          <w:tcPr>
            <w:tcW w:type="dxa" w:w="2880"/>
            <w:vAlign w:val="center"/>
          </w:tcPr>
          <w:p>
            <w:pPr>
              <w:keepNext w:val="0"/>
              <w:widowControl w:val="0"/>
              <w:spacing w:after="0" w:line="245" w:lineRule="auto"/>
            </w:pPr>
            <w:r>
              <w:rPr>
                <w:rFonts w:ascii="Times New Roman" w:hAnsi="Times New Roman"/>
                <w:b w:val="0"/>
                <w:i w:val="0"/>
                <w:color w:val="000000"/>
                <w:sz w:val="19"/>
              </w:rPr>
              <w:t>Full test-set size, status per run, time limit, failures and jointly solved subset</w:t>
            </w:r>
          </w:p>
        </w:tc>
        <w:tc>
          <w:tcPr>
            <w:tcW w:type="dxa" w:w="2952"/>
            <w:vAlign w:val="center"/>
          </w:tcPr>
          <w:p>
            <w:pPr>
              <w:keepNext w:val="0"/>
              <w:widowControl w:val="0"/>
              <w:spacing w:after="0" w:line="245" w:lineRule="auto"/>
            </w:pPr>
            <w:r>
              <w:rPr>
                <w:rFonts w:ascii="Times New Roman" w:hAnsi="Times New Roman"/>
                <w:b w:val="0"/>
                <w:i w:val="0"/>
                <w:color w:val="000000"/>
                <w:sz w:val="19"/>
              </w:rPr>
              <w:t>Report full-sample completion alongside conditional timing</w:t>
            </w:r>
          </w:p>
        </w:tc>
        <w:tc>
          <w:tcPr>
            <w:tcW w:type="dxa" w:w="2016"/>
            <w:vAlign w:val="center"/>
          </w:tcPr>
          <w:p>
            <w:pPr>
              <w:keepNext w:val="0"/>
              <w:widowControl w:val="0"/>
              <w:spacing w:after="0" w:line="245" w:lineRule="auto"/>
            </w:pPr>
            <w:r>
              <w:rPr>
                <w:rFonts w:ascii="Times New Roman" w:hAnsi="Times New Roman"/>
                <w:b w:val="0"/>
                <w:i w:val="0"/>
                <w:color w:val="000000"/>
                <w:sz w:val="19"/>
              </w:rPr>
              <w:t>Exposes censoring and selection effects</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Name each statistic</w:t>
            </w:r>
          </w:p>
        </w:tc>
        <w:tc>
          <w:tcPr>
            <w:tcW w:type="dxa" w:w="2880"/>
            <w:vAlign w:val="center"/>
          </w:tcPr>
          <w:p>
            <w:pPr>
              <w:keepNext w:val="0"/>
              <w:widowControl w:val="0"/>
              <w:spacing w:after="0" w:line="245" w:lineRule="auto"/>
            </w:pPr>
            <w:r>
              <w:rPr>
                <w:rFonts w:ascii="Times New Roman" w:hAnsi="Times New Roman"/>
                <w:b w:val="0"/>
                <w:i w:val="0"/>
                <w:color w:val="000000"/>
                <w:sz w:val="19"/>
              </w:rPr>
              <w:t>Mean, geometric mean, total or paired ratio; exact percentage denominator</w:t>
            </w:r>
          </w:p>
        </w:tc>
        <w:tc>
          <w:tcPr>
            <w:tcW w:type="dxa" w:w="2952"/>
            <w:vAlign w:val="center"/>
          </w:tcPr>
          <w:p>
            <w:pPr>
              <w:keepNext w:val="0"/>
              <w:widowControl w:val="0"/>
              <w:spacing w:after="0" w:line="245" w:lineRule="auto"/>
            </w:pPr>
            <w:r>
              <w:rPr>
                <w:rFonts w:ascii="Times New Roman" w:hAnsi="Times New Roman"/>
                <w:b w:val="0"/>
                <w:i w:val="0"/>
                <w:color w:val="000000"/>
                <w:sz w:val="19"/>
              </w:rPr>
              <w:t>Retain raw paired inputs and consistent aggregation</w:t>
            </w:r>
          </w:p>
        </w:tc>
        <w:tc>
          <w:tcPr>
            <w:tcW w:type="dxa" w:w="2016"/>
            <w:vAlign w:val="center"/>
          </w:tcPr>
          <w:p>
            <w:pPr>
              <w:keepNext w:val="0"/>
              <w:widowControl w:val="0"/>
              <w:spacing w:after="0" w:line="245" w:lineRule="auto"/>
            </w:pPr>
            <w:r>
              <w:rPr>
                <w:rFonts w:ascii="Times New Roman" w:hAnsi="Times New Roman"/>
                <w:b w:val="0"/>
                <w:i w:val="0"/>
                <w:color w:val="000000"/>
                <w:sz w:val="19"/>
              </w:rPr>
              <w:t>Makes reported gains interpretable</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Test transfer</w:t>
            </w:r>
          </w:p>
        </w:tc>
        <w:tc>
          <w:tcPr>
            <w:tcW w:type="dxa" w:w="2880"/>
            <w:vAlign w:val="center"/>
          </w:tcPr>
          <w:p>
            <w:pPr>
              <w:keepNext w:val="0"/>
              <w:widowControl w:val="0"/>
              <w:spacing w:after="0" w:line="245" w:lineRule="auto"/>
            </w:pPr>
            <w:r>
              <w:rPr>
                <w:rFonts w:ascii="Times New Roman" w:hAnsi="Times New Roman"/>
                <w:b w:val="0"/>
                <w:i w:val="0"/>
                <w:color w:val="000000"/>
                <w:sz w:val="19"/>
              </w:rPr>
              <w:t>Parent-instance split, topology and size separation, node and cut conditions</w:t>
            </w:r>
          </w:p>
        </w:tc>
        <w:tc>
          <w:tcPr>
            <w:tcW w:type="dxa" w:w="2952"/>
            <w:vAlign w:val="center"/>
          </w:tcPr>
          <w:p>
            <w:pPr>
              <w:keepNext w:val="0"/>
              <w:widowControl w:val="0"/>
              <w:spacing w:after="0" w:line="245" w:lineRule="auto"/>
            </w:pPr>
            <w:r>
              <w:rPr>
                <w:rFonts w:ascii="Times New Roman" w:hAnsi="Times New Roman"/>
                <w:b w:val="0"/>
                <w:i w:val="0"/>
                <w:color w:val="000000"/>
                <w:sz w:val="19"/>
              </w:rPr>
              <w:t>Separate interpolation from each claimed distribution shift</w:t>
            </w:r>
          </w:p>
        </w:tc>
        <w:tc>
          <w:tcPr>
            <w:tcW w:type="dxa" w:w="2016"/>
            <w:vAlign w:val="center"/>
          </w:tcPr>
          <w:p>
            <w:pPr>
              <w:keepNext w:val="0"/>
              <w:widowControl w:val="0"/>
              <w:spacing w:after="0" w:line="245" w:lineRule="auto"/>
            </w:pPr>
            <w:r>
              <w:rPr>
                <w:rFonts w:ascii="Times New Roman" w:hAnsi="Times New Roman"/>
                <w:b w:val="0"/>
                <w:i w:val="0"/>
                <w:color w:val="000000"/>
                <w:sz w:val="19"/>
              </w:rPr>
              <w:t>Defines the supported deployment domain</w:t>
            </w:r>
          </w:p>
        </w:tc>
      </w:tr>
      <w:tr>
        <w:trPr>
          <w:cantSplit/>
        </w:trPr>
        <w:tc>
          <w:tcPr>
            <w:tcW w:type="dxa" w:w="1512"/>
            <w:vAlign w:val="center"/>
          </w:tcPr>
          <w:p>
            <w:pPr>
              <w:keepNext w:val="0"/>
              <w:widowControl w:val="0"/>
              <w:spacing w:after="0" w:line="245" w:lineRule="auto"/>
            </w:pPr>
            <w:r>
              <w:rPr>
                <w:rFonts w:ascii="Times New Roman" w:hAnsi="Times New Roman"/>
                <w:b w:val="0"/>
                <w:i w:val="0"/>
                <w:color w:val="000000"/>
                <w:sz w:val="19"/>
              </w:rPr>
              <w:t>Make it inspectable</w:t>
            </w:r>
          </w:p>
        </w:tc>
        <w:tc>
          <w:tcPr>
            <w:tcW w:type="dxa" w:w="2880"/>
            <w:vAlign w:val="center"/>
          </w:tcPr>
          <w:p>
            <w:pPr>
              <w:keepNext w:val="0"/>
              <w:widowControl w:val="0"/>
              <w:spacing w:after="0" w:line="245" w:lineRule="auto"/>
            </w:pPr>
            <w:r>
              <w:rPr>
                <w:rFonts w:ascii="Times New Roman" w:hAnsi="Times New Roman"/>
                <w:b w:val="0"/>
                <w:i w:val="0"/>
                <w:color w:val="000000"/>
                <w:sz w:val="19"/>
              </w:rPr>
              <w:t>Versions, seeds, tolerances, configurations, model and data provenance</w:t>
            </w:r>
          </w:p>
        </w:tc>
        <w:tc>
          <w:tcPr>
            <w:tcW w:type="dxa" w:w="2952"/>
            <w:vAlign w:val="center"/>
          </w:tcPr>
          <w:p>
            <w:pPr>
              <w:keepNext w:val="0"/>
              <w:widowControl w:val="0"/>
              <w:spacing w:after="0" w:line="245" w:lineRule="auto"/>
            </w:pPr>
            <w:r>
              <w:rPr>
                <w:rFonts w:ascii="Times New Roman" w:hAnsi="Times New Roman"/>
                <w:b w:val="0"/>
                <w:i w:val="0"/>
                <w:color w:val="000000"/>
                <w:sz w:val="19"/>
              </w:rPr>
              <w:t>Save valid bounds, incumbents and certificate or unresolved status</w:t>
            </w:r>
          </w:p>
        </w:tc>
        <w:tc>
          <w:tcPr>
            <w:tcW w:type="dxa" w:w="2016"/>
            <w:vAlign w:val="center"/>
          </w:tcPr>
          <w:p>
            <w:pPr>
              <w:keepNext w:val="0"/>
              <w:widowControl w:val="0"/>
              <w:spacing w:after="0" w:line="245" w:lineRule="auto"/>
            </w:pPr>
            <w:r>
              <w:rPr>
                <w:rFonts w:ascii="Times New Roman" w:hAnsi="Times New Roman"/>
                <w:b w:val="0"/>
                <w:i w:val="0"/>
                <w:color w:val="000000"/>
                <w:sz w:val="19"/>
              </w:rPr>
              <w:t>Supports independent reconstruction of the comparison</w:t>
            </w:r>
          </w:p>
        </w:tc>
      </w:tr>
    </w:tbl>
    <w:p>
      <w:pPr>
        <w:spacing w:after="40" w:before="0" w:line="240" w:lineRule="auto"/>
      </w:pPr>
      <w:r>
        <w:rPr>
          <w:rFonts w:ascii="Times New Roman" w:hAnsi="Times New Roman"/>
          <w:color w:val="000000"/>
          <w:sz w:val="2"/>
        </w:rPr>
      </w:r>
    </w:p>
    <w:p>
      <w:pPr>
        <w:pStyle w:val="Heading1"/>
      </w:pPr>
      <w:r>
        <w:rPr>
          <w:rFonts w:ascii="Times New Roman" w:hAnsi="Times New Roman"/>
          <w:b/>
          <w:i w:val="0"/>
          <w:color w:val="000000"/>
        </w:rPr>
        <w:t>8 Research directions</w:t>
      </w:r>
    </w:p>
    <w:p>
      <w:pPr/>
      <w:r>
        <w:rPr>
          <w:rFonts w:ascii="Times New Roman" w:hAnsi="Times New Roman"/>
          <w:b w:val="0"/>
          <w:i w:val="0"/>
          <w:color w:val="000000"/>
        </w:rPr>
        <w:t>The next useful step is to optimize the cost of a complete computational decision. This means learning when information is worth obtaining, how much restriction to attempt, and when restoration is cheaper than another prediction. Three priorities follow from the evidence: adaptive certification effort, recovery-aware control, and reusable pricing-state benchmarks linked to complete solves. Downstream training targets and controlled composition support those priorities.</w:t>
      </w:r>
    </w:p>
    <w:p>
      <w:pPr>
        <w:pStyle w:val="Heading2"/>
      </w:pPr>
      <w:r>
        <w:rPr>
          <w:rFonts w:ascii="Times New Roman" w:hAnsi="Times New Roman"/>
          <w:b/>
          <w:i w:val="0"/>
          <w:color w:val="000000"/>
        </w:rPr>
        <w:t>8.1 Allocate effort between discovery and certification</w:t>
      </w:r>
    </w:p>
    <w:p>
      <w:pPr/>
      <w:r>
        <w:rPr>
          <w:rFonts w:ascii="Times New Roman" w:hAnsi="Times New Roman"/>
          <w:b w:val="0"/>
          <w:i w:val="0"/>
          <w:color w:val="000000"/>
        </w:rPr>
        <w:t>Pricing has an uneven workload. Early in CG, many useful columns may be easy to find. Near closure, repeated cheap failures can consume time before the solver finally invokes a bound or exact oracle. A policy trained mostly on successful calls learns the easier half of this process.</w:t>
      </w:r>
    </w:p>
    <w:p>
      <w:pPr/>
      <w:r>
        <w:rPr>
          <w:rFonts w:ascii="Times New Roman" w:hAnsi="Times New Roman"/>
          <w:b w:val="0"/>
          <w:i w:val="0"/>
          <w:color w:val="000000"/>
        </w:rPr>
        <w:t>An adaptive controller could choose among a column pool, a constructive heuristic, a restricted labeling pass, a relaxed lower-bound calculation and complete pricing. Its state would include only information available before that choice: current dual movement, recent column yield, elapsed proposal time, label growth, the sizes of retained pools and which blocks already have valid bounds. Its action would allocate computation. The certifying condition would remain external to the learned prediction. In a multi-block model, closure would still require compatible coverage of every relevant block, including blocks that the policy repeatedly ranks last (Bulaich Mehamdi et al., 2025; Koutecká et al., 2025; Zhang et al., 2026).</w:t>
      </w:r>
    </w:p>
    <w:p>
      <w:pPr/>
      <w:r>
        <w:rPr>
          <w:rFonts w:ascii="Times New Roman" w:hAnsi="Times New Roman"/>
          <w:b w:val="0"/>
          <w:i w:val="0"/>
          <w:color w:val="000000"/>
        </w:rPr>
        <w:t>There are two distinct experimental targets. The first is the time to obtain a useful column. The second is the time to establish a valid endpoint when no cheap proposal succeeds. Their distributions should be reported separately before measuring their accumulated effect in CG and the tree. A policy that improves the first target but worsens the second may still be useful under a budgeted primal objective, but it has not established faster exact solution.</w:t>
      </w:r>
    </w:p>
    <w:p>
      <w:pPr/>
      <w:r>
        <w:rPr>
          <w:rFonts w:ascii="Times New Roman" w:hAnsi="Times New Roman"/>
          <w:b w:val="0"/>
          <w:i w:val="0"/>
          <w:color w:val="000000"/>
        </w:rPr>
        <w:t>The admissible action space should include an enforceable route to completion. For example, a deterministic work budget can end the heuristic phase and invoke the full oracle. This budget can itself be adapted within bounded limits, provided adaptation cannot postpone certification indefinitely. The fallback should use the current node model, not the root model on which the policy was trained. If it is interrupted, the run must retain an unresolved status and the last valid bound.</w:t>
      </w:r>
    </w:p>
    <w:p>
      <w:pPr/>
      <w:r>
        <w:rPr>
          <w:rFonts w:ascii="Times New Roman" w:hAnsi="Times New Roman"/>
          <w:b w:val="0"/>
          <w:i w:val="0"/>
          <w:color w:val="000000"/>
        </w:rPr>
        <w:t>Fixed cascades, deterministic adaptive schedules and simple cost-aware selection rules are necessary comparators. A useful ablation would hold the available oracles constant and change only their scheduling. Another would remove the learned component's access to recent failure information. That directly tests whether the policy learns the transition from discovery to certification, rather than merely identifying easy calls. Training data must retain failed proposals, nonimproving states and interrupted exact calls; discarding them would remove the observations needed to make this decision.</w:t>
      </w:r>
    </w:p>
    <w:p>
      <w:pPr>
        <w:pStyle w:val="Heading2"/>
      </w:pPr>
      <w:r>
        <w:rPr>
          <w:rFonts w:ascii="Times New Roman" w:hAnsi="Times New Roman"/>
          <w:b/>
          <w:i w:val="0"/>
          <w:color w:val="000000"/>
        </w:rPr>
        <w:t>8.2 Design the restriction and its recovery together</w:t>
      </w:r>
    </w:p>
    <w:p>
      <w:pPr/>
      <w:r>
        <w:rPr>
          <w:rFonts w:ascii="Times New Roman" w:hAnsi="Times New Roman"/>
          <w:b w:val="0"/>
          <w:i w:val="0"/>
          <w:color w:val="000000"/>
        </w:rPr>
        <w:t>Restoration should be a controlled part of the method, not an exception hidden outside the timing window.</w:t>
      </w:r>
    </w:p>
    <w:p>
      <w:pPr/>
      <w:r>
        <w:rPr>
          <w:rFonts w:ascii="Times New Roman" w:hAnsi="Times New Roman"/>
          <w:b w:val="0"/>
          <w:i w:val="0"/>
          <w:color w:val="000000"/>
        </w:rPr>
        <w:t>For graph filtering, a policy might choose an initial subgraph and an expansion schedule. Small subgraphs save work when useful routes survive, but false exclusions can move the entire expense into restoration. The relevant loss is therefore the total cost in Eq. (13), conditional on when and where errors occur. Balanced classification accuracy treats retaining an unnecessary arc and deleting a critical arc as symmetric mistakes; the solver often pays very different costs for them. The two-customer example gives a minimal demonstration: a filter with only two wrong exclusions changes a valid closure into an invalid one unless the missing arcs are restored.</w:t>
      </w:r>
    </w:p>
    <w:p>
      <w:pPr/>
      <w:r>
        <w:rPr>
          <w:rFonts w:ascii="Times New Roman" w:hAnsi="Times New Roman"/>
          <w:b w:val="0"/>
          <w:i w:val="0"/>
          <w:color w:val="000000"/>
        </w:rPr>
        <w:t>A concrete experiment should vary both restriction strength and the restoration trigger. Record the initial graph size, number of expansions, work discarded or reused across expansions, frequency of complete restoration and time to the final certificate. Compare against reduced-cost filters and deterministic neighborhood enlargement under the same pricing engine. This separates the value of prediction from the value of allowing a staged search at all. It also reveals whether a model saves work only by deferring the expensive part until after the reported interval.</w:t>
      </w:r>
    </w:p>
    <w:p>
      <w:pPr/>
      <w:r>
        <w:rPr>
          <w:rFonts w:ascii="Times New Roman" w:hAnsi="Times New Roman"/>
          <w:b w:val="0"/>
          <w:i w:val="0"/>
          <w:color w:val="000000"/>
        </w:rPr>
        <w:t>The learning target can reflect that asymmetry. Rather than label every arc independently by membership in one optimal route, supervision can estimate the marginal cost of excluding it under a specified restoration policy. Evaluating this proposed target requires attention to three practical difficulties. Counterfactual exclusions can be costly to label, useful routes can substitute for one another, and arc value depends on the current dual and active rows. A practical first study could estimate these effects only on selected difficult states, compare them with cheap membership labels, and report the additional data-generation cost.</w:t>
      </w:r>
    </w:p>
    <w:p>
      <w:pPr/>
      <w:r>
        <w:rPr>
          <w:rFonts w:ascii="Times New Roman" w:hAnsi="Times New Roman"/>
          <w:b w:val="0"/>
          <w:i w:val="0"/>
          <w:color w:val="000000"/>
        </w:rPr>
        <w:t>Column deletion has a related but different objective. Deleting a zero-valued column is immediately primal-safe, yet the same column may be repeatedly regenerated. A learned pool manager should track regeneration and the cost of rebuilding discarded structure. A finite deletion budget, protected improving columns or a proved alternative progress rule can prevent indefinite cycling. The evaluation should include the size of the master, regeneration frequency, memory use and the no-deletion tail, rather than only the number of columns kept (Fang et al., 2023; Morabit et al., 2021; Yuan et al., 2024).</w:t>
      </w:r>
    </w:p>
    <w:p>
      <w:pPr/>
      <w:r>
        <w:rPr>
          <w:rFonts w:ascii="Times New Roman" w:hAnsi="Times New Roman"/>
          <w:b w:val="0"/>
          <w:i w:val="0"/>
          <w:color w:val="000000"/>
        </w:rPr>
        <w:t>Finally, recovery should be tested where the predictor is least comfortable: late CG, deeper nodes, new cut families and changed resource constraints. A full-graph fallback that omits new cut contributions is not a recovered version of the same problem. Keeping one authoritative state description for proposals and certification would make these discrepancies easier to detect.</w:t>
      </w:r>
    </w:p>
    <w:p>
      <w:pPr>
        <w:pStyle w:val="Heading2"/>
      </w:pPr>
      <w:r>
        <w:rPr>
          <w:rFonts w:ascii="Times New Roman" w:hAnsi="Times New Roman"/>
          <w:b/>
          <w:i w:val="0"/>
          <w:color w:val="000000"/>
        </w:rPr>
        <w:t>8.3 An open library of pricing states and dual trajectories</w:t>
      </w:r>
    </w:p>
    <w:p>
      <w:pPr/>
      <w:r>
        <w:rPr>
          <w:rFonts w:ascii="Times New Roman" w:hAnsi="Times New Roman"/>
          <w:b w:val="0"/>
          <w:i w:val="0"/>
          <w:color w:val="000000"/>
        </w:rPr>
        <w:t xml:space="preserve">Instance libraries are necessary for solver evaluation, but an instance alone does not define the pricing problem encountered halfway through a solve. A reusable state library could make pricing research accessible without requiring every group to reproduce a full BPC implementation. Open pricing software provides a starting point for implementation (Salani et al., 2024), while matched-state pricing experiments provide a comparison design (Tilk et al., 2017). The proposed library would add explicit state provenance and certificate targets.</w:t>
      </w:r>
    </w:p>
    <w:p>
      <w:pPr/>
      <w:r>
        <w:rPr>
          <w:rFonts w:ascii="Times New Roman" w:hAnsi="Times New Roman"/>
          <w:b w:val="0"/>
          <w:i w:val="0"/>
          <w:color w:val="000000"/>
        </w:rPr>
        <w:t>Each state should contain four groups of information.</w:t>
      </w:r>
    </w:p>
    <w:p>
      <w:pPr>
        <w:pStyle w:val="ListBullet"/>
      </w:pPr>
      <w:r>
        <w:rPr>
          <w:rFonts w:ascii="Times New Roman" w:hAnsi="Times New Roman"/>
          <w:b/>
          <w:i w:val="0"/>
          <w:color w:val="000000"/>
        </w:rPr>
        <w:t>Problem definition:</w:t>
      </w:r>
      <w:r>
        <w:rPr>
          <w:rFonts w:ascii="Times New Roman" w:hAnsi="Times New Roman"/>
          <w:b w:val="0"/>
          <w:i w:val="0"/>
          <w:color w:val="000000"/>
        </w:rPr>
        <w:t xml:space="preserve"> the parent instance, original column universe, resource extension rules, objective convention and the precise route relaxation, including any elementarity memory.</w:t>
      </w:r>
    </w:p>
    <w:p>
      <w:pPr>
        <w:pStyle w:val="ListBullet"/>
      </w:pPr>
      <w:r>
        <w:rPr>
          <w:rFonts w:ascii="Times New Roman" w:hAnsi="Times New Roman"/>
          <w:b/>
          <w:i w:val="0"/>
          <w:color w:val="000000"/>
        </w:rPr>
        <w:t>Master and node context:</w:t>
      </w:r>
      <w:r>
        <w:rPr>
          <w:rFonts w:ascii="Times New Roman" w:hAnsi="Times New Roman"/>
          <w:b w:val="0"/>
          <w:i w:val="0"/>
          <w:color w:val="000000"/>
        </w:rPr>
        <w:t xml:space="preserve"> the current dual vector with row order and signs, branch restrictions, active cuts and their column coefficients, incumbent value when relevant, and whether the task is ordinary or feasibility pricing.</w:t>
      </w:r>
    </w:p>
    <w:p>
      <w:pPr>
        <w:pStyle w:val="ListBullet"/>
      </w:pPr>
      <w:r>
        <w:rPr>
          <w:rFonts w:ascii="Times New Roman" w:hAnsi="Times New Roman"/>
          <w:b/>
          <w:i w:val="0"/>
          <w:color w:val="000000"/>
        </w:rPr>
        <w:t>Reference outputs:</w:t>
      </w:r>
      <w:r>
        <w:rPr>
          <w:rFonts w:ascii="Times New Roman" w:hAnsi="Times New Roman"/>
          <w:b w:val="0"/>
          <w:i w:val="0"/>
          <w:color w:val="000000"/>
        </w:rPr>
        <w:t xml:space="preserve"> legal negative columns when available, a certified pricing lower bound or optimum with tolerances, the validating procedure, and an unresolved label when no certificate was obtained.</w:t>
      </w:r>
    </w:p>
    <w:p>
      <w:pPr>
        <w:pStyle w:val="ListBullet"/>
      </w:pPr>
      <w:r>
        <w:rPr>
          <w:rFonts w:ascii="Times New Roman" w:hAnsi="Times New Roman"/>
          <w:b/>
          <w:i w:val="0"/>
          <w:color w:val="000000"/>
        </w:rPr>
        <w:t>Provenance and cost:</w:t>
      </w:r>
      <w:r>
        <w:rPr>
          <w:rFonts w:ascii="Times New Roman" w:hAnsi="Times New Roman"/>
          <w:b w:val="0"/>
          <w:i w:val="0"/>
          <w:color w:val="000000"/>
        </w:rPr>
        <w:t xml:space="preserve"> solver and code versions, configuration, hardware, seeds, trajectory position, parent node, data-generation time and the status of the complete run from which the state was obtained.</w:t>
      </w:r>
    </w:p>
    <w:p>
      <w:pPr/>
      <w:r>
        <w:rPr>
          <w:rFonts w:ascii="Times New Roman" w:hAnsi="Times New Roman"/>
          <w:b w:val="0"/>
          <w:i w:val="0"/>
          <w:color w:val="000000"/>
        </w:rPr>
        <w:t>The schema should distinguish a feasible route cost from a lower bound on the pricing minimum. It should also distinguish an exact optimum from a bound sufficient for the requested decision. An interrupted reference solve must not be converted into a negative training label. Likewise, a root dual vector without the active nonroot rows cannot represent a deeper-node state simply by adding a depth feature.</w:t>
      </w:r>
    </w:p>
    <w:p>
      <w:pPr/>
      <w:r>
        <w:rPr>
          <w:rFonts w:ascii="Times New Roman" w:hAnsi="Times New Roman"/>
          <w:b w:val="0"/>
          <w:i w:val="0"/>
          <w:color w:val="000000"/>
        </w:rPr>
        <w:t>Reference validation can be layered. Every proposed route should pass an independent feasibility and reduced-cost checker. Small states can be cross-checked by exhaustive enumeration or a second exact formulation. Larger states can retain a certified solver bound, tolerances and the complete verification record. This is not a demand that every large pricing problem be solved twice; it is a separation between cheap witness checking and expensive nonexistence certification. The two-customer example provides a minimal regression case for bound direction, while larger adversarial cases should test resource resets, cut coefficients, infeasible RMPs and stale duals.</w:t>
      </w:r>
    </w:p>
    <w:p>
      <w:pPr/>
      <w:r>
        <w:rPr>
          <w:rFonts w:ascii="Times New Roman" w:hAnsi="Times New Roman"/>
          <w:b w:val="0"/>
          <w:i w:val="0"/>
          <w:color w:val="000000"/>
        </w:rPr>
        <w:t>Sampling is as important as the file format. A library populated only by states on successful baseline trajectories would underrepresent failures, final certification and states induced by different controllers. It should stratify by parent instance, difficulty, early discovery versus closure, root versus nonroot, and presence of cuts or branch restrictions. Training, validation and test partitions must separate parent instances and related topology families where transfer is claimed. Size extrapolation, new constraint types and new geography should be separate test tracks. Random state-level splits can remain as an interpolation diagnostic, but should not be the sole evidence of generalization.</w:t>
      </w:r>
    </w:p>
    <w:p>
      <w:pPr/>
      <w:r>
        <w:rPr>
          <w:rFonts w:ascii="Times New Roman" w:hAnsi="Times New Roman"/>
          <w:b w:val="0"/>
          <w:i w:val="0"/>
          <w:color w:val="000000"/>
        </w:rPr>
        <w:t>A two-stage evaluation would connect accessibility to operational relevance. First, replay fixed states to measure time to a legal improving column, time to a valid certificate, bound quality under a budget, peak memory and all final statuses. Second, integrate promising methods into fixed CG and BPC configurations and let them generate their own trajectories. Report completion over the full instance set alongside time and bounds. Replay identifies the local mechanism; prospective complete runs determine whether its benefit survives feedback through the master and tree.</w:t>
      </w:r>
    </w:p>
    <w:p>
      <w:pPr/>
      <w:r>
        <w:rPr>
          <w:rFonts w:ascii="Times New Roman" w:hAnsi="Times New Roman"/>
          <w:b w:val="0"/>
          <w:i w:val="0"/>
          <w:color w:val="000000"/>
        </w:rPr>
        <w:t>No single leaderboard number should collapse these tasks. A fast heuristic route generator and a fast certifier return different objects. Tracks can share the same states while score definitions retain that distinction. Versioned manifests and fixed test sets would make later improvements comparable, and a public issue process could correct invalid reference states without silently changing previous results. This library is a research proposal; the present review releases its literature records, not a new solver-state benchmark.</w:t>
      </w:r>
    </w:p>
    <w:p>
      <w:pPr>
        <w:pStyle w:val="Heading2"/>
      </w:pPr>
      <w:r>
        <w:rPr>
          <w:rFonts w:ascii="Times New Roman" w:hAnsi="Times New Roman"/>
          <w:b/>
          <w:i w:val="0"/>
          <w:color w:val="000000"/>
        </w:rPr>
        <w:t>8.4 Learn downstream cost at an affordable horizon</w:t>
      </w:r>
    </w:p>
    <w:p>
      <w:pPr/>
      <w:r>
        <w:rPr>
          <w:rFonts w:ascii="Times New Roman" w:hAnsi="Times New Roman"/>
          <w:b w:val="0"/>
          <w:i w:val="0"/>
          <w:color w:val="000000"/>
        </w:rPr>
        <w:t>Longer-horizon control should be tested only when it improves the endpoint that matters to the solver. Section 8.1 allocates work within one pricing encounter; here the question is how a choice changes later columns, duals and node work. A compact observation comprising current duals, unresolved-node count and elapsed time is useful, but not generally Markov sufficient. The underlying state also needs active rows, columns, search memory and bounds. A controller that sees only summaries should be evaluated as partially observed.</w:t>
      </w:r>
    </w:p>
    <w:p>
      <w:pPr/>
      <w:r>
        <w:rPr>
          <w:rFonts w:ascii="Times New Roman" w:hAnsi="Times New Roman"/>
          <w:b w:val="0"/>
          <w:i w:val="0"/>
          <w:color w:val="000000"/>
        </w:rPr>
        <w:t>Actions could choose exact pricing, heuristic pricing or temporary deferral, with a deterministic limit on deferral. Charging each transition its elapsed time gives a cumulative cost to the next specified valid-bound improvement or proof target. Failed proposals, master reoptimization, inference and recovery belong in that cost. A cheap call can induce more expensive later work without changing the optimum of a correctly certified LP.</w:t>
      </w:r>
    </w:p>
    <w:p>
      <w:pPr/>
      <w:r>
        <w:rPr>
          <w:rFonts w:ascii="Times New Roman" w:hAnsi="Times New Roman"/>
          <w:b w:val="0"/>
          <w:i w:val="0"/>
          <w:color w:val="000000"/>
        </w:rPr>
        <w:t>Training must also be budgeted. If offline preparation costs C and net saving per future instance is d in comparable resource units, positive d requires at least ceil(C/d) similar instances for amortization. Retraining increases that horizon. Comparing immediate and endpoint-cost objectives in the same prospective solver would reveal whether the extra trajectory collection is worthwhile. This remains a proposed experiment, not an established gain.</w:t>
      </w:r>
    </w:p>
    <w:p>
      <w:pPr>
        <w:pStyle w:val="Heading2"/>
      </w:pPr>
      <w:r>
        <w:rPr>
          <w:rFonts w:ascii="Times New Roman" w:hAnsi="Times New Roman"/>
          <w:b/>
          <w:i w:val="0"/>
          <w:color w:val="000000"/>
        </w:rPr>
        <w:t>8.5 Test composition in a strong baseline</w:t>
      </w:r>
    </w:p>
    <w:p>
      <w:pPr/>
      <w:r>
        <w:rPr>
          <w:rFonts w:ascii="Times New Roman" w:hAnsi="Times New Roman"/>
          <w:b w:val="0"/>
          <w:i w:val="0"/>
          <w:color w:val="000000"/>
        </w:rPr>
        <w:t xml:space="preserve">Composition can be tested with a 2³ factorial design. Use bit order </w:t>
      </w:r>
      <w:r>
        <w:rPr>
          <w:rFonts w:ascii="Times New Roman" w:hAnsi="Times New Roman"/>
          <w:b/>
          <w:i w:val="0"/>
          <w:color w:val="000000"/>
        </w:rPr>
        <w:t>S–F–L</w:t>
      </w:r>
      <w:r>
        <w:rPr>
          <w:rFonts w:ascii="Times New Roman" w:hAnsi="Times New Roman"/>
          <w:b w:val="0"/>
          <w:i w:val="0"/>
          <w:color w:val="000000"/>
        </w:rPr>
        <w:t>, where S toggles stabilization, F toggles a recoverable learned arc filter, and L toggles learned column selection. Thus 101 means stabilization and selection on, filtering off. Run all eight configurations with matched instances, seeds, candidate budgets, stopping targets and timing boundaries.</w:t>
      </w:r>
    </w:p>
    <w:p>
      <w:pPr/>
      <w:r>
        <w:rPr>
          <w:rFonts w:ascii="Times New Roman" w:hAnsi="Times New Roman"/>
          <w:b w:val="0"/>
          <w:i w:val="0"/>
          <w:color w:val="000000"/>
        </w:rPr>
        <w:t>Estimate main effects from paired on/off contrasts averaged over the other factors, and interactions from differences between those contrasts. Report completion and uncertainty for every configuration. Stabilization changes the dual inputs of a filter; filtering changes the columns reaching a selector. These are plausible reasons for interference, not measured findings here. A frozen-module experiment followed by separately budgeted retraining distinguishes distribution shift from an inherent incompatibility.</w:t>
      </w:r>
    </w:p>
    <w:p>
      <w:pPr/>
      <w:r>
        <w:rPr>
          <w:rFonts w:ascii="Times New Roman" w:hAnsi="Times New Roman"/>
          <w:b w:val="0"/>
          <w:i w:val="0"/>
          <w:color w:val="000000"/>
        </w:rPr>
        <w:t>Report both standalone gain over the base configuration and incremental gain over the strongest applicable classical setup chosen on validation data. The latter may require a comparator outside the eight cells, such as reduced-cost filtering or a mature pricing cascade. This makes the proposed experiment a test of additional value within an effective solver, rather than only of benefit over a stripped implementation.</w:t>
      </w:r>
    </w:p>
    <w:p>
      <w:pPr>
        <w:pStyle w:val="Heading1"/>
      </w:pPr>
      <w:r>
        <w:rPr>
          <w:rFonts w:ascii="Times New Roman" w:hAnsi="Times New Roman"/>
          <w:b/>
          <w:i w:val="0"/>
          <w:color w:val="000000"/>
        </w:rPr>
        <w:t>9 Conclusion</w:t>
      </w:r>
    </w:p>
    <w:p>
      <w:pPr/>
      <w:r>
        <w:rPr>
          <w:rFonts w:ascii="Times New Roman" w:hAnsi="Times New Roman"/>
          <w:b w:val="0"/>
          <w:i w:val="0"/>
          <w:color w:val="000000"/>
        </w:rPr>
        <w:t>Learning can accelerate CG and B&amp;P when it improves an identifiable expensive decision while retaining the procedure that validates the result. The located comparisons show several conditional successes; the first two rest on one peer-reviewed study each. In a BPC study with a supplied incumbent, learned candidate screening outperforms a learning-free adaptive strong-branching comparator. In a study with selected benchmarks, recoverable cutoffs help expensive pricing in nurse rostering and multiplexing. Predicted dual information improves repeated related CG solves, and matched-budget column selection gives smaller but identifiable root-level savings. These findings are more useful than an overall learning speedup because they specify the comparator, endpoint and deployment conditions.</w:t>
      </w:r>
    </w:p>
    <w:p>
      <w:pPr/>
      <w:r>
        <w:rPr>
          <w:rFonts w:ascii="Times New Roman" w:hAnsi="Times New Roman"/>
          <w:b w:val="0"/>
          <w:i w:val="0"/>
          <w:color w:val="000000"/>
        </w:rPr>
        <w:t>The evidence also shows where the conclusion changes. Classical reduced-cost filtering can outperform learned-only graph restriction. Dual initialization that helps a synthetic distribution can lose its advantage on a broader library. Fewer pricing calls or master iterations can coexist with greater elapsed time. Within-study comparisons in Table 4 make these effects visible without pooling incompatible experiments.</w:t>
      </w:r>
    </w:p>
    <w:p>
      <w:pPr/>
      <w:r>
        <w:rPr>
          <w:rFonts w:ascii="Times New Roman" w:hAnsi="Times New Roman"/>
          <w:b w:val="0"/>
          <w:i w:val="0"/>
          <w:color w:val="000000"/>
        </w:rPr>
        <w:t>The six layers, primary and secondary mechanisms, and E0–E4 scopes give readers a way to connect those findings. Appendix A identifies all 80 core and 8 supporting families and their 146 variants. Only 24 core families include a complete-tree evaluation; 23 report at least one completed solve under their stated stopping criteria, some with a supplied upper bound. Learning-guided variants are concentrated in offline and root-level evaluations. The coding audit records unresolved decisions, and a re-coding pack is provided. The main conclusions rely on located comparisons rather than on label frequencies.</w:t>
      </w:r>
    </w:p>
    <w:p>
      <w:pPr/>
      <w:r>
        <w:rPr>
          <w:rFonts w:ascii="Times New Roman" w:hAnsi="Times New Roman"/>
          <w:b w:val="0"/>
          <w:i w:val="0"/>
          <w:color w:val="000000"/>
        </w:rPr>
        <w:t>For practitioners, Table 5 indicates where to start and Table 6 identifies what to measure. A new filter should face a strong classical filter; a selector should face a matched admission budget; a branch policy should face a competitive candidate-evaluation rule. Inference and recovery belong inside online cost, and training belongs in the deployment budget. Feasible solutions, valid bounds and completed proofs should remain separate reported outcomes.</w:t>
      </w:r>
    </w:p>
    <w:p>
      <w:pPr/>
      <w:r>
        <w:rPr>
          <w:rFonts w:ascii="Times New Roman" w:hAnsi="Times New Roman"/>
          <w:b w:val="0"/>
          <w:i w:val="0"/>
          <w:color w:val="000000"/>
        </w:rPr>
        <w:t>Three research priorities follow. Adaptive certification can use retained failure and closure states to learn when another cheap attempt is worthwhile. Joint restriction and recovery design can compare expansion schedules under one pricing engine and charge all restoration work. A reusable library of pricing states, current rows, reference bounds and complete-run outcomes can make controlled comparisons accessible and connect them to prospective solver behavior. Longer-horizon learning and composition experiments are useful when they test these concrete decisions and justify their training cost. Progress is the measured reduction in resources needed to deliver the required valid result.</w:t>
      </w:r>
    </w:p>
    <w:p>
      <w:pPr>
        <w:pStyle w:val="Heading1"/>
        <w:pageBreakBefore/>
      </w:pPr>
      <w:r>
        <w:rPr>
          <w:rFonts w:ascii="Times New Roman" w:hAnsi="Times New Roman"/>
          <w:b/>
          <w:i w:val="0"/>
          <w:color w:val="000000"/>
        </w:rPr>
        <w:t>Appendix A Corpus inventory and recorded selection</w:t>
      </w:r>
    </w:p>
    <w:p>
      <w:pPr>
        <w:pStyle w:val="Heading2"/>
      </w:pPr>
      <w:r>
        <w:rPr>
          <w:rFonts w:ascii="Times New Roman" w:hAnsi="Times New Roman"/>
          <w:b/>
          <w:i w:val="0"/>
          <w:color w:val="000000"/>
        </w:rPr>
        <w:t>A.1 Reconstructed selection flow</w:t>
      </w:r>
    </w:p>
    <w:p>
      <w:pPr/>
      <w:r>
        <w:rPr>
          <w:rFonts w:ascii="Times New Roman" w:hAnsi="Times New Roman"/>
          <w:b w:val="0"/>
          <w:i w:val="0"/>
          <w:color w:val="000000"/>
        </w:rPr>
        <w:t>Figure A.1 displays the recorded selection counts in a PRISMA 2020-style layout (Page et al., 2021). It describes a targeted critical sample with two separate streams: the logged Crossref discovery export and the author-assembled full-text frame.</w:t>
      </w:r>
    </w:p>
    <w:p>
      <w:pPr>
        <w:keepNext/>
        <w:keepLines/>
        <w:spacing w:before="120" w:after="60"/>
        <w:jc w:val="center"/>
      </w:pPr>
      <w:r>
        <w:drawing>
          <wp:inline xmlns:a="http://schemas.openxmlformats.org/drawingml/2006/main" xmlns:pic="http://schemas.openxmlformats.org/drawingml/2006/picture">
            <wp:extent cx="5943600" cy="4692106"/>
            <wp:docPr id="4" name="Picture 4" descr="FA1_selection_flow"/>
            <wp:cNvGraphicFramePr>
              <a:graphicFrameLocks noChangeAspect="1"/>
            </wp:cNvGraphicFramePr>
            <a:graphic>
              <a:graphicData uri="http://schemas.openxmlformats.org/drawingml/2006/picture">
                <pic:pic>
                  <pic:nvPicPr>
                    <pic:cNvPr id="0" name="FA1_selection_flow.png"/>
                    <pic:cNvPicPr/>
                  </pic:nvPicPr>
                  <pic:blipFill>
                    <a:blip r:embed="rId13"/>
                    <a:stretch>
                      <a:fillRect/>
                    </a:stretch>
                  </pic:blipFill>
                  <pic:spPr>
                    <a:xfrm>
                      <a:off x="0" y="0"/>
                      <a:ext cx="5943600" cy="4692106"/>
                    </a:xfrm>
                    <a:prstGeom prst="rect"/>
                  </pic:spPr>
                </pic:pic>
              </a:graphicData>
            </a:graphic>
          </wp:inline>
        </w:drawing>
      </w:r>
    </w:p>
    <w:p>
      <w:pPr>
        <w:pStyle w:val="Caption"/>
        <w:keepLines/>
      </w:pPr>
      <w:r>
        <w:rPr>
          <w:b/>
        </w:rPr>
        <w:t xml:space="preserve">Figure A.1. </w:t>
      </w:r>
      <w:r>
        <w:rPr>
          <w:b w:val="0"/>
        </w:rPr>
        <w:t xml:space="preserve">Discovery and full-text assessment streams. The logged Crossref export (left) and the author-assembled full-text frame (right) are shown separately because no deduplicated total across all public sources was recorded. The 74 unselected records represent 73 independent works (Supplementary Table S1); these were not assessed in full text and are not exclusions. Rendered from the recorded counts using the locally updated Python script (Section 2.3).</w:t>
      </w:r>
    </w:p>
    <w:p>
      <w:pPr/>
      <w:r>
        <w:rPr>
          <w:rFonts w:ascii="Times New Roman" w:hAnsi="Times New Roman"/>
          <w:b w:val="0"/>
          <w:i w:val="0"/>
          <w:color w:val="000000"/>
        </w:rPr>
        <w:t xml:space="preserve">In the logged Crossref export, 180 rows reduce to 170 distinct DOIs representing 169 independent works after CL074/CL075 are linked to the same work. At the DOI-record level, 52 were excluded at title, 39 were already in the full-text frame and 79 required follow-up. Those 79 lead records represent 78 independent works. Follow-up linked one earlier stabilization report to an included family, excluded one paper in which CG supplies the action space for reinforcement learning, added three studies whose full texts were obtained and read (S102–S104), and left 74 unselected records representing 73 works. Supplementary Table S1 retains the two DOI records as aliases of one work. Category assignments that remain unresolved are not presented as finalized category totals.</w:t>
      </w:r>
    </w:p>
    <w:p>
      <w:pPr/>
      <w:r>
        <w:rPr>
          <w:rFonts w:ascii="Times New Roman" w:hAnsi="Times New Roman"/>
          <w:b w:val="0"/>
          <w:i w:val="0"/>
          <w:color w:val="000000"/>
        </w:rPr>
        <w:t>With these three additions, the author-assembled full-text frame contains 104 reports from 103 families; one erratum is attached to its review. Four adjacent surveys (S006, S009, S010 and S011) were excluded from method coding because they do not report a primary within-CG intervention; two of them, S009 and S011, are cited only as context. The remaining 99 families comprise 79 core, 8 supporting and 12 background families. The targeted search of 14 October added one fully read core family on diving (S105) and two further reports of included families (FFCG and in-out smoothing), which are not new studies. The full-text cohort thus has 100 families, of which the 88 core or supporting families contribute the 146 variants.</w:t>
      </w:r>
    </w:p>
    <w:p>
      <w:pPr/>
      <w:r>
        <w:rPr>
          <w:rFonts w:ascii="Times New Roman" w:hAnsi="Times New Roman"/>
          <w:b w:val="0"/>
          <w:i w:val="0"/>
          <w:color w:val="000000"/>
        </w:rPr>
        <w:t>The initial whole-web hit counts, duplicates across all sources and a global title-screening denominator were not recorded and are reported as not recoverable rather than estimated. The dated queries, failed retrievals and lead dispositions are included in the data release (Yang, 2026).</w:t>
      </w:r>
    </w:p>
    <w:p>
      <w:pPr>
        <w:pStyle w:val="Heading2"/>
      </w:pPr>
      <w:r>
        <w:rPr>
          <w:rFonts w:ascii="Times New Roman" w:hAnsi="Times New Roman"/>
          <w:b/>
          <w:i w:val="0"/>
          <w:color w:val="000000"/>
        </w:rPr>
        <w:t>A.2 Complete core and supporting inventory</w:t>
      </w:r>
    </w:p>
    <w:p>
      <w:pPr/>
      <w:r>
        <w:rPr>
          <w:rFonts w:ascii="Times New Roman" w:hAnsi="Times New Roman"/>
          <w:b w:val="0"/>
          <w:i w:val="0"/>
          <w:color w:val="000000"/>
        </w:rPr>
        <w:t>Table A.1 includes every core or supporting family and every coded variant. Each cited family has a full reference. Method identifiers join the row to the evidence records; reading-record identifiers identify the actual source version. C denotes CORE and S denotes SUPPORT. T denotes a traditional variant and ML a learning-guided variant. J means a peer-reviewed journal publication, Cnf a peer-reviewed conference publication, P a preprint, and W a workshop paper whose main-conference status is not asserted. Publication status concerns the research report, not an assertion that the file read was the version of record.</w:t>
      </w:r>
    </w:p>
    <w:p>
      <w:pPr/>
      <w:r>
        <w:rPr>
          <w:rFonts w:ascii="Times New Roman" w:hAnsi="Times New Roman"/>
          <w:b w:val="0"/>
          <w:i w:val="0"/>
          <w:color w:val="000000"/>
        </w:rPr>
        <w:t xml:space="preserve">The L column gives the primary layer followed by secondary layers in parentheses. The G column gives the primary mechanism used for Figure 3; secondary mechanisms and qualifications are discussed in Appendix B and retained in the coding records. GU marks the four unassigned variants, and GU-offline the prediction-only case without an integrated guarantee target. All are retained so that the figure denominator can be reconstructed. The E column gives all observed scopes, not an inferred hierarchy. An em dash means none coded. A dagger (†) marks an unresolved field whose previous value is retained provisionally; it does not change that field to GU. The method descriptions, layer assignments, mechanisms or scopes carrying this marker still require a final decision.</w:t>
      </w:r>
    </w:p>
    <w:p>
      <w:pPr>
        <w:pStyle w:val="Caption"/>
        <w:keepNext/>
        <w:keepLines/>
      </w:pPr>
      <w:r>
        <w:rPr>
          <w:rFonts w:ascii="Times New Roman" w:hAnsi="Times New Roman"/>
          <w:b/>
          <w:i w:val="0"/>
          <w:color w:val="000000"/>
        </w:rPr>
        <w:t>Table A.1. Complete inventory of 146 variants from 88 core or supporting families.</w:t>
      </w:r>
    </w:p>
    <w:tbl>
      <w:tblPr>
        <w:tblW w:type="auto" w:w="0"/>
        <w:jc w:val="center"/>
        <w:tblLayout w:type="fixed"/>
        <w:tblLook w:val="0000" w:firstRow="0" w:lastRow="0" w:firstColumn="0" w:lastColumn="0" w:noHBand="1" w:noVBand="1"/>
        <w:tblBorders>
          <w:top w:val="single" w:sz="8" w:color="000000"/>
          <w:left w:val="nil"/>
          <w:bottom w:val="single" w:sz="8" w:color="000000"/>
          <w:right w:val="nil"/>
          <w:insideH w:val="nil"/>
          <w:insideV w:val="nil"/>
          <w:start w:val="nil"/>
          <w:end w:val="nil"/>
        </w:tblBorders>
        <w:tblLayout w:type="fixed"/>
        <w:tblCellMar>
          <w:top w:w="70" w:type="dxa"/>
          <w:bottom w:w="70" w:type="dxa"/>
          <w:left w:w="85" w:type="dxa"/>
          <w:right w:w="85" w:type="dxa"/>
        </w:tblCellMar>
      </w:tblPr>
      <w:tblGrid>
        <w:gridCol w:w="1008"/>
        <w:gridCol w:w="3600"/>
        <w:gridCol w:w="1123"/>
        <w:gridCol w:w="1080"/>
        <w:gridCol w:w="1224"/>
        <w:gridCol w:w="1325"/>
      </w:tblGrid>
      <w:tr>
        <w:trPr>
          <w:cantSplit/>
          <w:tblHeader w:val="true"/>
        </w:trPr>
        <w:tc>
          <w:tcPr>
            <w:tcW w:type="dxa" w:w="1008"/>
            <w:vAlign w:val="center"/>
            <w:tcBorders>
              <w:bottom w:val="single" w:sz="4" w:color="000000"/>
            </w:tcBorders>
          </w:tcPr>
          <w:p>
            <w:pPr>
              <w:keepNext/>
              <w:widowControl w:val="0"/>
              <w:spacing w:after="0" w:line="247" w:lineRule="auto"/>
              <w:jc w:val="center"/>
            </w:pPr>
            <w:r>
              <w:rPr>
                <w:rFonts w:ascii="Times New Roman" w:hAnsi="Times New Roman"/>
                <w:b/>
                <w:i w:val="0"/>
                <w:color w:val="000000"/>
                <w:sz w:val="16"/>
              </w:rPr>
              <w:t>Method</w:t>
            </w:r>
          </w:p>
        </w:tc>
        <w:tc>
          <w:tcPr>
            <w:tcW w:type="dxa" w:w="3600"/>
            <w:vAlign w:val="center"/>
            <w:tcBorders>
              <w:bottom w:val="single" w:sz="4" w:color="000000"/>
            </w:tcBorders>
          </w:tcPr>
          <w:p>
            <w:pPr>
              <w:keepNext/>
              <w:widowControl w:val="0"/>
              <w:spacing w:after="0" w:line="247" w:lineRule="auto"/>
            </w:pPr>
            <w:r>
              <w:rPr>
                <w:rFonts w:ascii="Times New Roman" w:hAnsi="Times New Roman"/>
                <w:b/>
                <w:i w:val="0"/>
                <w:color w:val="000000"/>
                <w:sz w:val="16"/>
              </w:rPr>
              <w:t>Study, variant and reading record</w:t>
            </w:r>
          </w:p>
        </w:tc>
        <w:tc>
          <w:tcPr>
            <w:tcW w:type="dxa" w:w="1123"/>
            <w:vAlign w:val="center"/>
            <w:tcBorders>
              <w:bottom w:val="single" w:sz="4" w:color="000000"/>
            </w:tcBorders>
          </w:tcPr>
          <w:p>
            <w:pPr>
              <w:keepNext/>
              <w:widowControl w:val="0"/>
              <w:spacing w:after="0" w:line="247" w:lineRule="auto"/>
              <w:jc w:val="center"/>
            </w:pPr>
            <w:r>
              <w:rPr>
                <w:rFonts w:ascii="Times New Roman" w:hAnsi="Times New Roman"/>
                <w:b/>
                <w:i w:val="0"/>
                <w:color w:val="000000"/>
                <w:sz w:val="16"/>
              </w:rPr>
              <w:t>Layer</w:t>
            </w:r>
          </w:p>
        </w:tc>
        <w:tc>
          <w:tcPr>
            <w:tcW w:type="dxa" w:w="1080"/>
            <w:vAlign w:val="center"/>
            <w:tcBorders>
              <w:bottom w:val="single" w:sz="4" w:color="000000"/>
            </w:tcBorders>
          </w:tcPr>
          <w:p>
            <w:pPr>
              <w:keepNext/>
              <w:widowControl w:val="0"/>
              <w:spacing w:after="0" w:line="247" w:lineRule="auto"/>
              <w:jc w:val="center"/>
            </w:pPr>
            <w:r>
              <w:rPr>
                <w:rFonts w:ascii="Times New Roman" w:hAnsi="Times New Roman"/>
                <w:b/>
                <w:i w:val="0"/>
                <w:color w:val="000000"/>
                <w:sz w:val="16"/>
              </w:rPr>
              <w:t>Primary G / status</w:t>
            </w:r>
          </w:p>
        </w:tc>
        <w:tc>
          <w:tcPr>
            <w:tcW w:type="dxa" w:w="1224"/>
            <w:vAlign w:val="center"/>
            <w:tcBorders>
              <w:bottom w:val="single" w:sz="4" w:color="000000"/>
            </w:tcBorders>
          </w:tcPr>
          <w:p>
            <w:pPr>
              <w:keepNext/>
              <w:widowControl w:val="0"/>
              <w:spacing w:after="0" w:line="247" w:lineRule="auto"/>
              <w:jc w:val="center"/>
            </w:pPr>
            <w:r>
              <w:rPr>
                <w:rFonts w:ascii="Times New Roman" w:hAnsi="Times New Roman"/>
                <w:b/>
                <w:i w:val="0"/>
                <w:color w:val="000000"/>
                <w:sz w:val="16"/>
              </w:rPr>
              <w:t>E</w:t>
            </w:r>
          </w:p>
        </w:tc>
        <w:tc>
          <w:tcPr>
            <w:tcW w:type="dxa" w:w="1325"/>
            <w:vAlign w:val="center"/>
            <w:tcBorders>
              <w:bottom w:val="single" w:sz="4" w:color="000000"/>
            </w:tcBorders>
          </w:tcPr>
          <w:p>
            <w:pPr>
              <w:keepNext/>
              <w:widowControl w:val="0"/>
              <w:spacing w:after="0" w:line="247" w:lineRule="auto"/>
              <w:jc w:val="center"/>
            </w:pPr>
            <w:r>
              <w:rPr>
                <w:rFonts w:ascii="Times New Roman" w:hAnsi="Times New Roman"/>
                <w:b/>
                <w:i w:val="0"/>
                <w:color w:val="000000"/>
                <w:sz w:val="16"/>
              </w:rPr>
              <w:t>Cohort / type / status</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S016-M1</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(Righini and Salani, 2008) DSSR; exact bidirectional DP; relaxed DP plus inner branch-and-bound [R016] †</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 (L5) †</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G4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S017-M1</w:t>
            </w:r>
          </w:p>
        </w:tc>
        <w:tc>
          <w:tcPr>
            <w:tcW w:type="dxa" w:w="3600"/>
            <w:vAlign w:val="center"/>
          </w:tcPr>
          <w:p>
            <w:pPr>
              <w:keepNext w:val="0"/>
              <w:widowControl w:val="0"/>
              <w:spacing w:after="0" w:line="247" w:lineRule="auto"/>
            </w:pPr>
            <w:r>
              <w:rPr>
                <w:rFonts w:ascii="Times New Roman" w:hAnsi="Times New Roman"/>
                <w:b w:val="0"/>
                <w:i w:val="0"/>
                <w:color w:val="000000"/>
                <w:sz w:val="16"/>
              </w:rPr>
              <w:t>(Desaulniers et al., 2008) Multiphase tabu/heuristic DP/exact DP pricing cascade [R017]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L3 (L4,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S017-M2</w:t>
            </w:r>
          </w:p>
        </w:tc>
        <w:tc>
          <w:tcPr>
            <w:tcW w:type="dxa" w:w="3600"/>
            <w:vAlign w:val="center"/>
          </w:tcPr>
          <w:p>
            <w:pPr>
              <w:keepNext w:val="0"/>
              <w:widowControl w:val="0"/>
              <w:spacing w:after="0" w:line="247" w:lineRule="auto"/>
            </w:pPr>
            <w:r>
              <w:rPr>
                <w:rFonts w:ascii="Times New Roman" w:hAnsi="Times New Roman"/>
                <w:b w:val="0"/>
                <w:i w:val="0"/>
                <w:color w:val="000000"/>
                <w:sz w:val="16"/>
              </w:rPr>
              <w:t>(Desaulniers et al., 2008) Dynamically capped partial elementarity [R017]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S017-M3</w:t>
            </w:r>
          </w:p>
        </w:tc>
        <w:tc>
          <w:tcPr>
            <w:tcW w:type="dxa" w:w="3600"/>
            <w:vAlign w:val="center"/>
          </w:tcPr>
          <w:p>
            <w:pPr>
              <w:keepNext w:val="0"/>
              <w:widowControl w:val="0"/>
              <w:spacing w:after="0" w:line="247" w:lineRule="auto"/>
            </w:pPr>
            <w:r>
              <w:rPr>
                <w:rFonts w:ascii="Times New Roman" w:hAnsi="Times New Roman"/>
                <w:b w:val="0"/>
                <w:i w:val="0"/>
                <w:color w:val="000000"/>
                <w:sz w:val="16"/>
              </w:rPr>
              <w:t>(Desaulniers et al., 2008) Early-stop cut reoptimization preserving prior node bound [R017]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S018-M1</w:t>
            </w:r>
          </w:p>
        </w:tc>
        <w:tc>
          <w:tcPr>
            <w:tcW w:type="dxa" w:w="3600"/>
            <w:vAlign w:val="center"/>
          </w:tcPr>
          <w:p>
            <w:pPr>
              <w:keepNext w:val="0"/>
              <w:widowControl w:val="0"/>
              <w:spacing w:after="0" w:line="247" w:lineRule="auto"/>
            </w:pPr>
            <w:r>
              <w:rPr>
                <w:rFonts w:ascii="Times New Roman" w:hAnsi="Times New Roman"/>
                <w:b w:val="0"/>
                <w:i w:val="0"/>
                <w:color w:val="000000"/>
                <w:sz w:val="16"/>
              </w:rPr>
              <w:t>(Pessoa et al., 2018) Automatic dual-price smoothing; directional smoothing; piecewise-linear penalty stabilization; combinations [R018]</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S019-M1</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2021) Bucket graph labeling; automatic bucket size; bucket-arc elimination with jump arcs; integrated BPC [R019-V1]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(L4, L3, L6, L2, 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S019-M2</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2021) Bucket graph labeling; automatic bucket size; bucket-arc elimination with jump arcs; integrated BPC [R019-V1]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(L3, L6, L2, 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S020-M1</w:t>
            </w:r>
          </w:p>
        </w:tc>
        <w:tc>
          <w:tcPr>
            <w:tcW w:type="dxa" w:w="3600"/>
            <w:vAlign w:val="center"/>
          </w:tcPr>
          <w:p>
            <w:pPr>
              <w:keepNext w:val="0"/>
              <w:widowControl w:val="0"/>
              <w:spacing w:after="0" w:line="247" w:lineRule="auto"/>
            </w:pPr>
            <w:r>
              <w:rPr>
                <w:rFonts w:ascii="Times New Roman" w:hAnsi="Times New Roman"/>
                <w:b w:val="0"/>
                <w:i w:val="0"/>
                <w:color w:val="000000"/>
                <w:sz w:val="16"/>
              </w:rPr>
              <w:t>(Maher and Rönnberg, 2023) Main described algorithm [R020]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(L3, 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G5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S020-M2</w:t>
            </w:r>
          </w:p>
        </w:tc>
        <w:tc>
          <w:tcPr>
            <w:tcW w:type="dxa" w:w="3600"/>
            <w:vAlign w:val="center"/>
          </w:tcPr>
          <w:p>
            <w:pPr>
              <w:keepNext w:val="0"/>
              <w:widowControl w:val="0"/>
              <w:spacing w:after="0" w:line="247" w:lineRule="auto"/>
            </w:pPr>
            <w:r>
              <w:rPr>
                <w:rFonts w:ascii="Times New Roman" w:hAnsi="Times New Roman"/>
                <w:b w:val="0"/>
                <w:i w:val="0"/>
                <w:color w:val="000000"/>
                <w:sz w:val="16"/>
              </w:rPr>
              <w:t>(Maher and Rönnberg, 2023) IPColGen as primal add-on within unchanged GCG BPC [R020]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S021-M1</w:t>
            </w:r>
          </w:p>
        </w:tc>
        <w:tc>
          <w:tcPr>
            <w:tcW w:type="dxa" w:w="3600"/>
            <w:vAlign w:val="center"/>
          </w:tcPr>
          <w:p>
            <w:pPr>
              <w:keepNext w:val="0"/>
              <w:widowControl w:val="0"/>
              <w:spacing w:after="0" w:line="247" w:lineRule="auto"/>
            </w:pPr>
            <w:r>
              <w:rPr>
                <w:rFonts w:ascii="Times New Roman" w:hAnsi="Times New Roman"/>
                <w:b w:val="0"/>
                <w:i w:val="0"/>
                <w:color w:val="000000"/>
                <w:sz w:val="16"/>
              </w:rPr>
              <w:t>(Yang, 2025) Main described algorithm [R021]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(L2,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S021-M2</w:t>
            </w:r>
          </w:p>
        </w:tc>
        <w:tc>
          <w:tcPr>
            <w:tcW w:type="dxa" w:w="3600"/>
            <w:vAlign w:val="center"/>
          </w:tcPr>
          <w:p>
            <w:pPr>
              <w:keepNext w:val="0"/>
              <w:widowControl w:val="0"/>
              <w:spacing w:after="0" w:line="247" w:lineRule="auto"/>
            </w:pPr>
            <w:r>
              <w:rPr>
                <w:rFonts w:ascii="Times New Roman" w:hAnsi="Times New Roman"/>
                <w:b w:val="0"/>
                <w:i w:val="0"/>
                <w:color w:val="000000"/>
                <w:sz w:val="16"/>
              </w:rPr>
              <w:t>(Yang, 2025) restricted cut addition with pool restoration [R021]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S021-M3</w:t>
            </w:r>
          </w:p>
        </w:tc>
        <w:tc>
          <w:tcPr>
            <w:tcW w:type="dxa" w:w="3600"/>
            <w:vAlign w:val="center"/>
          </w:tcPr>
          <w:p>
            <w:pPr>
              <w:keepNext w:val="0"/>
              <w:widowControl w:val="0"/>
              <w:spacing w:after="0" w:line="247" w:lineRule="auto"/>
            </w:pPr>
            <w:r>
              <w:rPr>
                <w:rFonts w:ascii="Times New Roman" w:hAnsi="Times New Roman"/>
                <w:b w:val="0"/>
                <w:i w:val="0"/>
                <w:color w:val="000000"/>
                <w:sz w:val="16"/>
              </w:rPr>
              <w:t>(Yang, 2025) conditional variable-type relaxation [R021]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S021-M4</w:t>
            </w:r>
          </w:p>
        </w:tc>
        <w:tc>
          <w:tcPr>
            <w:tcW w:type="dxa" w:w="3600"/>
            <w:vAlign w:val="center"/>
          </w:tcPr>
          <w:p>
            <w:pPr>
              <w:keepNext w:val="0"/>
              <w:widowControl w:val="0"/>
              <w:spacing w:after="0" w:line="247" w:lineRule="auto"/>
            </w:pPr>
            <w:r>
              <w:rPr>
                <w:rFonts w:ascii="Times New Roman" w:hAnsi="Times New Roman"/>
                <w:b w:val="0"/>
                <w:i w:val="0"/>
                <w:color w:val="000000"/>
                <w:sz w:val="16"/>
              </w:rPr>
              <w:t>(Yang, 2025) trial-enumeration primal heuristic [R021]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S022-M1</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(Michelini et al., 2026) Main described algorithm [R022] †</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 (L3, L6, L1) †</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E2, E3, E4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S022-M2</w:t>
            </w:r>
          </w:p>
        </w:tc>
        <w:tc>
          <w:tcPr>
            <w:tcW w:type="dxa" w:w="3600"/>
            <w:vAlign w:val="center"/>
          </w:tcPr>
          <w:p>
            <w:pPr>
              <w:keepNext w:val="0"/>
              <w:widowControl w:val="0"/>
              <w:spacing w:after="0" w:line="247" w:lineRule="auto"/>
            </w:pPr>
            <w:r>
              <w:rPr>
                <w:rFonts w:ascii="Times New Roman" w:hAnsi="Times New Roman"/>
                <w:b w:val="0"/>
                <w:i w:val="0"/>
                <w:color w:val="000000"/>
                <w:sz w:val="16"/>
              </w:rPr>
              <w:t>(Michelini et al., 2026) Strengthened waiting-cost dominance [R022]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S022-M3</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(Michelini et al., 2026) Offline irace configuration of complete B&amp;P policies [R022] †</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L3 (L1, L4, L6) †</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S023-M1</w:t>
            </w:r>
          </w:p>
        </w:tc>
        <w:tc>
          <w:tcPr>
            <w:tcW w:type="dxa" w:w="3600"/>
            <w:vAlign w:val="center"/>
          </w:tcPr>
          <w:p>
            <w:pPr>
              <w:keepNext w:val="0"/>
              <w:widowControl w:val="0"/>
              <w:spacing w:after="0" w:line="247" w:lineRule="auto"/>
            </w:pPr>
            <w:r>
              <w:rPr>
                <w:rFonts w:ascii="Times New Roman" w:hAnsi="Times New Roman"/>
                <w:b w:val="0"/>
                <w:i w:val="0"/>
                <w:color w:val="000000"/>
                <w:sz w:val="16"/>
              </w:rPr>
              <w:t>(du Merle et al., 1999) Linear penalty plus bounded surplus/slack stabilization [R023]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S024-M1</w:t>
            </w:r>
          </w:p>
        </w:tc>
        <w:tc>
          <w:tcPr>
            <w:tcW w:type="dxa" w:w="3600"/>
            <w:vAlign w:val="center"/>
          </w:tcPr>
          <w:p>
            <w:pPr>
              <w:keepNext w:val="0"/>
              <w:widowControl w:val="0"/>
              <w:spacing w:after="0" w:line="247" w:lineRule="auto"/>
            </w:pPr>
            <w:r>
              <w:rPr>
                <w:rFonts w:ascii="Times New Roman" w:hAnsi="Times New Roman"/>
                <w:b w:val="0"/>
                <w:i w:val="0"/>
                <w:color w:val="000000"/>
                <w:sz w:val="16"/>
              </w:rPr>
              <w:t>(Ben Amor et al., 2006) Dual-optimal and deep dual-optimal inequalities, with primal recovery [R024]</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(L4,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S025-M1</w:t>
            </w:r>
          </w:p>
        </w:tc>
        <w:tc>
          <w:tcPr>
            <w:tcW w:type="dxa" w:w="3600"/>
            <w:vAlign w:val="center"/>
          </w:tcPr>
          <w:p>
            <w:pPr>
              <w:keepNext w:val="0"/>
              <w:widowControl w:val="0"/>
              <w:spacing w:after="0" w:line="247" w:lineRule="auto"/>
            </w:pPr>
            <w:r>
              <w:rPr>
                <w:rFonts w:ascii="Times New Roman" w:hAnsi="Times New Roman"/>
                <w:b w:val="0"/>
                <w:i w:val="0"/>
                <w:color w:val="000000"/>
                <w:sz w:val="16"/>
              </w:rPr>
              <w:t>(Rousseau et al., 2007) Average sampled extreme optimal dual solutions [R025]</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S026-M1</w:t>
            </w:r>
          </w:p>
        </w:tc>
        <w:tc>
          <w:tcPr>
            <w:tcW w:type="dxa" w:w="3600"/>
            <w:vAlign w:val="center"/>
          </w:tcPr>
          <w:p>
            <w:pPr>
              <w:keepNext w:val="0"/>
              <w:widowControl w:val="0"/>
              <w:spacing w:after="0" w:line="247" w:lineRule="auto"/>
            </w:pPr>
            <w:r>
              <w:rPr>
                <w:rFonts w:ascii="Times New Roman" w:hAnsi="Times New Roman"/>
                <w:b w:val="0"/>
                <w:i w:val="0"/>
                <w:color w:val="000000"/>
                <w:sz w:val="16"/>
              </w:rPr>
              <w:t>(Feillet et al., 2004) Elementary label correcting with unreachable-node dominance [R026]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S027-M1</w:t>
            </w:r>
          </w:p>
        </w:tc>
        <w:tc>
          <w:tcPr>
            <w:tcW w:type="dxa" w:w="3600"/>
            <w:vAlign w:val="center"/>
          </w:tcPr>
          <w:p>
            <w:pPr>
              <w:keepNext w:val="0"/>
              <w:widowControl w:val="0"/>
              <w:spacing w:after="0" w:line="247" w:lineRule="auto"/>
            </w:pPr>
            <w:r>
              <w:rPr>
                <w:rFonts w:ascii="Times New Roman" w:hAnsi="Times New Roman"/>
                <w:b w:val="0"/>
                <w:i w:val="0"/>
                <w:color w:val="000000"/>
                <w:sz w:val="16"/>
              </w:rPr>
              <w:t>(Baldacci et al., 2011) ng-route relaxation; dual-ascent bounds; bound-filtered cached pricing; complete residual route enumeration [R027]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(L3, L5, 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S027-M2</w:t>
            </w:r>
          </w:p>
        </w:tc>
        <w:tc>
          <w:tcPr>
            <w:tcW w:type="dxa" w:w="3600"/>
            <w:vAlign w:val="center"/>
          </w:tcPr>
          <w:p>
            <w:pPr>
              <w:keepNext w:val="0"/>
              <w:widowControl w:val="0"/>
              <w:spacing w:after="0" w:line="247" w:lineRule="auto"/>
            </w:pPr>
            <w:r>
              <w:rPr>
                <w:rFonts w:ascii="Times New Roman" w:hAnsi="Times New Roman"/>
                <w:b w:val="0"/>
                <w:i w:val="0"/>
                <w:color w:val="000000"/>
                <w:sz w:val="16"/>
              </w:rPr>
              <w:t>(Baldacci et al., 2011) ng-route relaxation; dual-ascent bounds; bound-filtered cached pricing; complete residual route enumeration [R027]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(L5, 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S028-M1</w:t>
            </w:r>
          </w:p>
        </w:tc>
        <w:tc>
          <w:tcPr>
            <w:tcW w:type="dxa" w:w="3600"/>
            <w:vAlign w:val="center"/>
          </w:tcPr>
          <w:p>
            <w:pPr>
              <w:keepNext w:val="0"/>
              <w:widowControl w:val="0"/>
              <w:spacing w:after="0" w:line="247" w:lineRule="auto"/>
            </w:pPr>
            <w:r>
              <w:rPr>
                <w:rFonts w:ascii="Times New Roman" w:hAnsi="Times New Roman"/>
                <w:b w:val="0"/>
                <w:i w:val="0"/>
                <w:color w:val="000000"/>
                <w:sz w:val="16"/>
              </w:rPr>
              <w:t>(Gschwind and Irnich, 2015) Strong dynamic-time-window dominance and feasibility propagation in DARP pricing [R028]</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S029-M1</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(Himmich et al., 2024) Multiphase DP with nearest-first or best-first loading [R029] †</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L5 (L4) †</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S030-M1</w:t>
            </w:r>
          </w:p>
        </w:tc>
        <w:tc>
          <w:tcPr>
            <w:tcW w:type="dxa" w:w="3600"/>
            <w:vAlign w:val="center"/>
          </w:tcPr>
          <w:p>
            <w:pPr>
              <w:keepNext w:val="0"/>
              <w:widowControl w:val="0"/>
              <w:spacing w:after="0" w:line="247" w:lineRule="auto"/>
            </w:pPr>
            <w:r>
              <w:rPr>
                <w:rFonts w:ascii="Times New Roman" w:hAnsi="Times New Roman"/>
                <w:b w:val="0"/>
                <w:i w:val="0"/>
                <w:color w:val="000000"/>
                <w:sz w:val="16"/>
              </w:rPr>
              <w:t>(Salani et al., 2024) PWDefault exact DSSR/DSSRC and ng-to-DSSRC hybrids [R030]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S030-M2</w:t>
            </w:r>
          </w:p>
        </w:tc>
        <w:tc>
          <w:tcPr>
            <w:tcW w:type="dxa" w:w="3600"/>
            <w:vAlign w:val="center"/>
          </w:tcPr>
          <w:p>
            <w:pPr>
              <w:keepNext w:val="0"/>
              <w:widowControl w:val="0"/>
              <w:spacing w:after="0" w:line="247" w:lineRule="auto"/>
            </w:pPr>
            <w:r>
              <w:rPr>
                <w:rFonts w:ascii="Times New Roman" w:hAnsi="Times New Roman"/>
                <w:b w:val="0"/>
                <w:i w:val="0"/>
                <w:color w:val="000000"/>
                <w:sz w:val="16"/>
              </w:rPr>
              <w:t>(Salani et al., 2024) Semi-dynamic half-way point and node/round-robin selection [R030]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S030-M3</w:t>
            </w:r>
          </w:p>
        </w:tc>
        <w:tc>
          <w:tcPr>
            <w:tcW w:type="dxa" w:w="3600"/>
            <w:vAlign w:val="center"/>
          </w:tcPr>
          <w:p>
            <w:pPr>
              <w:keepNext w:val="0"/>
              <w:widowControl w:val="0"/>
              <w:spacing w:after="0" w:line="247" w:lineRule="auto"/>
            </w:pPr>
            <w:r>
              <w:rPr>
                <w:rFonts w:ascii="Times New Roman" w:hAnsi="Times New Roman"/>
                <w:b w:val="0"/>
                <w:i w:val="0"/>
                <w:color w:val="000000"/>
                <w:sz w:val="16"/>
              </w:rPr>
              <w:t>(Salani et al., 2024) NG/NGC without elementary repair [R030]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E1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S031-M1</w:t>
            </w:r>
          </w:p>
        </w:tc>
        <w:tc>
          <w:tcPr>
            <w:tcW w:type="dxa" w:w="3600"/>
            <w:vAlign w:val="center"/>
          </w:tcPr>
          <w:p>
            <w:pPr>
              <w:keepNext w:val="0"/>
              <w:widowControl w:val="0"/>
              <w:spacing w:after="0" w:line="247" w:lineRule="auto"/>
            </w:pPr>
            <w:r>
              <w:rPr>
                <w:rFonts w:ascii="Times New Roman" w:hAnsi="Times New Roman"/>
                <w:b w:val="0"/>
                <w:i w:val="0"/>
                <w:color w:val="000000"/>
                <w:sz w:val="16"/>
              </w:rPr>
              <w:t>(Faldum et al., 2024) Partial dominance for one-segment linear resource tradeoff; double bookkeeping and propagated residual segment [R031]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S032-M1</w:t>
            </w:r>
          </w:p>
        </w:tc>
        <w:tc>
          <w:tcPr>
            <w:tcW w:type="dxa" w:w="3600"/>
            <w:vAlign w:val="center"/>
          </w:tcPr>
          <w:p>
            <w:pPr>
              <w:keepNext w:val="0"/>
              <w:widowControl w:val="0"/>
              <w:spacing w:after="0" w:line="247" w:lineRule="auto"/>
            </w:pPr>
            <w:r>
              <w:rPr>
                <w:rFonts w:ascii="Times New Roman" w:hAnsi="Times New Roman"/>
                <w:b w:val="0"/>
                <w:i w:val="0"/>
                <w:color w:val="000000"/>
                <w:sz w:val="16"/>
              </w:rPr>
              <w:t>(Bulaich Mehamdi et al., 2025) Exact bound-based pricing-subproblem filtering (all/computed/add history policies) [R032]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S032-M2</w:t>
            </w:r>
          </w:p>
        </w:tc>
        <w:tc>
          <w:tcPr>
            <w:tcW w:type="dxa" w:w="3600"/>
            <w:vAlign w:val="center"/>
          </w:tcPr>
          <w:p>
            <w:pPr>
              <w:keepNext w:val="0"/>
              <w:widowControl w:val="0"/>
              <w:spacing w:after="0" w:line="247" w:lineRule="auto"/>
            </w:pPr>
            <w:r>
              <w:rPr>
                <w:rFonts w:ascii="Times New Roman" w:hAnsi="Times New Roman"/>
                <w:b w:val="0"/>
                <w:i w:val="0"/>
                <w:color w:val="000000"/>
                <w:sz w:val="16"/>
              </w:rPr>
              <w:t>(Bulaich Mehamdi et al., 2025) Heuristic filtering (all/computed/add) [R032]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S033-M1</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(Ropke and Cordeau, 2009) Main described algorithm [R033] †</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 (L3, L5, L1, L2) †</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S033-M2</w:t>
            </w:r>
          </w:p>
        </w:tc>
        <w:tc>
          <w:tcPr>
            <w:tcW w:type="dxa" w:w="3600"/>
            <w:vAlign w:val="center"/>
          </w:tcPr>
          <w:p>
            <w:pPr>
              <w:keepNext w:val="0"/>
              <w:widowControl w:val="0"/>
              <w:spacing w:after="0" w:line="247" w:lineRule="auto"/>
            </w:pPr>
            <w:r>
              <w:rPr>
                <w:rFonts w:ascii="Times New Roman" w:hAnsi="Times New Roman"/>
                <w:b w:val="0"/>
                <w:i w:val="0"/>
                <w:color w:val="000000"/>
                <w:sz w:val="16"/>
              </w:rPr>
              <w:t>(Ropke and Cordeau, 2009) SP2 nonelementary route relaxation [R033]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S033-M3</w:t>
            </w:r>
          </w:p>
        </w:tc>
        <w:tc>
          <w:tcPr>
            <w:tcW w:type="dxa" w:w="3600"/>
            <w:vAlign w:val="center"/>
          </w:tcPr>
          <w:p>
            <w:pPr>
              <w:keepNext w:val="0"/>
              <w:widowControl w:val="0"/>
              <w:spacing w:after="0" w:line="247" w:lineRule="auto"/>
            </w:pPr>
            <w:r>
              <w:rPr>
                <w:rFonts w:ascii="Times New Roman" w:hAnsi="Times New Roman"/>
                <w:b w:val="0"/>
                <w:i w:val="0"/>
                <w:color w:val="000000"/>
                <w:sz w:val="16"/>
              </w:rPr>
              <w:t>(Ropke and Cordeau, 2009) Heuristic pricing with certification fallback [R033]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L3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S034-M1</w:t>
            </w:r>
          </w:p>
        </w:tc>
        <w:tc>
          <w:tcPr>
            <w:tcW w:type="dxa" w:w="3600"/>
            <w:vAlign w:val="center"/>
          </w:tcPr>
          <w:p>
            <w:pPr>
              <w:keepNext w:val="0"/>
              <w:widowControl w:val="0"/>
              <w:spacing w:after="0" w:line="247" w:lineRule="auto"/>
            </w:pPr>
            <w:r>
              <w:rPr>
                <w:rFonts w:ascii="Times New Roman" w:hAnsi="Times New Roman"/>
                <w:b w:val="0"/>
                <w:i w:val="0"/>
                <w:color w:val="000000"/>
                <w:sz w:val="16"/>
              </w:rPr>
              <w:t>(Silva et al., 2025) Main described algorithm [R034]</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S036-M1</w:t>
            </w:r>
          </w:p>
        </w:tc>
        <w:tc>
          <w:tcPr>
            <w:tcW w:type="dxa" w:w="3600"/>
            <w:vAlign w:val="center"/>
          </w:tcPr>
          <w:p>
            <w:pPr>
              <w:keepNext w:val="0"/>
              <w:widowControl w:val="0"/>
              <w:spacing w:after="0" w:line="247" w:lineRule="auto"/>
            </w:pPr>
            <w:r>
              <w:rPr>
                <w:rFonts w:ascii="Times New Roman" w:hAnsi="Times New Roman"/>
                <w:b w:val="0"/>
                <w:i w:val="0"/>
                <w:color w:val="000000"/>
                <w:sz w:val="16"/>
              </w:rPr>
              <w:t>(Righini and Salani, 2006) Resource-bounded bidirectional label correcting with safe completion-cost bounds [R036]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(L4,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S037-M1</w:t>
            </w:r>
          </w:p>
        </w:tc>
        <w:tc>
          <w:tcPr>
            <w:tcW w:type="dxa" w:w="3600"/>
            <w:vAlign w:val="center"/>
          </w:tcPr>
          <w:p>
            <w:pPr>
              <w:keepNext w:val="0"/>
              <w:widowControl w:val="0"/>
              <w:spacing w:after="0" w:line="247" w:lineRule="auto"/>
            </w:pPr>
            <w:r>
              <w:rPr>
                <w:rFonts w:ascii="Times New Roman" w:hAnsi="Times New Roman"/>
                <w:b w:val="0"/>
                <w:i w:val="0"/>
                <w:color w:val="000000"/>
                <w:sz w:val="16"/>
              </w:rPr>
              <w:t>(Tilk et al., 2017) Dynamic half-way point, direction with fewer unprocessed labels [R037-V1]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S038-M1</w:t>
            </w:r>
          </w:p>
        </w:tc>
        <w:tc>
          <w:tcPr>
            <w:tcW w:type="dxa" w:w="3600"/>
            <w:vAlign w:val="center"/>
          </w:tcPr>
          <w:p>
            <w:pPr>
              <w:keepNext w:val="0"/>
              <w:widowControl w:val="0"/>
              <w:spacing w:after="0" w:line="247" w:lineRule="auto"/>
            </w:pPr>
            <w:r>
              <w:rPr>
                <w:rFonts w:ascii="Times New Roman" w:hAnsi="Times New Roman"/>
                <w:b w:val="0"/>
                <w:i w:val="0"/>
                <w:color w:val="000000"/>
                <w:sz w:val="16"/>
              </w:rPr>
              <w:t>(Martinelli et al., 2014) DSSR of ng-memory sets with certified termination [R038-V1]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S038-M2</w:t>
            </w:r>
          </w:p>
        </w:tc>
        <w:tc>
          <w:tcPr>
            <w:tcW w:type="dxa" w:w="3600"/>
            <w:vAlign w:val="center"/>
          </w:tcPr>
          <w:p>
            <w:pPr>
              <w:keepNext w:val="0"/>
              <w:widowControl w:val="0"/>
              <w:spacing w:after="0" w:line="247" w:lineRule="auto"/>
            </w:pPr>
            <w:r>
              <w:rPr>
                <w:rFonts w:ascii="Times New Roman" w:hAnsi="Times New Roman"/>
                <w:b w:val="0"/>
                <w:i w:val="0"/>
                <w:color w:val="000000"/>
                <w:sz w:val="16"/>
              </w:rPr>
              <w:t>(Martinelli et al., 2014) Completion-bound pruning between DSSR iterations [R038-V1]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S038-M3</w:t>
            </w:r>
          </w:p>
        </w:tc>
        <w:tc>
          <w:tcPr>
            <w:tcW w:type="dxa" w:w="3600"/>
            <w:vAlign w:val="center"/>
          </w:tcPr>
          <w:p>
            <w:pPr>
              <w:keepNext w:val="0"/>
              <w:widowControl w:val="0"/>
              <w:spacing w:after="0" w:line="247" w:lineRule="auto"/>
            </w:pPr>
            <w:r>
              <w:rPr>
                <w:rFonts w:ascii="Times New Roman" w:hAnsi="Times New Roman"/>
                <w:b w:val="0"/>
                <w:i w:val="0"/>
                <w:color w:val="000000"/>
                <w:sz w:val="16"/>
              </w:rPr>
              <w:t>(Martinelli et al., 2014) Heuristic one-label pricing with exact fallback [R038-V1]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S039-M1</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(Pessoa et al., 2020) Generic branch-price-and-cut with modeler-specified packing and elementarity sets [R039-V1] †</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L1 (L2, L3, L4, L5, L6) †</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S041-M1</w:t>
            </w:r>
          </w:p>
        </w:tc>
        <w:tc>
          <w:tcPr>
            <w:tcW w:type="dxa" w:w="3600"/>
            <w:vAlign w:val="center"/>
          </w:tcPr>
          <w:p>
            <w:pPr>
              <w:keepNext w:val="0"/>
              <w:widowControl w:val="0"/>
              <w:spacing w:after="0" w:line="247" w:lineRule="auto"/>
            </w:pPr>
            <w:r>
              <w:rPr>
                <w:rFonts w:ascii="Times New Roman" w:hAnsi="Times New Roman"/>
                <w:b w:val="0"/>
                <w:i w:val="0"/>
                <w:color w:val="000000"/>
                <w:sz w:val="16"/>
              </w:rPr>
              <w:t>(Gondzio et al., 2013) Primal–dual column generation method (PDCGM) [R041]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S042-M1</w:t>
            </w:r>
          </w:p>
        </w:tc>
        <w:tc>
          <w:tcPr>
            <w:tcW w:type="dxa" w:w="3600"/>
            <w:vAlign w:val="center"/>
          </w:tcPr>
          <w:p>
            <w:pPr>
              <w:keepNext w:val="0"/>
              <w:widowControl w:val="0"/>
              <w:spacing w:after="0" w:line="247" w:lineRule="auto"/>
            </w:pPr>
            <w:r>
              <w:rPr>
                <w:rFonts w:ascii="Times New Roman" w:hAnsi="Times New Roman"/>
                <w:b w:val="0"/>
                <w:i w:val="0"/>
                <w:color w:val="000000"/>
                <w:sz w:val="16"/>
              </w:rPr>
              <w:t>(Gondzio and González-Brevis, 2015) One-step primal-dual restoration (1SPDR) within PDCGM [R042]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S043-M1</w:t>
            </w:r>
          </w:p>
        </w:tc>
        <w:tc>
          <w:tcPr>
            <w:tcW w:type="dxa" w:w="3600"/>
            <w:vAlign w:val="center"/>
          </w:tcPr>
          <w:p>
            <w:pPr>
              <w:keepNext w:val="0"/>
              <w:widowControl w:val="0"/>
              <w:spacing w:after="0" w:line="247" w:lineRule="auto"/>
            </w:pPr>
            <w:r>
              <w:rPr>
                <w:rFonts w:ascii="Times New Roman" w:hAnsi="Times New Roman"/>
                <w:b w:val="0"/>
                <w:i w:val="0"/>
                <w:color w:val="000000"/>
                <w:sz w:val="16"/>
              </w:rPr>
              <w:t>(Potthoff et al., 2010) Main described algorithm [R043]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(L4, L6, L1, 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S043-M2</w:t>
            </w:r>
          </w:p>
        </w:tc>
        <w:tc>
          <w:tcPr>
            <w:tcW w:type="dxa" w:w="3600"/>
            <w:vAlign w:val="center"/>
          </w:tcPr>
          <w:p>
            <w:pPr>
              <w:keepNext w:val="0"/>
              <w:widowControl w:val="0"/>
              <w:spacing w:after="0" w:line="247" w:lineRule="auto"/>
            </w:pPr>
            <w:r>
              <w:rPr>
                <w:rFonts w:ascii="Times New Roman" w:hAnsi="Times New Roman"/>
                <w:b w:val="0"/>
                <w:i w:val="0"/>
                <w:color w:val="000000"/>
                <w:sz w:val="16"/>
              </w:rPr>
              <w:t>(Potthoff et al., 2010) partial pricing with complete core bound evaluation [R043]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S044-M1</w:t>
            </w:r>
          </w:p>
        </w:tc>
        <w:tc>
          <w:tcPr>
            <w:tcW w:type="dxa" w:w="3600"/>
            <w:vAlign w:val="center"/>
          </w:tcPr>
          <w:p>
            <w:pPr>
              <w:keepNext w:val="0"/>
              <w:widowControl w:val="0"/>
              <w:spacing w:after="0" w:line="247" w:lineRule="auto"/>
            </w:pPr>
            <w:r>
              <w:rPr>
                <w:rFonts w:ascii="Times New Roman" w:hAnsi="Times New Roman"/>
                <w:b w:val="0"/>
                <w:i w:val="0"/>
                <w:color w:val="000000"/>
                <w:sz w:val="16"/>
              </w:rPr>
              <w:t>(Irnich et al., 2010) Path-reduced-cost arc elimination in routing BPC [R044]</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S045-M1</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(Desaulniers et al., 2020) Two-arc sequence fixing with compatible label propagation and dominance [R045-V1]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 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S046-M1</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(Gualandi and Malucelli, 2012) Main described algorithm [R046] †</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L3 (L5, L4, L1, L6) †</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S046-M2</w:t>
            </w:r>
          </w:p>
        </w:tc>
        <w:tc>
          <w:tcPr>
            <w:tcW w:type="dxa" w:w="3600"/>
            <w:vAlign w:val="center"/>
          </w:tcPr>
          <w:p>
            <w:pPr>
              <w:keepNext w:val="0"/>
              <w:widowControl w:val="0"/>
              <w:spacing w:after="0" w:line="247" w:lineRule="auto"/>
            </w:pPr>
            <w:r>
              <w:rPr>
                <w:rFonts w:ascii="Times New Roman" w:hAnsi="Times New Roman"/>
                <w:b w:val="0"/>
                <w:i w:val="0"/>
                <w:color w:val="000000"/>
                <w:sz w:val="16"/>
              </w:rPr>
              <w:t>(Gualandi and Malucelli, 2012) augmented pricing as primal heuristic [R046]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S046-M3</w:t>
            </w:r>
          </w:p>
        </w:tc>
        <w:tc>
          <w:tcPr>
            <w:tcW w:type="dxa" w:w="3600"/>
            <w:vAlign w:val="center"/>
          </w:tcPr>
          <w:p>
            <w:pPr>
              <w:keepNext w:val="0"/>
              <w:widowControl w:val="0"/>
              <w:spacing w:after="0" w:line="247" w:lineRule="auto"/>
            </w:pPr>
            <w:r>
              <w:rPr>
                <w:rFonts w:ascii="Times New Roman" w:hAnsi="Times New Roman"/>
                <w:b w:val="0"/>
                <w:i w:val="0"/>
                <w:color w:val="000000"/>
                <w:sz w:val="16"/>
              </w:rPr>
              <w:t>(Gualandi and Malucelli, 2012) shuffled static order [R046]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E3,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S047-M1</w:t>
            </w:r>
          </w:p>
        </w:tc>
        <w:tc>
          <w:tcPr>
            <w:tcW w:type="dxa" w:w="3600"/>
            <w:vAlign w:val="center"/>
          </w:tcPr>
          <w:p>
            <w:pPr>
              <w:keepNext w:val="0"/>
              <w:widowControl w:val="0"/>
              <w:spacing w:after="0" w:line="247" w:lineRule="auto"/>
            </w:pPr>
            <w:r>
              <w:rPr>
                <w:rFonts w:ascii="Times New Roman" w:hAnsi="Times New Roman"/>
                <w:b w:val="0"/>
                <w:i w:val="0"/>
                <w:color w:val="000000"/>
                <w:sz w:val="16"/>
              </w:rPr>
              <w:t>(Gschwind and Irnich, 2016) Valid dual-optimal/deep dual-optimal inequalities with dynamic separation [R047]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S047-M2</w:t>
            </w:r>
          </w:p>
        </w:tc>
        <w:tc>
          <w:tcPr>
            <w:tcW w:type="dxa" w:w="3600"/>
            <w:vAlign w:val="center"/>
          </w:tcPr>
          <w:p>
            <w:pPr>
              <w:keepNext w:val="0"/>
              <w:widowControl w:val="0"/>
              <w:spacing w:after="0" w:line="247" w:lineRule="auto"/>
            </w:pPr>
            <w:r>
              <w:rPr>
                <w:rFonts w:ascii="Times New Roman" w:hAnsi="Times New Roman"/>
                <w:b w:val="0"/>
                <w:i w:val="0"/>
                <w:color w:val="000000"/>
                <w:sz w:val="16"/>
              </w:rPr>
              <w:t>(Gschwind and Irnich, 2016) Overstabilization by potential DDOIs with finite recovery [R047]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S048-M1</w:t>
            </w:r>
          </w:p>
        </w:tc>
        <w:tc>
          <w:tcPr>
            <w:tcW w:type="dxa" w:w="3600"/>
            <w:vAlign w:val="center"/>
          </w:tcPr>
          <w:p>
            <w:pPr>
              <w:keepNext w:val="0"/>
              <w:widowControl w:val="0"/>
              <w:spacing w:after="0" w:line="247" w:lineRule="auto"/>
            </w:pPr>
            <w:r>
              <w:rPr>
                <w:rFonts w:ascii="Times New Roman" w:hAnsi="Times New Roman"/>
                <w:b w:val="0"/>
                <w:i w:val="0"/>
                <w:color w:val="000000"/>
                <w:sz w:val="16"/>
              </w:rPr>
              <w:t>(Václavík et al., 2018) Online asymmetric regression pricing cutoff with exact backup [R048-V1]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E0, E4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S049-M1</w:t>
            </w:r>
          </w:p>
        </w:tc>
        <w:tc>
          <w:tcPr>
            <w:tcW w:type="dxa" w:w="3600"/>
            <w:vAlign w:val="center"/>
          </w:tcPr>
          <w:p>
            <w:pPr>
              <w:keepNext w:val="0"/>
              <w:widowControl w:val="0"/>
              <w:spacing w:after="0" w:line="247" w:lineRule="auto"/>
            </w:pPr>
            <w:r>
              <w:rPr>
                <w:rFonts w:ascii="Times New Roman" w:hAnsi="Times New Roman"/>
                <w:b w:val="0"/>
                <w:i w:val="0"/>
                <w:color w:val="000000"/>
                <w:sz w:val="16"/>
              </w:rPr>
              <w:t>(Furian et al., 2021) PB plus predicted open-node priority [R049]</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S049-M2</w:t>
            </w:r>
          </w:p>
        </w:tc>
        <w:tc>
          <w:tcPr>
            <w:tcW w:type="dxa" w:w="3600"/>
            <w:vAlign w:val="center"/>
          </w:tcPr>
          <w:p>
            <w:pPr>
              <w:keepNext w:val="0"/>
              <w:widowControl w:val="0"/>
              <w:spacing w:after="0" w:line="247" w:lineRule="auto"/>
            </w:pPr>
            <w:r>
              <w:rPr>
                <w:rFonts w:ascii="Times New Roman" w:hAnsi="Times New Roman"/>
                <w:b w:val="0"/>
                <w:i w:val="0"/>
                <w:color w:val="000000"/>
                <w:sz w:val="16"/>
              </w:rPr>
              <w:t>(Furian et al., 2021) Reliability Prediction Branching RPB plus predicted open-node priority [R049]</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S050-M1</w:t>
            </w:r>
          </w:p>
        </w:tc>
        <w:tc>
          <w:tcPr>
            <w:tcW w:type="dxa" w:w="3600"/>
            <w:vAlign w:val="center"/>
          </w:tcPr>
          <w:p>
            <w:pPr>
              <w:keepNext w:val="0"/>
              <w:widowControl w:val="0"/>
              <w:spacing w:after="0" w:line="247" w:lineRule="auto"/>
            </w:pPr>
            <w:r>
              <w:rPr>
                <w:rFonts w:ascii="Times New Roman" w:hAnsi="Times New Roman"/>
                <w:b w:val="0"/>
                <w:i w:val="0"/>
                <w:color w:val="000000"/>
                <w:sz w:val="16"/>
              </w:rPr>
              <w:t>(Morabit et al., 2021) GNN-S VCSP [R050]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G2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S050-M2</w:t>
            </w:r>
          </w:p>
        </w:tc>
        <w:tc>
          <w:tcPr>
            <w:tcW w:type="dxa" w:w="3600"/>
            <w:vAlign w:val="center"/>
          </w:tcPr>
          <w:p>
            <w:pPr>
              <w:keepNext w:val="0"/>
              <w:widowControl w:val="0"/>
              <w:spacing w:after="0" w:line="247" w:lineRule="auto"/>
            </w:pPr>
            <w:r>
              <w:rPr>
                <w:rFonts w:ascii="Times New Roman" w:hAnsi="Times New Roman"/>
                <w:b w:val="0"/>
                <w:i w:val="0"/>
                <w:color w:val="000000"/>
                <w:sz w:val="16"/>
              </w:rPr>
              <w:t>(Morabit et al., 2021) GNN-S VRPTW [R050]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G2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S050-M3</w:t>
            </w:r>
          </w:p>
        </w:tc>
        <w:tc>
          <w:tcPr>
            <w:tcW w:type="dxa" w:w="3600"/>
            <w:vAlign w:val="center"/>
          </w:tcPr>
          <w:p>
            <w:pPr>
              <w:keepNext w:val="0"/>
              <w:widowControl w:val="0"/>
              <w:spacing w:after="0" w:line="247" w:lineRule="auto"/>
            </w:pPr>
            <w:r>
              <w:rPr>
                <w:rFonts w:ascii="Times New Roman" w:hAnsi="Times New Roman"/>
                <w:b w:val="0"/>
                <w:i w:val="0"/>
                <w:color w:val="000000"/>
                <w:sz w:val="16"/>
              </w:rPr>
              <w:t>(Morabit et al., 2021) Stab-GNN-S VCSP [R050]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GU</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S051-M1</w:t>
            </w:r>
          </w:p>
        </w:tc>
        <w:tc>
          <w:tcPr>
            <w:tcW w:type="dxa" w:w="3600"/>
            <w:vAlign w:val="center"/>
          </w:tcPr>
          <w:p>
            <w:pPr>
              <w:keepNext w:val="0"/>
              <w:widowControl w:val="0"/>
              <w:spacing w:after="0" w:line="247" w:lineRule="auto"/>
            </w:pPr>
            <w:r>
              <w:rPr>
                <w:rFonts w:ascii="Times New Roman" w:hAnsi="Times New Roman"/>
                <w:b w:val="0"/>
                <w:i w:val="0"/>
                <w:color w:val="000000"/>
                <w:sz w:val="16"/>
              </w:rPr>
              <w:t>(Quesnel et al., 2022) AlgML fixed restricted pricing [R051]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 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S051-M2</w:t>
            </w:r>
          </w:p>
        </w:tc>
        <w:tc>
          <w:tcPr>
            <w:tcW w:type="dxa" w:w="3600"/>
            <w:vAlign w:val="center"/>
          </w:tcPr>
          <w:p>
            <w:pPr>
              <w:keepNext w:val="0"/>
              <w:widowControl w:val="0"/>
              <w:spacing w:after="0" w:line="247" w:lineRule="auto"/>
            </w:pPr>
            <w:r>
              <w:rPr>
                <w:rFonts w:ascii="Times New Roman" w:hAnsi="Times New Roman"/>
                <w:b w:val="0"/>
                <w:i w:val="0"/>
                <w:color w:val="000000"/>
                <w:sz w:val="16"/>
              </w:rPr>
              <w:t>(Quesnel et al., 2022) MPP with maximum fraction 1, small datasets [R051]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 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S051-M3</w:t>
            </w:r>
          </w:p>
        </w:tc>
        <w:tc>
          <w:tcPr>
            <w:tcW w:type="dxa" w:w="3600"/>
            <w:vAlign w:val="center"/>
          </w:tcPr>
          <w:p>
            <w:pPr>
              <w:keepNext w:val="0"/>
              <w:widowControl w:val="0"/>
              <w:spacing w:after="0" w:line="247" w:lineRule="auto"/>
            </w:pPr>
            <w:r>
              <w:rPr>
                <w:rFonts w:ascii="Times New Roman" w:hAnsi="Times New Roman"/>
                <w:b w:val="0"/>
                <w:i w:val="0"/>
                <w:color w:val="000000"/>
                <w:sz w:val="16"/>
              </w:rPr>
              <w:t>(Quesnel et al., 2022) MPP with maximum fraction below 1 [R051]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 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S052-M1</w:t>
            </w:r>
          </w:p>
        </w:tc>
        <w:tc>
          <w:tcPr>
            <w:tcW w:type="dxa" w:w="3600"/>
            <w:vAlign w:val="center"/>
          </w:tcPr>
          <w:p>
            <w:pPr>
              <w:keepNext w:val="0"/>
              <w:widowControl w:val="0"/>
              <w:spacing w:after="0" w:line="247" w:lineRule="auto"/>
            </w:pPr>
            <w:r>
              <w:rPr>
                <w:rFonts w:ascii="Times New Roman" w:hAnsi="Times New Roman"/>
                <w:b w:val="0"/>
                <w:i w:val="0"/>
                <w:color w:val="000000"/>
                <w:sz w:val="16"/>
              </w:rPr>
              <w:t>(Zhang et al., 2022) ICGA with approximate area dominance [R052]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L6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S052-M2</w:t>
            </w:r>
          </w:p>
        </w:tc>
        <w:tc>
          <w:tcPr>
            <w:tcW w:type="dxa" w:w="3600"/>
            <w:vAlign w:val="center"/>
          </w:tcPr>
          <w:p>
            <w:pPr>
              <w:keepNext w:val="0"/>
              <w:widowControl w:val="0"/>
              <w:spacing w:after="0" w:line="247" w:lineRule="auto"/>
            </w:pPr>
            <w:r>
              <w:rPr>
                <w:rFonts w:ascii="Times New Roman" w:hAnsi="Times New Roman"/>
                <w:b w:val="0"/>
                <w:i w:val="0"/>
                <w:color w:val="000000"/>
                <w:sz w:val="16"/>
              </w:rPr>
              <w:t>(Zhang et al., 2022) B&amp;P-ED [R052]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S052-M3</w:t>
            </w:r>
          </w:p>
        </w:tc>
        <w:tc>
          <w:tcPr>
            <w:tcW w:type="dxa" w:w="3600"/>
            <w:vAlign w:val="center"/>
          </w:tcPr>
          <w:p>
            <w:pPr>
              <w:keepNext w:val="0"/>
              <w:widowControl w:val="0"/>
              <w:spacing w:after="0" w:line="247" w:lineRule="auto"/>
            </w:pPr>
            <w:r>
              <w:rPr>
                <w:rFonts w:ascii="Times New Roman" w:hAnsi="Times New Roman"/>
                <w:b w:val="0"/>
                <w:i w:val="0"/>
                <w:color w:val="000000"/>
                <w:sz w:val="16"/>
              </w:rPr>
              <w:t>(Zhang et al., 2022) B&amp;P-AD [R052]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S053-M1</w:t>
            </w:r>
          </w:p>
        </w:tc>
        <w:tc>
          <w:tcPr>
            <w:tcW w:type="dxa" w:w="3600"/>
            <w:vAlign w:val="center"/>
          </w:tcPr>
          <w:p>
            <w:pPr>
              <w:keepNext w:val="0"/>
              <w:widowControl w:val="0"/>
              <w:spacing w:after="0" w:line="247" w:lineRule="auto"/>
            </w:pPr>
            <w:r>
              <w:rPr>
                <w:rFonts w:ascii="Times New Roman" w:hAnsi="Times New Roman"/>
                <w:b w:val="0"/>
                <w:i w:val="0"/>
                <w:color w:val="000000"/>
                <w:sz w:val="16"/>
              </w:rPr>
              <w:t>(Shen et al., 2022) MLPH with exact pricing fallback; CG and SCIP B&amp;P variants [R053]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 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S054-M1</w:t>
            </w:r>
          </w:p>
        </w:tc>
        <w:tc>
          <w:tcPr>
            <w:tcW w:type="dxa" w:w="3600"/>
            <w:vAlign w:val="center"/>
          </w:tcPr>
          <w:p>
            <w:pPr>
              <w:keepNext w:val="0"/>
              <w:widowControl w:val="0"/>
              <w:spacing w:after="0" w:line="247" w:lineRule="auto"/>
            </w:pPr>
            <w:r>
              <w:rPr>
                <w:rFonts w:ascii="Times New Roman" w:hAnsi="Times New Roman"/>
                <w:b w:val="0"/>
                <w:i w:val="0"/>
                <w:color w:val="000000"/>
                <w:sz w:val="16"/>
              </w:rPr>
              <w:t>(Chi et al., 2022) RLCG one-column selection [R054]</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G2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S055-M1</w:t>
            </w:r>
          </w:p>
        </w:tc>
        <w:tc>
          <w:tcPr>
            <w:tcW w:type="dxa" w:w="3600"/>
            <w:vAlign w:val="center"/>
          </w:tcPr>
          <w:p>
            <w:pPr>
              <w:keepNext w:val="0"/>
              <w:widowControl w:val="0"/>
              <w:spacing w:after="0" w:line="247" w:lineRule="auto"/>
            </w:pPr>
            <w:r>
              <w:rPr>
                <w:rFonts w:ascii="Times New Roman" w:hAnsi="Times New Roman"/>
                <w:b w:val="0"/>
                <w:i w:val="0"/>
                <w:color w:val="000000"/>
                <w:sz w:val="16"/>
              </w:rPr>
              <w:t>(Morabit et al., 2023) VCSP ML-S [R055-V1]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S055-M2</w:t>
            </w:r>
          </w:p>
        </w:tc>
        <w:tc>
          <w:tcPr>
            <w:tcW w:type="dxa" w:w="3600"/>
            <w:vAlign w:val="center"/>
          </w:tcPr>
          <w:p>
            <w:pPr>
              <w:keepNext w:val="0"/>
              <w:widowControl w:val="0"/>
              <w:spacing w:after="0" w:line="247" w:lineRule="auto"/>
            </w:pPr>
            <w:r>
              <w:rPr>
                <w:rFonts w:ascii="Times New Roman" w:hAnsi="Times New Roman"/>
                <w:b w:val="0"/>
                <w:i w:val="0"/>
                <w:color w:val="000000"/>
                <w:sz w:val="16"/>
              </w:rPr>
              <w:t>(Morabit et al., 2023) VRPTW ML-S [R055-V1]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S055-M3</w:t>
            </w:r>
          </w:p>
        </w:tc>
        <w:tc>
          <w:tcPr>
            <w:tcW w:type="dxa" w:w="3600"/>
            <w:vAlign w:val="center"/>
          </w:tcPr>
          <w:p>
            <w:pPr>
              <w:keepNext w:val="0"/>
              <w:widowControl w:val="0"/>
              <w:spacing w:after="0" w:line="247" w:lineRule="auto"/>
            </w:pPr>
            <w:r>
              <w:rPr>
                <w:rFonts w:ascii="Times New Roman" w:hAnsi="Times New Roman"/>
                <w:b w:val="0"/>
                <w:i w:val="0"/>
                <w:color w:val="000000"/>
                <w:sz w:val="16"/>
              </w:rPr>
              <w:t>(Morabit et al., 2023) ML-RedCost-S/S-2 [R055-V1]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S055-M4</w:t>
            </w:r>
          </w:p>
        </w:tc>
        <w:tc>
          <w:tcPr>
            <w:tcW w:type="dxa" w:w="3600"/>
            <w:vAlign w:val="center"/>
          </w:tcPr>
          <w:p>
            <w:pPr>
              <w:keepNext w:val="0"/>
              <w:widowControl w:val="0"/>
              <w:spacing w:after="0" w:line="247" w:lineRule="auto"/>
            </w:pPr>
            <w:r>
              <w:rPr>
                <w:rFonts w:ascii="Times New Roman" w:hAnsi="Times New Roman"/>
                <w:b w:val="0"/>
                <w:i w:val="0"/>
                <w:color w:val="000000"/>
                <w:sz w:val="16"/>
              </w:rPr>
              <w:t>(Morabit et al., 2023) VCSP ML-COL-S [R055-V1]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S056-M1</w:t>
            </w:r>
          </w:p>
        </w:tc>
        <w:tc>
          <w:tcPr>
            <w:tcW w:type="dxa" w:w="3600"/>
            <w:vAlign w:val="center"/>
          </w:tcPr>
          <w:p>
            <w:pPr>
              <w:keepNext w:val="0"/>
              <w:widowControl w:val="0"/>
              <w:spacing w:after="0" w:line="247" w:lineRule="auto"/>
            </w:pPr>
            <w:r>
              <w:rPr>
                <w:rFonts w:ascii="Times New Roman" w:hAnsi="Times New Roman"/>
                <w:b w:val="0"/>
                <w:i w:val="0"/>
                <w:color w:val="000000"/>
                <w:sz w:val="16"/>
              </w:rPr>
              <w:t>(Kraul et al., 2023) FULL [R056]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S056-M2</w:t>
            </w:r>
          </w:p>
        </w:tc>
        <w:tc>
          <w:tcPr>
            <w:tcW w:type="dxa" w:w="3600"/>
            <w:vAlign w:val="center"/>
          </w:tcPr>
          <w:p>
            <w:pPr>
              <w:keepNext w:val="0"/>
              <w:widowControl w:val="0"/>
              <w:spacing w:after="0" w:line="247" w:lineRule="auto"/>
            </w:pPr>
            <w:r>
              <w:rPr>
                <w:rFonts w:ascii="Times New Roman" w:hAnsi="Times New Roman"/>
                <w:b w:val="0"/>
                <w:i w:val="0"/>
                <w:color w:val="000000"/>
                <w:sz w:val="16"/>
              </w:rPr>
              <w:t>(Kraul et al., 2023) SPARSE [R056]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S057-M1</w:t>
            </w:r>
          </w:p>
        </w:tc>
        <w:tc>
          <w:tcPr>
            <w:tcW w:type="dxa" w:w="3600"/>
            <w:vAlign w:val="center"/>
          </w:tcPr>
          <w:p>
            <w:pPr>
              <w:keepNext w:val="0"/>
              <w:widowControl w:val="0"/>
              <w:spacing w:after="0" w:line="247" w:lineRule="auto"/>
            </w:pPr>
            <w:r>
              <w:rPr>
                <w:rFonts w:ascii="Times New Roman" w:hAnsi="Times New Roman"/>
                <w:b w:val="0"/>
                <w:i w:val="0"/>
                <w:color w:val="000000"/>
                <w:sz w:val="16"/>
              </w:rPr>
              <w:t>(Yuan et al., 2024) PPO multiple-column selection of 5 out of 10 [R057]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G2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S058-M1</w:t>
            </w:r>
          </w:p>
        </w:tc>
        <w:tc>
          <w:tcPr>
            <w:tcW w:type="dxa" w:w="3600"/>
            <w:vAlign w:val="center"/>
          </w:tcPr>
          <w:p>
            <w:pPr>
              <w:keepNext w:val="0"/>
              <w:widowControl w:val="0"/>
              <w:spacing w:after="0" w:line="247" w:lineRule="auto"/>
            </w:pPr>
            <w:r>
              <w:rPr>
                <w:rFonts w:ascii="Times New Roman" w:hAnsi="Times New Roman"/>
                <w:b w:val="0"/>
                <w:i w:val="0"/>
                <w:color w:val="000000"/>
                <w:sz w:val="16"/>
              </w:rPr>
              <w:t>(Koutecká et al., 2025) ML partial-pricing ranker, k varied [R058]</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S059-M1</w:t>
            </w:r>
          </w:p>
        </w:tc>
        <w:tc>
          <w:tcPr>
            <w:tcW w:type="dxa" w:w="3600"/>
            <w:vAlign w:val="center"/>
          </w:tcPr>
          <w:p>
            <w:pPr>
              <w:keepNext w:val="0"/>
              <w:widowControl w:val="0"/>
              <w:spacing w:after="0" w:line="247" w:lineRule="auto"/>
            </w:pPr>
            <w:r>
              <w:rPr>
                <w:rFonts w:ascii="Times New Roman" w:hAnsi="Times New Roman"/>
                <w:b w:val="0"/>
                <w:i w:val="0"/>
                <w:color w:val="000000"/>
                <w:sz w:val="16"/>
              </w:rPr>
              <w:t>(Hu et al., 2025) FFCG adaptive column subset [R059, R059-V2]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G2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S060-M1</w:t>
            </w:r>
          </w:p>
        </w:tc>
        <w:tc>
          <w:tcPr>
            <w:tcW w:type="dxa" w:w="3600"/>
            <w:vAlign w:val="center"/>
          </w:tcPr>
          <w:p>
            <w:pPr>
              <w:keepNext w:val="0"/>
              <w:widowControl w:val="0"/>
              <w:spacing w:after="0" w:line="247" w:lineRule="auto"/>
            </w:pPr>
            <w:r>
              <w:rPr>
                <w:rFonts w:ascii="Times New Roman" w:hAnsi="Times New Roman"/>
                <w:b w:val="0"/>
                <w:i w:val="0"/>
                <w:color w:val="000000"/>
                <w:sz w:val="16"/>
              </w:rPr>
              <w:t>(Xu et al., 2025) RLHH plus integer RMP under a time budget [R060]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S060-M2</w:t>
            </w:r>
          </w:p>
        </w:tc>
        <w:tc>
          <w:tcPr>
            <w:tcW w:type="dxa" w:w="3600"/>
            <w:vAlign w:val="center"/>
          </w:tcPr>
          <w:p>
            <w:pPr>
              <w:keepNext w:val="0"/>
              <w:widowControl w:val="0"/>
              <w:spacing w:after="0" w:line="247" w:lineRule="auto"/>
            </w:pPr>
            <w:r>
              <w:rPr>
                <w:rFonts w:ascii="Times New Roman" w:hAnsi="Times New Roman"/>
                <w:b w:val="0"/>
                <w:i w:val="0"/>
                <w:color w:val="000000"/>
                <w:sz w:val="16"/>
              </w:rPr>
              <w:t>(Xu et al., 2025) Completed root CG component with full-network fallback [R060]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S061-M1</w:t>
            </w:r>
          </w:p>
        </w:tc>
        <w:tc>
          <w:tcPr>
            <w:tcW w:type="dxa" w:w="3600"/>
            <w:vAlign w:val="center"/>
          </w:tcPr>
          <w:p>
            <w:pPr>
              <w:keepNext w:val="0"/>
              <w:widowControl w:val="0"/>
              <w:spacing w:after="0" w:line="247" w:lineRule="auto"/>
            </w:pPr>
            <w:r>
              <w:rPr>
                <w:rFonts w:ascii="Times New Roman" w:hAnsi="Times New Roman"/>
                <w:b w:val="0"/>
                <w:i w:val="0"/>
                <w:color w:val="000000"/>
                <w:sz w:val="16"/>
              </w:rPr>
              <w:t>(Abouelrous et al., 2025b) Standalone POMO-CG [R061]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S061-M2</w:t>
            </w:r>
          </w:p>
        </w:tc>
        <w:tc>
          <w:tcPr>
            <w:tcW w:type="dxa" w:w="3600"/>
            <w:vAlign w:val="center"/>
          </w:tcPr>
          <w:p>
            <w:pPr>
              <w:keepNext w:val="0"/>
              <w:widowControl w:val="0"/>
              <w:spacing w:after="0" w:line="247" w:lineRule="auto"/>
            </w:pPr>
            <w:r>
              <w:rPr>
                <w:rFonts w:ascii="Times New Roman" w:hAnsi="Times New Roman"/>
                <w:b w:val="0"/>
                <w:i w:val="0"/>
                <w:color w:val="000000"/>
                <w:sz w:val="16"/>
              </w:rPr>
              <w:t>(Abouelrous et al., 2025b) Hybrid learned pricing then capped DP [R061]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S062-M1</w:t>
            </w:r>
          </w:p>
        </w:tc>
        <w:tc>
          <w:tcPr>
            <w:tcW w:type="dxa" w:w="3600"/>
            <w:vAlign w:val="center"/>
          </w:tcPr>
          <w:p>
            <w:pPr>
              <w:keepNext w:val="0"/>
              <w:widowControl w:val="0"/>
              <w:spacing w:after="0" w:line="247" w:lineRule="auto"/>
            </w:pPr>
            <w:r>
              <w:rPr>
                <w:rFonts w:ascii="Times New Roman" w:hAnsi="Times New Roman"/>
                <w:b w:val="0"/>
                <w:i w:val="0"/>
                <w:color w:val="000000"/>
                <w:sz w:val="16"/>
              </w:rPr>
              <w:t>(You et al., 2026b) 2LBB fixed candidate budget [R062-V1]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E4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S062-M2</w:t>
            </w:r>
          </w:p>
        </w:tc>
        <w:tc>
          <w:tcPr>
            <w:tcW w:type="dxa" w:w="3600"/>
            <w:vAlign w:val="center"/>
          </w:tcPr>
          <w:p>
            <w:pPr>
              <w:keepNext w:val="0"/>
              <w:widowControl w:val="0"/>
              <w:spacing w:after="0" w:line="247" w:lineRule="auto"/>
            </w:pPr>
            <w:r>
              <w:rPr>
                <w:rFonts w:ascii="Times New Roman" w:hAnsi="Times New Roman"/>
                <w:b w:val="0"/>
                <w:i w:val="0"/>
                <w:color w:val="000000"/>
                <w:sz w:val="16"/>
              </w:rPr>
              <w:t>(You et al., 2026b) 2LBB-dy with BKF [R062-V1]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E4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S062-M3</w:t>
            </w:r>
          </w:p>
        </w:tc>
        <w:tc>
          <w:tcPr>
            <w:tcW w:type="dxa" w:w="3600"/>
            <w:vAlign w:val="center"/>
          </w:tcPr>
          <w:p>
            <w:pPr>
              <w:keepNext w:val="0"/>
              <w:widowControl w:val="0"/>
              <w:spacing w:after="0" w:line="247" w:lineRule="auto"/>
            </w:pPr>
            <w:r>
              <w:rPr>
                <w:rFonts w:ascii="Times New Roman" w:hAnsi="Times New Roman"/>
                <w:b w:val="0"/>
                <w:i w:val="0"/>
                <w:color w:val="000000"/>
                <w:sz w:val="16"/>
              </w:rPr>
              <w:t>(You et al., 2026b) 3PB-dy learning-free adaptive comparator [R062-V1]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E4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S063-M1</w:t>
            </w:r>
          </w:p>
        </w:tc>
        <w:tc>
          <w:tcPr>
            <w:tcW w:type="dxa" w:w="3600"/>
            <w:vAlign w:val="center"/>
          </w:tcPr>
          <w:p>
            <w:pPr>
              <w:keepNext w:val="0"/>
              <w:widowControl w:val="0"/>
              <w:spacing w:after="0" w:line="247" w:lineRule="auto"/>
            </w:pPr>
            <w:r>
              <w:rPr>
                <w:rFonts w:ascii="Times New Roman" w:hAnsi="Times New Roman"/>
                <w:b w:val="0"/>
                <w:i w:val="0"/>
                <w:color w:val="000000"/>
                <w:sz w:val="16"/>
              </w:rPr>
              <w:t>(Wang and Khir, 2026) RLSCG(S), with predicted-reference initialization unless stated [R063]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S063-M2</w:t>
            </w:r>
          </w:p>
        </w:tc>
        <w:tc>
          <w:tcPr>
            <w:tcW w:type="dxa" w:w="3600"/>
            <w:vAlign w:val="center"/>
          </w:tcPr>
          <w:p>
            <w:pPr>
              <w:keepNext w:val="0"/>
              <w:widowControl w:val="0"/>
              <w:spacing w:after="0" w:line="247" w:lineRule="auto"/>
            </w:pPr>
            <w:r>
              <w:rPr>
                <w:rFonts w:ascii="Times New Roman" w:hAnsi="Times New Roman"/>
                <w:b w:val="0"/>
                <w:i w:val="0"/>
                <w:color w:val="000000"/>
                <w:sz w:val="16"/>
              </w:rPr>
              <w:t>(Wang and Khir, 2026) RLSCG(P) [R063]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S064-M1</w:t>
            </w:r>
          </w:p>
        </w:tc>
        <w:tc>
          <w:tcPr>
            <w:tcW w:type="dxa" w:w="3600"/>
            <w:vAlign w:val="center"/>
          </w:tcPr>
          <w:p>
            <w:pPr>
              <w:keepNext w:val="0"/>
              <w:widowControl w:val="0"/>
              <w:spacing w:after="0" w:line="247" w:lineRule="auto"/>
            </w:pPr>
            <w:r>
              <w:rPr>
                <w:rFonts w:ascii="Times New Roman" w:hAnsi="Times New Roman"/>
                <w:b w:val="0"/>
                <w:i w:val="0"/>
                <w:color w:val="000000"/>
                <w:sz w:val="16"/>
              </w:rPr>
              <w:t>(Basso and Salani, 2026) Pareto/dominated label classification; no integrated learned solver [R064]</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GU-offline</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S065-M1</w:t>
            </w:r>
          </w:p>
        </w:tc>
        <w:tc>
          <w:tcPr>
            <w:tcW w:type="dxa" w:w="3600"/>
            <w:vAlign w:val="center"/>
          </w:tcPr>
          <w:p>
            <w:pPr>
              <w:keepNext w:val="0"/>
              <w:widowControl w:val="0"/>
              <w:spacing w:after="0" w:line="247" w:lineRule="auto"/>
            </w:pPr>
            <w:r>
              <w:rPr>
                <w:rFonts w:ascii="Times New Roman" w:hAnsi="Times New Roman"/>
                <w:b w:val="0"/>
                <w:i w:val="0"/>
                <w:color w:val="000000"/>
                <w:sz w:val="16"/>
              </w:rPr>
              <w:t>(Minoli et al., 2026) Promising-First Node (PFN), deviation features, tau = 0.2, k = 10 [R065]</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S066-M1</w:t>
            </w:r>
          </w:p>
        </w:tc>
        <w:tc>
          <w:tcPr>
            <w:tcW w:type="dxa" w:w="3600"/>
            <w:vAlign w:val="center"/>
          </w:tcPr>
          <w:p>
            <w:pPr>
              <w:keepNext w:val="0"/>
              <w:widowControl w:val="0"/>
              <w:spacing w:after="0" w:line="247" w:lineRule="auto"/>
            </w:pPr>
            <w:r>
              <w:rPr>
                <w:rFonts w:ascii="Times New Roman" w:hAnsi="Times New Roman"/>
                <w:b w:val="0"/>
                <w:i w:val="0"/>
                <w:color w:val="000000"/>
                <w:sz w:val="16"/>
              </w:rPr>
              <w:t>(You et al., 2026a) L-PDDOI direct [R066]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S066-M2</w:t>
            </w:r>
          </w:p>
        </w:tc>
        <w:tc>
          <w:tcPr>
            <w:tcW w:type="dxa" w:w="3600"/>
            <w:vAlign w:val="center"/>
          </w:tcPr>
          <w:p>
            <w:pPr>
              <w:keepNext w:val="0"/>
              <w:widowControl w:val="0"/>
              <w:spacing w:after="0" w:line="247" w:lineRule="auto"/>
            </w:pPr>
            <w:r>
              <w:rPr>
                <w:rFonts w:ascii="Times New Roman" w:hAnsi="Times New Roman"/>
                <w:b w:val="0"/>
                <w:i w:val="0"/>
                <w:color w:val="000000"/>
                <w:sz w:val="16"/>
              </w:rPr>
              <w:t>(You et al., 2026a) L-PDDOI-Rec [R066]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S066-M3</w:t>
            </w:r>
          </w:p>
        </w:tc>
        <w:tc>
          <w:tcPr>
            <w:tcW w:type="dxa" w:w="3600"/>
            <w:vAlign w:val="center"/>
          </w:tcPr>
          <w:p>
            <w:pPr>
              <w:keepNext w:val="0"/>
              <w:widowControl w:val="0"/>
              <w:spacing w:after="0" w:line="247" w:lineRule="auto"/>
            </w:pPr>
            <w:r>
              <w:rPr>
                <w:rFonts w:ascii="Times New Roman" w:hAnsi="Times New Roman"/>
                <w:b w:val="0"/>
                <w:i w:val="0"/>
                <w:color w:val="000000"/>
                <w:sz w:val="16"/>
              </w:rPr>
              <w:t>(You et al., 2026a) Gap-target recovery [R066]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S067-M1</w:t>
            </w:r>
          </w:p>
        </w:tc>
        <w:tc>
          <w:tcPr>
            <w:tcW w:type="dxa" w:w="3600"/>
            <w:vAlign w:val="center"/>
          </w:tcPr>
          <w:p>
            <w:pPr>
              <w:keepNext w:val="0"/>
              <w:widowControl w:val="0"/>
              <w:spacing w:after="0" w:line="247" w:lineRule="auto"/>
            </w:pPr>
            <w:r>
              <w:rPr>
                <w:rFonts w:ascii="Times New Roman" w:hAnsi="Times New Roman"/>
                <w:b w:val="0"/>
                <w:i w:val="0"/>
                <w:color w:val="000000"/>
                <w:sz w:val="16"/>
              </w:rPr>
              <w:t>(Berden et al., 2026) Predictive dual smoothing [R067]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S068-M1</w:t>
            </w:r>
          </w:p>
        </w:tc>
        <w:tc>
          <w:tcPr>
            <w:tcW w:type="dxa" w:w="3600"/>
            <w:vAlign w:val="center"/>
          </w:tcPr>
          <w:p>
            <w:pPr>
              <w:keepNext w:val="0"/>
              <w:widowControl w:val="0"/>
              <w:spacing w:after="0" w:line="247" w:lineRule="auto"/>
            </w:pPr>
            <w:r>
              <w:rPr>
                <w:rFonts w:ascii="Times New Roman" w:hAnsi="Times New Roman"/>
                <w:b w:val="0"/>
                <w:i w:val="0"/>
                <w:color w:val="000000"/>
                <w:sz w:val="16"/>
              </w:rPr>
              <w:t>(Hijazi et al., 2026) CG NN-DP [R068]</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S069-M1</w:t>
            </w:r>
          </w:p>
        </w:tc>
        <w:tc>
          <w:tcPr>
            <w:tcW w:type="dxa" w:w="3600"/>
            <w:vAlign w:val="center"/>
          </w:tcPr>
          <w:p>
            <w:pPr>
              <w:keepNext w:val="0"/>
              <w:widowControl w:val="0"/>
              <w:spacing w:after="0" w:line="247" w:lineRule="auto"/>
            </w:pPr>
            <w:r>
              <w:rPr>
                <w:rFonts w:ascii="Times New Roman" w:hAnsi="Times New Roman"/>
                <w:b w:val="0"/>
                <w:i w:val="0"/>
                <w:color w:val="000000"/>
                <w:sz w:val="16"/>
              </w:rPr>
              <w:t>(Gao et al., 2025) LCG low-conflict-density learned arc restriction + root CG + integer RMP [R069]</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S070-M1</w:t>
            </w:r>
          </w:p>
        </w:tc>
        <w:tc>
          <w:tcPr>
            <w:tcW w:type="dxa" w:w="3600"/>
            <w:vAlign w:val="center"/>
          </w:tcPr>
          <w:p>
            <w:pPr>
              <w:keepNext w:val="0"/>
              <w:widowControl w:val="0"/>
              <w:spacing w:after="0" w:line="247" w:lineRule="auto"/>
            </w:pPr>
            <w:r>
              <w:rPr>
                <w:rFonts w:ascii="Times New Roman" w:hAnsi="Times New Roman"/>
                <w:b w:val="0"/>
                <w:i w:val="0"/>
                <w:color w:val="000000"/>
                <w:sz w:val="16"/>
              </w:rPr>
              <w:t>(Sarkar et al., 2025) Knowledge-distilled dual prediction for penalized stabilization [R070]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G4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S071-M1</w:t>
            </w:r>
          </w:p>
        </w:tc>
        <w:tc>
          <w:tcPr>
            <w:tcW w:type="dxa" w:w="3600"/>
            <w:vAlign w:val="center"/>
          </w:tcPr>
          <w:p>
            <w:pPr>
              <w:keepNext w:val="0"/>
              <w:widowControl w:val="0"/>
              <w:spacing w:after="0" w:line="247" w:lineRule="auto"/>
            </w:pPr>
            <w:r>
              <w:rPr>
                <w:rFonts w:ascii="Times New Roman" w:hAnsi="Times New Roman"/>
                <w:b w:val="0"/>
                <w:i w:val="0"/>
                <w:color w:val="000000"/>
                <w:sz w:val="16"/>
              </w:rPr>
              <w:t>(Xue et al., 2026) Edge-and-break fixing with heuristic CG [R071]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(L3,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S071-M2</w:t>
            </w:r>
          </w:p>
        </w:tc>
        <w:tc>
          <w:tcPr>
            <w:tcW w:type="dxa" w:w="3600"/>
            <w:vAlign w:val="center"/>
          </w:tcPr>
          <w:p>
            <w:pPr>
              <w:keepNext w:val="0"/>
              <w:widowControl w:val="0"/>
              <w:spacing w:after="0" w:line="247" w:lineRule="auto"/>
            </w:pPr>
            <w:r>
              <w:rPr>
                <w:rFonts w:ascii="Times New Roman" w:hAnsi="Times New Roman"/>
                <w:b w:val="0"/>
                <w:i w:val="0"/>
                <w:color w:val="000000"/>
                <w:sz w:val="16"/>
              </w:rPr>
              <w:t>(Xue et al., 2026) Edge-fixing+CG [R071]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(L3,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S071-M3</w:t>
            </w:r>
          </w:p>
        </w:tc>
        <w:tc>
          <w:tcPr>
            <w:tcW w:type="dxa" w:w="3600"/>
            <w:vAlign w:val="center"/>
          </w:tcPr>
          <w:p>
            <w:pPr>
              <w:keepNext w:val="0"/>
              <w:widowControl w:val="0"/>
              <w:spacing w:after="0" w:line="247" w:lineRule="auto"/>
            </w:pPr>
            <w:r>
              <w:rPr>
                <w:rFonts w:ascii="Times New Roman" w:hAnsi="Times New Roman"/>
                <w:b w:val="0"/>
                <w:i w:val="0"/>
                <w:color w:val="000000"/>
                <w:sz w:val="16"/>
              </w:rPr>
              <w:t>(Xue et al., 2026) Break-fixing+CG [R071]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S072-M1</w:t>
            </w:r>
          </w:p>
        </w:tc>
        <w:tc>
          <w:tcPr>
            <w:tcW w:type="dxa" w:w="3600"/>
            <w:vAlign w:val="center"/>
          </w:tcPr>
          <w:p>
            <w:pPr>
              <w:keepNext w:val="0"/>
              <w:widowControl w:val="0"/>
              <w:spacing w:after="0" w:line="247" w:lineRule="auto"/>
            </w:pPr>
            <w:r>
              <w:rPr>
                <w:rFonts w:ascii="Times New Roman" w:hAnsi="Times New Roman"/>
                <w:b w:val="0"/>
                <w:i w:val="0"/>
                <w:color w:val="000000"/>
                <w:sz w:val="16"/>
              </w:rPr>
              <w:t>(Zhang et al., 2025) Main described algorithm [R072]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(L3,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G2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S073-M1</w:t>
            </w:r>
          </w:p>
        </w:tc>
        <w:tc>
          <w:tcPr>
            <w:tcW w:type="dxa" w:w="3600"/>
            <w:vAlign w:val="center"/>
          </w:tcPr>
          <w:p>
            <w:pPr>
              <w:keepNext w:val="0"/>
              <w:widowControl w:val="0"/>
              <w:spacing w:after="0" w:line="247" w:lineRule="auto"/>
            </w:pPr>
            <w:r>
              <w:rPr>
                <w:rFonts w:ascii="Times New Roman" w:hAnsi="Times New Roman"/>
                <w:b w:val="0"/>
                <w:i w:val="0"/>
                <w:color w:val="000000"/>
                <w:sz w:val="16"/>
              </w:rPr>
              <w:t>(Ouasaid and Saddoune, 2025) Main described algorithm [R073]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(L5, 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S074-M1</w:t>
            </w:r>
          </w:p>
        </w:tc>
        <w:tc>
          <w:tcPr>
            <w:tcW w:type="dxa" w:w="3600"/>
            <w:vAlign w:val="center"/>
          </w:tcPr>
          <w:p>
            <w:pPr>
              <w:keepNext w:val="0"/>
              <w:widowControl w:val="0"/>
              <w:spacing w:after="0" w:line="247" w:lineRule="auto"/>
            </w:pPr>
            <w:r>
              <w:rPr>
                <w:rFonts w:ascii="Times New Roman" w:hAnsi="Times New Roman"/>
                <w:b w:val="0"/>
                <w:i w:val="0"/>
                <w:color w:val="000000"/>
                <w:sz w:val="16"/>
              </w:rPr>
              <w:t>(Das and Dong, 2025) Main described algorithm [R074]</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E2, E3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S075-M1</w:t>
            </w:r>
          </w:p>
        </w:tc>
        <w:tc>
          <w:tcPr>
            <w:tcW w:type="dxa" w:w="3600"/>
            <w:vAlign w:val="center"/>
          </w:tcPr>
          <w:p>
            <w:pPr>
              <w:keepNext w:val="0"/>
              <w:widowControl w:val="0"/>
              <w:spacing w:after="0" w:line="247" w:lineRule="auto"/>
            </w:pPr>
            <w:r>
              <w:rPr>
                <w:rFonts w:ascii="Times New Roman" w:hAnsi="Times New Roman"/>
                <w:b w:val="0"/>
                <w:i w:val="0"/>
                <w:color w:val="000000"/>
                <w:sz w:val="16"/>
              </w:rPr>
              <w:t>(Shen et al., 2024) Main described algorithm [R075]</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G4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S076-M1</w:t>
            </w:r>
          </w:p>
        </w:tc>
        <w:tc>
          <w:tcPr>
            <w:tcW w:type="dxa" w:w="3600"/>
            <w:vAlign w:val="center"/>
          </w:tcPr>
          <w:p>
            <w:pPr>
              <w:keepNext w:val="0"/>
              <w:widowControl w:val="0"/>
              <w:spacing w:after="0" w:line="247" w:lineRule="auto"/>
            </w:pPr>
            <w:r>
              <w:rPr>
                <w:rFonts w:ascii="Times New Roman" w:hAnsi="Times New Roman"/>
                <w:b w:val="0"/>
                <w:i w:val="0"/>
                <w:color w:val="000000"/>
                <w:sz w:val="16"/>
              </w:rPr>
              <w:t>(Duan et al., 2022) Main described algorithm [R076]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S077-M1</w:t>
            </w:r>
          </w:p>
        </w:tc>
        <w:tc>
          <w:tcPr>
            <w:tcW w:type="dxa" w:w="3600"/>
            <w:vAlign w:val="center"/>
          </w:tcPr>
          <w:p>
            <w:pPr>
              <w:keepNext w:val="0"/>
              <w:widowControl w:val="0"/>
              <w:spacing w:after="0" w:line="247" w:lineRule="auto"/>
            </w:pPr>
            <w:r>
              <w:rPr>
                <w:rFonts w:ascii="Times New Roman" w:hAnsi="Times New Roman"/>
                <w:b w:val="0"/>
                <w:i w:val="0"/>
                <w:color w:val="000000"/>
                <w:sz w:val="16"/>
              </w:rPr>
              <w:t>(Abouelrous et al., 2025a) Main described algorithm [R077]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S078-M1</w:t>
            </w:r>
          </w:p>
        </w:tc>
        <w:tc>
          <w:tcPr>
            <w:tcW w:type="dxa" w:w="3600"/>
            <w:vAlign w:val="center"/>
          </w:tcPr>
          <w:p>
            <w:pPr>
              <w:keepNext w:val="0"/>
              <w:widowControl w:val="0"/>
              <w:spacing w:after="0" w:line="247" w:lineRule="auto"/>
            </w:pPr>
            <w:r>
              <w:rPr>
                <w:rFonts w:ascii="Times New Roman" w:hAnsi="Times New Roman"/>
                <w:b w:val="0"/>
                <w:i w:val="0"/>
                <w:color w:val="000000"/>
                <w:sz w:val="16"/>
              </w:rPr>
              <w:t>(Lu et al., 2025) Main described algorithm [R078]</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E0, 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S079-M1</w:t>
            </w:r>
          </w:p>
        </w:tc>
        <w:tc>
          <w:tcPr>
            <w:tcW w:type="dxa" w:w="3600"/>
            <w:vAlign w:val="center"/>
          </w:tcPr>
          <w:p>
            <w:pPr>
              <w:keepNext w:val="0"/>
              <w:widowControl w:val="0"/>
              <w:spacing w:after="0" w:line="247" w:lineRule="auto"/>
            </w:pPr>
            <w:r>
              <w:rPr>
                <w:rFonts w:ascii="Times New Roman" w:hAnsi="Times New Roman"/>
                <w:b w:val="0"/>
                <w:i w:val="0"/>
                <w:color w:val="000000"/>
                <w:sz w:val="16"/>
              </w:rPr>
              <w:t>(Sugishita et al., 2024) Main described algorithm [R079-V1]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S080-M1</w:t>
            </w:r>
          </w:p>
        </w:tc>
        <w:tc>
          <w:tcPr>
            <w:tcW w:type="dxa" w:w="3600"/>
            <w:vAlign w:val="center"/>
          </w:tcPr>
          <w:p>
            <w:pPr>
              <w:keepNext w:val="0"/>
              <w:widowControl w:val="0"/>
              <w:spacing w:after="0" w:line="247" w:lineRule="auto"/>
            </w:pPr>
            <w:r>
              <w:rPr>
                <w:rFonts w:ascii="Times New Roman" w:hAnsi="Times New Roman"/>
                <w:b w:val="0"/>
                <w:i w:val="0"/>
                <w:color w:val="000000"/>
                <w:sz w:val="16"/>
              </w:rPr>
              <w:t>(Sun et al., 2023) Standalone sampled-column MLCG [R080]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S080-M2</w:t>
            </w:r>
          </w:p>
        </w:tc>
        <w:tc>
          <w:tcPr>
            <w:tcW w:type="dxa" w:w="3600"/>
            <w:vAlign w:val="center"/>
          </w:tcPr>
          <w:p>
            <w:pPr>
              <w:keepNext w:val="0"/>
              <w:widowControl w:val="0"/>
              <w:spacing w:after="0" w:line="247" w:lineRule="auto"/>
            </w:pPr>
            <w:r>
              <w:rPr>
                <w:rFonts w:ascii="Times New Roman" w:hAnsi="Times New Roman"/>
                <w:b w:val="0"/>
                <w:i w:val="0"/>
                <w:color w:val="000000"/>
                <w:sz w:val="16"/>
              </w:rPr>
              <w:t>(Sun et al., 2023) MLRMH: learned pool warm-starts conventional exact root CG and restricted IP [R080]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G2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S081-M1</w:t>
            </w:r>
          </w:p>
        </w:tc>
        <w:tc>
          <w:tcPr>
            <w:tcW w:type="dxa" w:w="3600"/>
            <w:vAlign w:val="center"/>
          </w:tcPr>
          <w:p>
            <w:pPr>
              <w:keepNext w:val="0"/>
              <w:widowControl w:val="0"/>
              <w:spacing w:after="0" w:line="247" w:lineRule="auto"/>
            </w:pPr>
            <w:r>
              <w:rPr>
                <w:rFonts w:ascii="Times New Roman" w:hAnsi="Times New Roman"/>
                <w:b w:val="0"/>
                <w:i w:val="0"/>
                <w:color w:val="000000"/>
                <w:sz w:val="16"/>
              </w:rPr>
              <w:t>(Gerbaux et al., 2025) Main described algorithm [R081]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E0, 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S082-M1</w:t>
            </w:r>
          </w:p>
        </w:tc>
        <w:tc>
          <w:tcPr>
            <w:tcW w:type="dxa" w:w="3600"/>
            <w:vAlign w:val="center"/>
          </w:tcPr>
          <w:p>
            <w:pPr>
              <w:keepNext w:val="0"/>
              <w:widowControl w:val="0"/>
              <w:spacing w:after="0" w:line="247" w:lineRule="auto"/>
            </w:pPr>
            <w:r>
              <w:rPr>
                <w:rFonts w:ascii="Times New Roman" w:hAnsi="Times New Roman"/>
                <w:b w:val="0"/>
                <w:i w:val="0"/>
                <w:color w:val="000000"/>
                <w:sz w:val="16"/>
              </w:rPr>
              <w:t>(Babaki et al., 2022) Main described algorithm [R082]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W</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S083-M1</w:t>
            </w:r>
          </w:p>
        </w:tc>
        <w:tc>
          <w:tcPr>
            <w:tcW w:type="dxa" w:w="3600"/>
            <w:vAlign w:val="center"/>
          </w:tcPr>
          <w:p>
            <w:pPr>
              <w:keepNext w:val="0"/>
              <w:widowControl w:val="0"/>
              <w:spacing w:after="0" w:line="247" w:lineRule="auto"/>
            </w:pPr>
            <w:r>
              <w:rPr>
                <w:rFonts w:ascii="Times New Roman" w:hAnsi="Times New Roman"/>
                <w:b w:val="0"/>
                <w:i w:val="0"/>
                <w:color w:val="000000"/>
                <w:sz w:val="16"/>
              </w:rPr>
              <w:t>(Xia and Zhang, 2024) Main described algorithm [R083]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S084-M1</w:t>
            </w:r>
          </w:p>
        </w:tc>
        <w:tc>
          <w:tcPr>
            <w:tcW w:type="dxa" w:w="3600"/>
            <w:vAlign w:val="center"/>
          </w:tcPr>
          <w:p>
            <w:pPr>
              <w:keepNext w:val="0"/>
              <w:widowControl w:val="0"/>
              <w:spacing w:after="0" w:line="247" w:lineRule="auto"/>
            </w:pPr>
            <w:r>
              <w:rPr>
                <w:rFonts w:ascii="Times New Roman" w:hAnsi="Times New Roman"/>
                <w:b w:val="0"/>
                <w:i w:val="0"/>
                <w:color w:val="000000"/>
                <w:sz w:val="16"/>
              </w:rPr>
              <w:t>(Dolatkhah et al., 2026) Bandit GA initial-column generator [R084-V1]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S084-M2</w:t>
            </w:r>
          </w:p>
        </w:tc>
        <w:tc>
          <w:tcPr>
            <w:tcW w:type="dxa" w:w="3600"/>
            <w:vAlign w:val="center"/>
          </w:tcPr>
          <w:p>
            <w:pPr>
              <w:keepNext w:val="0"/>
              <w:widowControl w:val="0"/>
              <w:spacing w:after="0" w:line="247" w:lineRule="auto"/>
            </w:pPr>
            <w:r>
              <w:rPr>
                <w:rFonts w:ascii="Times New Roman" w:hAnsi="Times New Roman"/>
                <w:b w:val="0"/>
                <w:i w:val="0"/>
                <w:color w:val="000000"/>
                <w:sz w:val="16"/>
              </w:rPr>
              <w:t>(Dolatkhah et al., 2026) Overall time-limited RGA-CG plus restricted IP [R084-V1]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S085-M1</w:t>
            </w:r>
          </w:p>
        </w:tc>
        <w:tc>
          <w:tcPr>
            <w:tcW w:type="dxa" w:w="3600"/>
            <w:vAlign w:val="center"/>
          </w:tcPr>
          <w:p>
            <w:pPr>
              <w:keepNext w:val="0"/>
              <w:widowControl w:val="0"/>
              <w:spacing w:after="0" w:line="247" w:lineRule="auto"/>
            </w:pPr>
            <w:r>
              <w:rPr>
                <w:rFonts w:ascii="Times New Roman" w:hAnsi="Times New Roman"/>
                <w:b w:val="0"/>
                <w:i w:val="0"/>
                <w:color w:val="000000"/>
                <w:sz w:val="16"/>
              </w:rPr>
              <w:t>(Huo et al., 2023) Main described algorithm [R085]</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S086-M1</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(Tekil-Ergün and Çebi, 2026) Main described algorithm [R086] †</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G5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S087-M1</w:t>
            </w:r>
          </w:p>
        </w:tc>
        <w:tc>
          <w:tcPr>
            <w:tcW w:type="dxa" w:w="3600"/>
            <w:vAlign w:val="center"/>
          </w:tcPr>
          <w:p>
            <w:pPr>
              <w:keepNext w:val="0"/>
              <w:widowControl w:val="0"/>
              <w:spacing w:after="0" w:line="247" w:lineRule="auto"/>
            </w:pPr>
            <w:r>
              <w:rPr>
                <w:rFonts w:ascii="Times New Roman" w:hAnsi="Times New Roman"/>
                <w:b w:val="0"/>
                <w:i w:val="0"/>
                <w:color w:val="000000"/>
                <w:sz w:val="16"/>
              </w:rPr>
              <w:t>(Fang et al., 2023) Main described algorithm [R087]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G2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E0, E2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S088-M1</w:t>
            </w:r>
          </w:p>
        </w:tc>
        <w:tc>
          <w:tcPr>
            <w:tcW w:type="dxa" w:w="3600"/>
            <w:vAlign w:val="center"/>
          </w:tcPr>
          <w:p>
            <w:pPr>
              <w:keepNext w:val="0"/>
              <w:widowControl w:val="0"/>
              <w:spacing w:after="0" w:line="247" w:lineRule="auto"/>
            </w:pPr>
            <w:r>
              <w:rPr>
                <w:rFonts w:ascii="Times New Roman" w:hAnsi="Times New Roman"/>
                <w:b w:val="0"/>
                <w:i w:val="0"/>
                <w:color w:val="000000"/>
                <w:sz w:val="16"/>
              </w:rPr>
              <w:t>(Xu et al., 2024) Main described algorithm [R088]</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S089-M1</w:t>
            </w:r>
          </w:p>
        </w:tc>
        <w:tc>
          <w:tcPr>
            <w:tcW w:type="dxa" w:w="3600"/>
            <w:vAlign w:val="center"/>
          </w:tcPr>
          <w:p>
            <w:pPr>
              <w:keepNext w:val="0"/>
              <w:widowControl w:val="0"/>
              <w:spacing w:after="0" w:line="247" w:lineRule="auto"/>
            </w:pPr>
            <w:r>
              <w:rPr>
                <w:rFonts w:ascii="Times New Roman" w:hAnsi="Times New Roman"/>
                <w:b w:val="0"/>
                <w:i w:val="0"/>
                <w:color w:val="000000"/>
                <w:sz w:val="16"/>
              </w:rPr>
              <w:t>(Tahir et al., 2021) CPBS internal pricing score and relaxed dominance [R089]</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S089-M2</w:t>
            </w:r>
          </w:p>
        </w:tc>
        <w:tc>
          <w:tcPr>
            <w:tcW w:type="dxa" w:w="3600"/>
            <w:vAlign w:val="center"/>
          </w:tcPr>
          <w:p>
            <w:pPr>
              <w:keepNext w:val="0"/>
              <w:widowControl w:val="0"/>
              <w:spacing w:after="0" w:line="247" w:lineRule="auto"/>
            </w:pPr>
            <w:r>
              <w:rPr>
                <w:rFonts w:ascii="Times New Roman" w:hAnsi="Times New Roman"/>
                <w:b w:val="0"/>
                <w:i w:val="0"/>
                <w:color w:val="000000"/>
                <w:sz w:val="16"/>
              </w:rPr>
              <w:t>(Tahir et al., 2021) Learned pricing-network restriction with restoration [R089]</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G2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S089-M3</w:t>
            </w:r>
          </w:p>
        </w:tc>
        <w:tc>
          <w:tcPr>
            <w:tcW w:type="dxa" w:w="3600"/>
            <w:vAlign w:val="center"/>
          </w:tcPr>
          <w:p>
            <w:pPr>
              <w:keepNext w:val="0"/>
              <w:widowControl w:val="0"/>
              <w:spacing w:after="0" w:line="247" w:lineRule="auto"/>
            </w:pPr>
            <w:r>
              <w:rPr>
                <w:rFonts w:ascii="Times New Roman" w:hAnsi="Times New Roman"/>
                <w:b w:val="0"/>
                <w:i w:val="0"/>
                <w:color w:val="000000"/>
                <w:sz w:val="16"/>
              </w:rPr>
              <w:t>(Tahir et al., 2021) Overall I2CGp integral column-generation heuristic [R089]</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S090-M1</w:t>
            </w:r>
          </w:p>
        </w:tc>
        <w:tc>
          <w:tcPr>
            <w:tcW w:type="dxa" w:w="3600"/>
            <w:vAlign w:val="center"/>
          </w:tcPr>
          <w:p>
            <w:pPr>
              <w:keepNext w:val="0"/>
              <w:widowControl w:val="0"/>
              <w:spacing w:after="0" w:line="247" w:lineRule="auto"/>
            </w:pPr>
            <w:r>
              <w:rPr>
                <w:rFonts w:ascii="Times New Roman" w:hAnsi="Times New Roman"/>
                <w:b w:val="0"/>
                <w:i w:val="0"/>
                <w:color w:val="000000"/>
                <w:sz w:val="16"/>
              </w:rPr>
              <w:t>(Li et al., 2026) Main described algorithm [R090]</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GU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S091-M1</w:t>
            </w:r>
          </w:p>
        </w:tc>
        <w:tc>
          <w:tcPr>
            <w:tcW w:type="dxa" w:w="3600"/>
            <w:vAlign w:val="center"/>
          </w:tcPr>
          <w:p>
            <w:pPr>
              <w:keepNext w:val="0"/>
              <w:widowControl w:val="0"/>
              <w:spacing w:after="0" w:line="247" w:lineRule="auto"/>
            </w:pPr>
            <w:r>
              <w:rPr>
                <w:rFonts w:ascii="Times New Roman" w:hAnsi="Times New Roman"/>
                <w:b w:val="0"/>
                <w:i w:val="0"/>
                <w:color w:val="000000"/>
                <w:sz w:val="16"/>
              </w:rPr>
              <w:t>(Shan et al., 2026) Main described algorithm [R091]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G1</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S092-M1</w:t>
            </w:r>
          </w:p>
        </w:tc>
        <w:tc>
          <w:tcPr>
            <w:tcW w:type="dxa" w:w="3600"/>
            <w:vAlign w:val="center"/>
          </w:tcPr>
          <w:p>
            <w:pPr>
              <w:keepNext w:val="0"/>
              <w:widowControl w:val="0"/>
              <w:spacing w:after="0" w:line="247" w:lineRule="auto"/>
            </w:pPr>
            <w:r>
              <w:rPr>
                <w:rFonts w:ascii="Times New Roman" w:hAnsi="Times New Roman"/>
                <w:b w:val="0"/>
                <w:i w:val="0"/>
                <w:color w:val="000000"/>
                <w:sz w:val="16"/>
              </w:rPr>
              <w:t>(Kumar and Aghalaya, 2026) Main described algorithm [R092]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(L3,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S093-M1</w:t>
            </w:r>
          </w:p>
        </w:tc>
        <w:tc>
          <w:tcPr>
            <w:tcW w:type="dxa" w:w="3600"/>
            <w:vAlign w:val="center"/>
          </w:tcPr>
          <w:p>
            <w:pPr>
              <w:keepNext w:val="0"/>
              <w:widowControl w:val="0"/>
              <w:spacing w:after="0" w:line="247" w:lineRule="auto"/>
            </w:pPr>
            <w:r>
              <w:rPr>
                <w:rFonts w:ascii="Times New Roman" w:hAnsi="Times New Roman"/>
                <w:b w:val="0"/>
                <w:i w:val="0"/>
                <w:color w:val="000000"/>
                <w:sz w:val="16"/>
              </w:rPr>
              <w:t xml:space="preserve">(Lu and Qian, 2025) RL column initialization in the CG heuristic [R093]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L2</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G5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S094-M1</w:t>
            </w:r>
          </w:p>
        </w:tc>
        <w:tc>
          <w:tcPr>
            <w:tcW w:type="dxa" w:w="3600"/>
            <w:vAlign w:val="center"/>
          </w:tcPr>
          <w:p>
            <w:pPr>
              <w:keepNext w:val="0"/>
              <w:widowControl w:val="0"/>
              <w:spacing w:after="0" w:line="247" w:lineRule="auto"/>
            </w:pPr>
            <w:r>
              <w:rPr>
                <w:rFonts w:ascii="Times New Roman" w:hAnsi="Times New Roman"/>
                <w:b w:val="0"/>
                <w:i w:val="0"/>
                <w:color w:val="000000"/>
                <w:sz w:val="16"/>
              </w:rPr>
              <w:t>(Ding et al., 2025) Main described algorithm [R094]</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S095-M1</w:t>
            </w:r>
          </w:p>
        </w:tc>
        <w:tc>
          <w:tcPr>
            <w:tcW w:type="dxa" w:w="3600"/>
            <w:vAlign w:val="center"/>
          </w:tcPr>
          <w:p>
            <w:pPr>
              <w:keepNext w:val="0"/>
              <w:widowControl w:val="0"/>
              <w:spacing w:after="0" w:line="247" w:lineRule="auto"/>
            </w:pPr>
            <w:r>
              <w:rPr>
                <w:rFonts w:ascii="Times New Roman" w:hAnsi="Times New Roman"/>
                <w:b w:val="0"/>
                <w:i w:val="0"/>
                <w:color w:val="000000"/>
                <w:sz w:val="16"/>
              </w:rPr>
              <w:t>(Yan et al., 2026) Main described algorithm [R095]</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E0, E1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S096-M1</w:t>
            </w:r>
          </w:p>
        </w:tc>
        <w:tc>
          <w:tcPr>
            <w:tcW w:type="dxa" w:w="3600"/>
            <w:vAlign w:val="center"/>
          </w:tcPr>
          <w:p>
            <w:pPr>
              <w:keepNext w:val="0"/>
              <w:widowControl w:val="0"/>
              <w:spacing w:after="0" w:line="247" w:lineRule="auto"/>
            </w:pPr>
            <w:r>
              <w:rPr>
                <w:rFonts w:ascii="Times New Roman" w:hAnsi="Times New Roman"/>
                <w:b w:val="0"/>
                <w:i w:val="0"/>
                <w:color w:val="000000"/>
                <w:sz w:val="16"/>
              </w:rPr>
              <w:t>(Ermağan et al., 2024) Main described algorithm [R096]</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(L5,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S097-M1</w:t>
            </w:r>
          </w:p>
        </w:tc>
        <w:tc>
          <w:tcPr>
            <w:tcW w:type="dxa" w:w="3600"/>
            <w:vAlign w:val="center"/>
          </w:tcPr>
          <w:p>
            <w:pPr>
              <w:keepNext w:val="0"/>
              <w:widowControl w:val="0"/>
              <w:spacing w:after="0" w:line="247" w:lineRule="auto"/>
            </w:pPr>
            <w:r>
              <w:rPr>
                <w:rFonts w:ascii="Times New Roman" w:hAnsi="Times New Roman"/>
                <w:b w:val="0"/>
                <w:i w:val="0"/>
                <w:color w:val="000000"/>
                <w:sz w:val="16"/>
              </w:rPr>
              <w:t>(Zhao et al., 2026) Main described algorithm [R097]</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ML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S098-M1</w:t>
            </w:r>
          </w:p>
        </w:tc>
        <w:tc>
          <w:tcPr>
            <w:tcW w:type="dxa" w:w="3600"/>
            <w:vAlign w:val="center"/>
          </w:tcPr>
          <w:p>
            <w:pPr>
              <w:keepNext w:val="0"/>
              <w:widowControl w:val="0"/>
              <w:spacing w:after="0" w:line="247" w:lineRule="auto"/>
            </w:pPr>
            <w:r>
              <w:rPr>
                <w:rFonts w:ascii="Times New Roman" w:hAnsi="Times New Roman"/>
                <w:b w:val="0"/>
                <w:i w:val="0"/>
                <w:color w:val="000000"/>
                <w:sz w:val="16"/>
              </w:rPr>
              <w:t>(Muter and Öncan, 2015) Main described algorithm [R098-V1]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S098-M2</w:t>
            </w:r>
          </w:p>
        </w:tc>
        <w:tc>
          <w:tcPr>
            <w:tcW w:type="dxa" w:w="3600"/>
            <w:vAlign w:val="center"/>
          </w:tcPr>
          <w:p>
            <w:pPr>
              <w:keepNext w:val="0"/>
              <w:widowControl w:val="0"/>
              <w:spacing w:after="0" w:line="247" w:lineRule="auto"/>
            </w:pPr>
            <w:r>
              <w:rPr>
                <w:rFonts w:ascii="Times New Roman" w:hAnsi="Times New Roman"/>
                <w:b w:val="0"/>
                <w:i w:val="0"/>
                <w:color w:val="000000"/>
                <w:sz w:val="16"/>
              </w:rPr>
              <w:t>(Muter and Öncan, 2015) Bound-based complete column enumeration then MIP [R098-V1]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G3</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S099-M1</w:t>
            </w:r>
          </w:p>
        </w:tc>
        <w:tc>
          <w:tcPr>
            <w:tcW w:type="dxa" w:w="3600"/>
            <w:vAlign w:val="center"/>
          </w:tcPr>
          <w:p>
            <w:pPr>
              <w:keepNext w:val="0"/>
              <w:widowControl w:val="0"/>
              <w:spacing w:after="0" w:line="247" w:lineRule="auto"/>
            </w:pPr>
            <w:r>
              <w:rPr>
                <w:rFonts w:ascii="Times New Roman" w:hAnsi="Times New Roman"/>
                <w:b w:val="0"/>
                <w:i w:val="0"/>
                <w:color w:val="000000"/>
                <w:sz w:val="16"/>
              </w:rPr>
              <w:t>(Breugem et al., 2022) Main described algorithm [R099]</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(L4, L5, L1)</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S100-M1</w:t>
            </w:r>
          </w:p>
        </w:tc>
        <w:tc>
          <w:tcPr>
            <w:tcW w:type="dxa" w:w="3600"/>
            <w:vAlign w:val="center"/>
          </w:tcPr>
          <w:p>
            <w:pPr>
              <w:keepNext w:val="0"/>
              <w:widowControl w:val="0"/>
              <w:spacing w:after="0" w:line="247" w:lineRule="auto"/>
            </w:pPr>
            <w:r>
              <w:rPr>
                <w:rFonts w:ascii="Times New Roman" w:hAnsi="Times New Roman"/>
                <w:b w:val="0"/>
                <w:i w:val="0"/>
                <w:color w:val="000000"/>
                <w:sz w:val="16"/>
              </w:rPr>
              <w:t>(Núñez Ares et al., 2016) Main described algorithm [R100-V1]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 (L2,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GU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S101-M1</w:t>
            </w:r>
          </w:p>
        </w:tc>
        <w:tc>
          <w:tcPr>
            <w:tcW w:type="dxa" w:w="3600"/>
            <w:vAlign w:val="center"/>
          </w:tcPr>
          <w:p>
            <w:pPr>
              <w:keepNext w:val="0"/>
              <w:widowControl w:val="0"/>
              <w:spacing w:after="0" w:line="247" w:lineRule="auto"/>
            </w:pPr>
            <w:r>
              <w:rPr>
                <w:rFonts w:ascii="Times New Roman" w:hAnsi="Times New Roman"/>
                <w:b w:val="0"/>
                <w:i w:val="0"/>
                <w:color w:val="000000"/>
                <w:sz w:val="16"/>
              </w:rPr>
              <w:t>(Dupin et al., 2021) Main described algorithm [R101]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L3 (L5,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S102-M1</w:t>
            </w:r>
          </w:p>
        </w:tc>
        <w:tc>
          <w:tcPr>
            <w:tcW w:type="dxa" w:w="3600"/>
            <w:vAlign w:val="center"/>
          </w:tcPr>
          <w:p>
            <w:pPr>
              <w:keepNext w:val="0"/>
              <w:widowControl w:val="0"/>
              <w:spacing w:after="0" w:line="247" w:lineRule="auto"/>
            </w:pPr>
            <w:r>
              <w:rPr>
                <w:rFonts w:ascii="Times New Roman" w:hAnsi="Times New Roman"/>
                <w:b w:val="0"/>
                <w:i w:val="0"/>
                <w:color w:val="000000"/>
                <w:sz w:val="16"/>
              </w:rPr>
              <w:t>(Zhang et al., 2026) CSDW-S selective Phase-II Tier E / Tier D / exact coverage cascade [R102]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L3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E2, E3, E4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S102-M2</w:t>
            </w:r>
          </w:p>
        </w:tc>
        <w:tc>
          <w:tcPr>
            <w:tcW w:type="dxa" w:w="3600"/>
            <w:vAlign w:val="center"/>
          </w:tcPr>
          <w:p>
            <w:pPr>
              <w:keepNext w:val="0"/>
              <w:widowControl w:val="0"/>
              <w:spacing w:after="0" w:line="247" w:lineRule="auto"/>
            </w:pPr>
            <w:r>
              <w:rPr>
                <w:rFonts w:ascii="Times New Roman" w:hAnsi="Times New Roman"/>
                <w:b w:val="0"/>
                <w:i w:val="0"/>
                <w:color w:val="000000"/>
                <w:sz w:val="16"/>
              </w:rPr>
              <w:t>(Zhang et al., 2026) CSDW-X exact-all Phase-II within-code comparator [R102]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L3</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E2, E3, E4 †</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S102-M3</w:t>
            </w:r>
          </w:p>
        </w:tc>
        <w:tc>
          <w:tcPr>
            <w:tcW w:type="dxa" w:w="3600"/>
            <w:vAlign w:val="center"/>
          </w:tcPr>
          <w:p>
            <w:pPr>
              <w:keepNext w:val="0"/>
              <w:widowControl w:val="0"/>
              <w:spacing w:after="0" w:line="247" w:lineRule="auto"/>
            </w:pPr>
            <w:r>
              <w:rPr>
                <w:rFonts w:ascii="Times New Roman" w:hAnsi="Times New Roman"/>
                <w:b w:val="0"/>
                <w:i w:val="0"/>
                <w:color w:val="000000"/>
                <w:sz w:val="16"/>
              </w:rPr>
              <w:t>(Zhang et al., 2026) Complete-sweep CSDW stabilized/partial proposals with all-unit true-dual exact recovery, earlier separate campaigns [R102]</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L2 (L3,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G2</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E2, E4</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S103-M1</w:t>
            </w:r>
          </w:p>
        </w:tc>
        <w:tc>
          <w:tcPr>
            <w:tcW w:type="dxa" w:w="3600"/>
            <w:vAlign w:val="center"/>
          </w:tcPr>
          <w:p>
            <w:pPr>
              <w:keepNext w:val="0"/>
              <w:widowControl w:val="0"/>
              <w:spacing w:after="0" w:line="247" w:lineRule="auto"/>
            </w:pPr>
            <w:r>
              <w:rPr>
                <w:rFonts w:ascii="Times New Roman" w:hAnsi="Times New Roman"/>
                <w:b w:val="0"/>
                <w:i w:val="0"/>
                <w:color w:val="000000"/>
                <w:sz w:val="16"/>
              </w:rPr>
              <w:t>(Chen et al., 2026) PLA: BAC2 incumbent preprocessing plus pulse bounds and exact labeling [R103]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 (L5)</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 xml:space="preserve">G3 †</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T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S103-M2</w:t>
            </w:r>
          </w:p>
        </w:tc>
        <w:tc>
          <w:tcPr>
            <w:tcW w:type="dxa" w:w="3600"/>
            <w:vAlign w:val="center"/>
          </w:tcPr>
          <w:p>
            <w:pPr>
              <w:keepNext w:val="0"/>
              <w:widowControl w:val="0"/>
              <w:spacing w:after="0" w:line="247" w:lineRule="auto"/>
            </w:pPr>
            <w:r>
              <w:rPr>
                <w:rFonts w:ascii="Times New Roman" w:hAnsi="Times New Roman"/>
                <w:b w:val="0"/>
                <w:i w:val="0"/>
                <w:color w:val="000000"/>
                <w:sz w:val="16"/>
              </w:rPr>
              <w:t>(Chen et al., 2026) BAC1: standalone Model 1 branch-and-cut without extra cuts [R103]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T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S103-M3</w:t>
            </w:r>
          </w:p>
        </w:tc>
        <w:tc>
          <w:tcPr>
            <w:tcW w:type="dxa" w:w="3600"/>
            <w:vAlign w:val="center"/>
          </w:tcPr>
          <w:p>
            <w:pPr>
              <w:keepNext w:val="0"/>
              <w:widowControl w:val="0"/>
              <w:spacing w:after="0" w:line="247" w:lineRule="auto"/>
            </w:pPr>
            <w:r>
              <w:rPr>
                <w:rFonts w:ascii="Times New Roman" w:hAnsi="Times New Roman"/>
                <w:b w:val="0"/>
                <w:i w:val="0"/>
                <w:color w:val="000000"/>
                <w:sz w:val="16"/>
              </w:rPr>
              <w:t>(Chen et al., 2026) BAC2: standalone Model 1 plus GCS [R103]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T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S103-M4</w:t>
            </w:r>
          </w:p>
        </w:tc>
        <w:tc>
          <w:tcPr>
            <w:tcW w:type="dxa" w:w="3600"/>
            <w:vAlign w:val="center"/>
          </w:tcPr>
          <w:p>
            <w:pPr>
              <w:keepNext w:val="0"/>
              <w:widowControl w:val="0"/>
              <w:spacing w:after="0" w:line="247" w:lineRule="auto"/>
            </w:pPr>
            <w:r>
              <w:rPr>
                <w:rFonts w:ascii="Times New Roman" w:hAnsi="Times New Roman"/>
                <w:b w:val="0"/>
                <w:i w:val="0"/>
                <w:color w:val="000000"/>
                <w:sz w:val="16"/>
              </w:rPr>
              <w:t>(Chen et al., 2026) BAC3: standalone Model 1 plus GCS and IPEC [R103]</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G4</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T / P</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S104-M1</w:t>
            </w:r>
          </w:p>
        </w:tc>
        <w:tc>
          <w:tcPr>
            <w:tcW w:type="dxa" w:w="3600"/>
            <w:vAlign w:val="center"/>
          </w:tcPr>
          <w:p>
            <w:pPr>
              <w:keepNext w:val="0"/>
              <w:widowControl w:val="0"/>
              <w:spacing w:after="0" w:line="247" w:lineRule="auto"/>
            </w:pPr>
            <w:r>
              <w:rPr>
                <w:rFonts w:ascii="Times New Roman" w:hAnsi="Times New Roman"/>
                <w:b w:val="0"/>
                <w:i w:val="0"/>
                <w:color w:val="000000"/>
                <w:sz w:val="16"/>
              </w:rPr>
              <w:t>(Jin and Yu, 2023) PCD preprocessing, classifier stopping and learned path construction [R104]</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L5 (L4)</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E0, E1</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S / ML / Cnf</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S105-M1</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2019) Pure diving [R105-V1]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L1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S105-M2</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2019) Diving for feasibility [R105-V1]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L1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S105-M3</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2019) Diving with restarts [R105-V1]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L1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S105-M4</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2019) Local branching after a feasible dive [R105-V1]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L1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S105-M5</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2019) Diving with limited discrepancy search [R105-V1]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L1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S105-M6</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2019) Strong diving [R105-V1]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 xml:space="preserve">L1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S105-M7</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2019) Restricted-master integer heuristic comparator [R105-V1]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 xml:space="preserve">E2</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r>
        <w:trPr>
          <w:cantSplit/>
        </w:trPr>
        <w:tc>
          <w:tcPr>
            <w:tcW w:type="dxa" w:w="1008"/>
            <w:vAlign w:val="center"/>
          </w:tcPr>
          <w:p>
            <w:pPr>
              <w:keepNext w:val="0"/>
              <w:widowControl w:val="0"/>
              <w:spacing w:after="0" w:line="247" w:lineRule="auto"/>
              <w:jc w:val="center"/>
            </w:pPr>
            <w:r>
              <w:rPr>
                <w:rFonts w:ascii="Times New Roman" w:hAnsi="Times New Roman"/>
                <w:b w:val="0"/>
                <w:i w:val="0"/>
                <w:color w:val="000000"/>
                <w:sz w:val="16"/>
              </w:rPr>
              <w:t>S105-M8</w:t>
            </w:r>
          </w:p>
        </w:tc>
        <w:tc>
          <w:tcPr>
            <w:tcW w:type="dxa" w:w="3600"/>
            <w:vAlign w:val="center"/>
          </w:tcPr>
          <w:p>
            <w:pPr>
              <w:keepNext w:val="0"/>
              <w:widowControl w:val="0"/>
              <w:spacing w:after="0" w:line="247" w:lineRule="auto"/>
            </w:pPr>
            <w:r>
              <w:rPr>
                <w:rFonts w:ascii="Times New Roman" w:hAnsi="Times New Roman"/>
                <w:b w:val="0"/>
                <w:i w:val="0"/>
                <w:color w:val="000000"/>
                <w:sz w:val="16"/>
              </w:rPr>
              <w:t>(Sadykov et al., 2019) Diving followed by sub-MIPing [R105-V1]</w:t>
            </w:r>
          </w:p>
        </w:tc>
        <w:tc>
          <w:tcPr>
            <w:tcW w:type="dxa" w:w="1123"/>
            <w:vAlign w:val="center"/>
          </w:tcPr>
          <w:p>
            <w:pPr>
              <w:keepNext w:val="0"/>
              <w:widowControl w:val="0"/>
              <w:spacing w:after="0" w:line="247" w:lineRule="auto"/>
              <w:jc w:val="center"/>
            </w:pPr>
            <w:r>
              <w:rPr>
                <w:rFonts w:ascii="Times New Roman" w:hAnsi="Times New Roman"/>
                <w:b w:val="0"/>
                <w:i w:val="0"/>
                <w:color w:val="000000"/>
                <w:sz w:val="16"/>
              </w:rPr>
              <w:t>L1 (L6)</w:t>
            </w:r>
          </w:p>
        </w:tc>
        <w:tc>
          <w:tcPr>
            <w:tcW w:type="dxa" w:w="1080"/>
            <w:vAlign w:val="center"/>
          </w:tcPr>
          <w:p>
            <w:pPr>
              <w:keepNext w:val="0"/>
              <w:widowControl w:val="0"/>
              <w:spacing w:after="0" w:line="247" w:lineRule="auto"/>
              <w:jc w:val="center"/>
            </w:pPr>
            <w:r>
              <w:rPr>
                <w:rFonts w:ascii="Times New Roman" w:hAnsi="Times New Roman"/>
                <w:b w:val="0"/>
                <w:i w:val="0"/>
                <w:color w:val="000000"/>
                <w:sz w:val="16"/>
              </w:rPr>
              <w:t>G5</w:t>
            </w:r>
          </w:p>
        </w:tc>
        <w:tc>
          <w:tcPr>
            <w:tcW w:type="dxa" w:w="1224"/>
            <w:vAlign w:val="center"/>
          </w:tcPr>
          <w:p>
            <w:pPr>
              <w:keepNext w:val="0"/>
              <w:widowControl w:val="0"/>
              <w:spacing w:after="0" w:line="247" w:lineRule="auto"/>
              <w:jc w:val="center"/>
            </w:pPr>
            <w:r>
              <w:rPr>
                <w:rFonts w:ascii="Times New Roman" w:hAnsi="Times New Roman"/>
                <w:b w:val="0"/>
                <w:i w:val="0"/>
                <w:color w:val="000000"/>
                <w:sz w:val="16"/>
              </w:rPr>
              <w:t>E3</w:t>
            </w:r>
          </w:p>
        </w:tc>
        <w:tc>
          <w:tcPr>
            <w:tcW w:type="dxa" w:w="1325"/>
            <w:vAlign w:val="center"/>
          </w:tcPr>
          <w:p>
            <w:pPr>
              <w:keepNext w:val="0"/>
              <w:widowControl w:val="0"/>
              <w:spacing w:after="0" w:line="247" w:lineRule="auto"/>
              <w:jc w:val="center"/>
            </w:pPr>
            <w:r>
              <w:rPr>
                <w:rFonts w:ascii="Times New Roman" w:hAnsi="Times New Roman"/>
                <w:b w:val="0"/>
                <w:i w:val="0"/>
                <w:color w:val="000000"/>
                <w:sz w:val="16"/>
              </w:rPr>
              <w:t>C / T / J</w:t>
            </w:r>
          </w:p>
        </w:tc>
      </w:tr>
    </w:tbl>
    <w:p>
      <w:pPr>
        <w:spacing w:after="40" w:before="0" w:line="240" w:lineRule="auto"/>
      </w:pPr>
      <w:r>
        <w:rPr>
          <w:rFonts w:ascii="Times New Roman" w:hAnsi="Times New Roman"/>
          <w:color w:val="000000"/>
          <w:sz w:val="2"/>
        </w:rPr>
      </w:r>
    </w:p>
    <w:p>
      <w:pPr/>
      <w:r>
        <w:rPr>
          <w:rFonts w:ascii="Times New Roman" w:hAnsi="Times New Roman"/>
          <w:b w:val="0"/>
          <w:i w:val="0"/>
          <w:color w:val="000000"/>
        </w:rPr>
        <w:t>The 12 fully read background families do not contribute to Figure 3 or the layer counts: S001 (Lübbecke and Desrosiers, 2005), S002 (Petris et al., 2025), S003 (Costa et al., 2019), S004 (Zhou et al., 2025), S005 (Fan et al., 2026), S007 (Schryen and Sperling, 2023), S008 (Page et al., 2021), S012 (Feillet, 2010), S013 (Di Puglia Pugliese and Guerriero, 2013), S014 (Wilhelm, 2001), S035 (Barnhart et al., 1998) and S040 (Vanderbeck, 2005). The erratum is linked to S014 and is not a second family.</w:t>
      </w:r>
    </w:p>
    <w:p>
      <w:pPr>
        <w:pStyle w:val="Heading2"/>
      </w:pPr>
      <w:r>
        <w:rPr>
          <w:rFonts w:ascii="Times New Roman" w:hAnsi="Times New Roman"/>
          <w:b/>
          <w:i w:val="0"/>
          <w:color w:val="000000"/>
        </w:rPr>
        <w:t>A.3 Targeted additions and material access</w:t>
      </w:r>
    </w:p>
    <w:p>
      <w:pPr/>
      <w:r>
        <w:rPr>
          <w:rFonts w:ascii="Times New Roman" w:hAnsi="Times New Roman"/>
          <w:b w:val="0"/>
          <w:i w:val="0"/>
          <w:color w:val="000000"/>
        </w:rPr>
        <w:t>Table A.2 separates fully read primary evidence from contextual reading and bibliographic identification, so that an additional citation does not silently become a coded study. Original papers not obtained are not used for numerical or guarantee assessments. The 2005 edited volume is cited as background to an already read chapter; the 2026 monograph was consulted selectively, not read cover to cover.</w:t>
      </w:r>
    </w:p>
    <w:p>
      <w:pPr>
        <w:pStyle w:val="Caption"/>
        <w:keepNext/>
        <w:keepLines/>
      </w:pPr>
      <w:r>
        <w:rPr>
          <w:rFonts w:ascii="Times New Roman" w:hAnsi="Times New Roman"/>
          <w:b/>
          <w:i w:val="0"/>
          <w:color w:val="000000"/>
        </w:rPr>
        <w:t>Table A.2. Access depth and use of additional sources.</w:t>
      </w:r>
    </w:p>
    <w:tbl>
      <w:tblPr>
        <w:tblW w:type="auto" w:w="0"/>
        <w:jc w:val="center"/>
        <w:tblLayout w:type="fixed"/>
        <w:tblLook w:val="0000" w:firstRow="0" w:lastRow="0" w:firstColumn="0" w:lastColumn="0" w:noHBand="1" w:noVBand="1"/>
        <w:tblBorders>
          <w:top w:val="single" w:sz="8" w:color="000000"/>
          <w:left w:val="nil"/>
          <w:bottom w:val="single" w:sz="8" w:color="000000"/>
          <w:right w:val="nil"/>
          <w:insideH w:val="nil"/>
          <w:insideV w:val="nil"/>
          <w:start w:val="nil"/>
          <w:end w:val="nil"/>
        </w:tblBorders>
        <w:tblLayout w:type="fixed"/>
        <w:tblCellMar>
          <w:top w:w="70" w:type="dxa"/>
          <w:bottom w:w="70" w:type="dxa"/>
          <w:left w:w="85" w:type="dxa"/>
          <w:right w:w="85" w:type="dxa"/>
        </w:tblCellMar>
      </w:tblPr>
      <w:tblGrid>
        <w:gridCol w:w="2448"/>
        <w:gridCol w:w="3312"/>
        <w:gridCol w:w="3600"/>
      </w:tblGrid>
      <w:tr>
        <w:trPr>
          <w:cantSplit/>
          <w:tblHeader w:val="true"/>
        </w:trPr>
        <w:tc>
          <w:tcPr>
            <w:tcW w:type="dxa" w:w="2448"/>
            <w:vAlign w:val="center"/>
            <w:tcBorders>
              <w:bottom w:val="single" w:sz="4" w:color="000000"/>
            </w:tcBorders>
          </w:tcPr>
          <w:p>
            <w:pPr>
              <w:keepNext/>
              <w:widowControl w:val="0"/>
              <w:spacing w:after="0" w:line="245" w:lineRule="auto"/>
            </w:pPr>
            <w:r>
              <w:rPr>
                <w:rFonts w:ascii="Times New Roman" w:hAnsi="Times New Roman"/>
                <w:b/>
                <w:i w:val="0"/>
                <w:color w:val="000000"/>
                <w:sz w:val="19"/>
              </w:rPr>
              <w:t>Source</w:t>
            </w:r>
          </w:p>
        </w:tc>
        <w:tc>
          <w:tcPr>
            <w:tcW w:type="dxa" w:w="3312"/>
            <w:vAlign w:val="center"/>
            <w:tcBorders>
              <w:bottom w:val="single" w:sz="4" w:color="000000"/>
            </w:tcBorders>
          </w:tcPr>
          <w:p>
            <w:pPr>
              <w:keepNext/>
              <w:widowControl w:val="0"/>
              <w:spacing w:after="0" w:line="245" w:lineRule="auto"/>
            </w:pPr>
            <w:r>
              <w:rPr>
                <w:rFonts w:ascii="Times New Roman" w:hAnsi="Times New Roman"/>
                <w:b/>
                <w:i w:val="0"/>
                <w:color w:val="000000"/>
                <w:sz w:val="19"/>
              </w:rPr>
              <w:t>Access and version</w:t>
            </w:r>
          </w:p>
        </w:tc>
        <w:tc>
          <w:tcPr>
            <w:tcW w:type="dxa" w:w="3600"/>
            <w:vAlign w:val="center"/>
            <w:tcBorders>
              <w:bottom w:val="single" w:sz="4" w:color="000000"/>
            </w:tcBorders>
          </w:tcPr>
          <w:p>
            <w:pPr>
              <w:keepNext/>
              <w:widowControl w:val="0"/>
              <w:spacing w:after="0" w:line="245" w:lineRule="auto"/>
            </w:pPr>
            <w:r>
              <w:rPr>
                <w:rFonts w:ascii="Times New Roman" w:hAnsi="Times New Roman"/>
                <w:b/>
                <w:i w:val="0"/>
                <w:color w:val="000000"/>
                <w:sz w:val="19"/>
              </w:rPr>
              <w:t>Use in this review</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(Sadykov et al., 2019)</w:t>
            </w:r>
          </w:p>
        </w:tc>
        <w:tc>
          <w:tcPr>
            <w:tcW w:type="dxa" w:w="3312"/>
            <w:vAlign w:val="center"/>
          </w:tcPr>
          <w:p>
            <w:pPr>
              <w:keepNext w:val="0"/>
              <w:widowControl w:val="0"/>
              <w:spacing w:after="0" w:line="245" w:lineRule="auto"/>
            </w:pPr>
            <w:r>
              <w:rPr>
                <w:rFonts w:ascii="Times New Roman" w:hAnsi="Times New Roman"/>
                <w:b w:val="0"/>
                <w:i w:val="0"/>
                <w:color w:val="000000"/>
                <w:sz w:val="19"/>
              </w:rPr>
              <w:t>Full HAL v3 author manuscript, 37 PDF pages; journal 2019</w:t>
            </w:r>
          </w:p>
        </w:tc>
        <w:tc>
          <w:tcPr>
            <w:tcW w:type="dxa" w:w="3600"/>
            <w:vAlign w:val="center"/>
          </w:tcPr>
          <w:p>
            <w:pPr>
              <w:keepNext w:val="0"/>
              <w:widowControl w:val="0"/>
              <w:spacing w:after="0" w:line="245" w:lineRule="auto"/>
            </w:pPr>
            <w:r>
              <w:rPr>
                <w:rFonts w:ascii="Times New Roman" w:hAnsi="Times New Roman"/>
                <w:b w:val="0"/>
                <w:i w:val="0"/>
                <w:color w:val="000000"/>
                <w:sz w:val="19"/>
              </w:rPr>
              <w:t xml:space="preserve">CORE family S105, eight variants; seven coded E3; root restricted-master integer heuristic S105-M7 coded E2</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(Pessoa et al., 2013)</w:t>
            </w:r>
          </w:p>
        </w:tc>
        <w:tc>
          <w:tcPr>
            <w:tcW w:type="dxa" w:w="3312"/>
            <w:vAlign w:val="center"/>
          </w:tcPr>
          <w:p>
            <w:pPr>
              <w:keepNext w:val="0"/>
              <w:widowControl w:val="0"/>
              <w:spacing w:after="0" w:line="245" w:lineRule="auto"/>
            </w:pPr>
            <w:r>
              <w:rPr>
                <w:rFonts w:ascii="Times New Roman" w:hAnsi="Times New Roman"/>
                <w:b w:val="0"/>
                <w:i w:val="0"/>
                <w:color w:val="000000"/>
                <w:sz w:val="19"/>
              </w:rPr>
              <w:t>Full extended HAL v3 report, 19 PDF pages</w:t>
            </w:r>
          </w:p>
        </w:tc>
        <w:tc>
          <w:tcPr>
            <w:tcW w:type="dxa" w:w="3600"/>
            <w:vAlign w:val="center"/>
          </w:tcPr>
          <w:p>
            <w:pPr>
              <w:keepNext w:val="0"/>
              <w:widowControl w:val="0"/>
              <w:spacing w:after="0" w:line="245" w:lineRule="auto"/>
            </w:pPr>
            <w:r>
              <w:rPr>
                <w:rFonts w:ascii="Times New Roman" w:hAnsi="Times New Roman"/>
                <w:b w:val="0"/>
                <w:i w:val="0"/>
                <w:color w:val="000000"/>
                <w:sz w:val="19"/>
              </w:rPr>
              <w:t>Earlier report of S018; smoothing history and recovery mechanism; no duplicate family</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(Hu et al., 2024)</w:t>
            </w:r>
          </w:p>
        </w:tc>
        <w:tc>
          <w:tcPr>
            <w:tcW w:type="dxa" w:w="3312"/>
            <w:vAlign w:val="center"/>
          </w:tcPr>
          <w:p>
            <w:pPr>
              <w:keepNext w:val="0"/>
              <w:widowControl w:val="0"/>
              <w:spacing w:after="0" w:line="245" w:lineRule="auto"/>
            </w:pPr>
            <w:r>
              <w:rPr>
                <w:rFonts w:ascii="Times New Roman" w:hAnsi="Times New Roman"/>
                <w:b w:val="0"/>
                <w:i w:val="0"/>
                <w:color w:val="000000"/>
                <w:sz w:val="19"/>
              </w:rPr>
              <w:t>Full arXiv v1, 12 PDF pages including appendices</w:t>
            </w:r>
          </w:p>
        </w:tc>
        <w:tc>
          <w:tcPr>
            <w:tcW w:type="dxa" w:w="3600"/>
            <w:vAlign w:val="center"/>
          </w:tcPr>
          <w:p>
            <w:pPr>
              <w:keepNext w:val="0"/>
              <w:widowControl w:val="0"/>
              <w:spacing w:after="0" w:line="245" w:lineRule="auto"/>
            </w:pPr>
            <w:r>
              <w:rPr>
                <w:rFonts w:ascii="Times New Roman" w:hAnsi="Times New Roman"/>
                <w:b w:val="0"/>
                <w:i w:val="0"/>
                <w:color w:val="000000"/>
                <w:sz w:val="19"/>
              </w:rPr>
              <w:t>Additional report of S059; supplies the training and test-set sizes</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(Kruber et al., 2017)</w:t>
            </w:r>
          </w:p>
        </w:tc>
        <w:tc>
          <w:tcPr>
            <w:tcW w:type="dxa" w:w="3312"/>
            <w:vAlign w:val="center"/>
          </w:tcPr>
          <w:p>
            <w:pPr>
              <w:keepNext w:val="0"/>
              <w:widowControl w:val="0"/>
              <w:spacing w:after="0" w:line="245" w:lineRule="auto"/>
            </w:pPr>
            <w:r>
              <w:rPr>
                <w:rFonts w:ascii="Times New Roman" w:hAnsi="Times New Roman"/>
                <w:b w:val="0"/>
                <w:i w:val="0"/>
                <w:color w:val="000000"/>
                <w:sz w:val="19"/>
              </w:rPr>
              <w:t>Full nine-page author-hosted proceedings paper</w:t>
            </w:r>
          </w:p>
        </w:tc>
        <w:tc>
          <w:tcPr>
            <w:tcW w:type="dxa" w:w="3600"/>
            <w:vAlign w:val="center"/>
          </w:tcPr>
          <w:p>
            <w:pPr>
              <w:keepNext w:val="0"/>
              <w:widowControl w:val="0"/>
              <w:spacing w:after="0" w:line="245" w:lineRule="auto"/>
            </w:pPr>
            <w:r>
              <w:rPr>
                <w:rFonts w:ascii="Times New Roman" w:hAnsi="Times New Roman"/>
                <w:b w:val="0"/>
                <w:i w:val="0"/>
                <w:color w:val="000000"/>
                <w:sz w:val="19"/>
              </w:rPr>
              <w:t>Upstream solver/decomposition selection; contextual, outside six within-decomposition layers</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(Gasse et al., 2019; Khalil et al., 2016)</w:t>
            </w:r>
          </w:p>
        </w:tc>
        <w:tc>
          <w:tcPr>
            <w:tcW w:type="dxa" w:w="3312"/>
            <w:vAlign w:val="center"/>
          </w:tcPr>
          <w:p>
            <w:pPr>
              <w:keepNext w:val="0"/>
              <w:widowControl w:val="0"/>
              <w:spacing w:after="0" w:line="245" w:lineRule="auto"/>
            </w:pPr>
            <w:r>
              <w:rPr>
                <w:rFonts w:ascii="Times New Roman" w:hAnsi="Times New Roman"/>
                <w:b w:val="0"/>
                <w:i w:val="0"/>
                <w:color w:val="000000"/>
                <w:sz w:val="19"/>
              </w:rPr>
              <w:t>Official proceedings PDFs; abstract and introductory mechanism passages inspected</w:t>
            </w:r>
          </w:p>
        </w:tc>
        <w:tc>
          <w:tcPr>
            <w:tcW w:type="dxa" w:w="3600"/>
            <w:vAlign w:val="center"/>
          </w:tcPr>
          <w:p>
            <w:pPr>
              <w:keepNext w:val="0"/>
              <w:widowControl w:val="0"/>
              <w:spacing w:after="0" w:line="245" w:lineRule="auto"/>
            </w:pPr>
            <w:r>
              <w:rPr>
                <w:rFonts w:ascii="Times New Roman" w:hAnsi="Times New Roman"/>
                <w:b w:val="0"/>
                <w:i w:val="0"/>
                <w:color w:val="000000"/>
                <w:sz w:val="19"/>
              </w:rPr>
              <w:t>General MIP learning-to-branch comparators; no B&amp;P effect transferred</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(Bengio et al., 2021; Lodi and Zarpellon, 2017; Scavuzzo et al., 2026)</w:t>
            </w:r>
          </w:p>
        </w:tc>
        <w:tc>
          <w:tcPr>
            <w:tcW w:type="dxa" w:w="3312"/>
            <w:vAlign w:val="center"/>
          </w:tcPr>
          <w:p>
            <w:pPr>
              <w:keepNext w:val="0"/>
              <w:widowControl w:val="0"/>
              <w:spacing w:after="0" w:line="245" w:lineRule="auto"/>
            </w:pPr>
            <w:r>
              <w:rPr>
                <w:rFonts w:ascii="Times New Roman" w:hAnsi="Times New Roman"/>
                <w:b w:val="0"/>
                <w:i w:val="0"/>
                <w:color w:val="000000"/>
                <w:sz w:val="19"/>
              </w:rPr>
              <w:t>Full files available; targeted contextual passages inspected</w:t>
            </w:r>
          </w:p>
        </w:tc>
        <w:tc>
          <w:tcPr>
            <w:tcW w:type="dxa" w:w="3600"/>
            <w:vAlign w:val="center"/>
          </w:tcPr>
          <w:p>
            <w:pPr>
              <w:keepNext w:val="0"/>
              <w:widowControl w:val="0"/>
              <w:spacing w:after="0" w:line="245" w:lineRule="auto"/>
            </w:pPr>
            <w:r>
              <w:rPr>
                <w:rFonts w:ascii="Times New Roman" w:hAnsi="Times New Roman"/>
                <w:b w:val="0"/>
                <w:i w:val="0"/>
                <w:color w:val="000000"/>
                <w:sz w:val="19"/>
              </w:rPr>
              <w:t>Broad learning and branch-and-bound context; no new primary-study coding</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(Briant et al., 2008; Wentges, 1997)</w:t>
            </w:r>
          </w:p>
        </w:tc>
        <w:tc>
          <w:tcPr>
            <w:tcW w:type="dxa" w:w="3312"/>
            <w:vAlign w:val="center"/>
          </w:tcPr>
          <w:p>
            <w:pPr>
              <w:keepNext w:val="0"/>
              <w:widowControl w:val="0"/>
              <w:spacing w:after="0" w:line="245" w:lineRule="auto"/>
            </w:pPr>
            <w:r>
              <w:rPr>
                <w:rFonts w:ascii="Times New Roman" w:hAnsi="Times New Roman"/>
                <w:b w:val="0"/>
                <w:i w:val="0"/>
                <w:color w:val="000000"/>
                <w:sz w:val="19"/>
              </w:rPr>
              <w:t>Publisher metadata/abstract and identified discussion in full Pessoa report; original PDFs not obtained</w:t>
            </w:r>
          </w:p>
        </w:tc>
        <w:tc>
          <w:tcPr>
            <w:tcW w:type="dxa" w:w="3600"/>
            <w:vAlign w:val="center"/>
          </w:tcPr>
          <w:p>
            <w:pPr>
              <w:keepNext w:val="0"/>
              <w:widowControl w:val="0"/>
              <w:spacing w:after="0" w:line="245" w:lineRule="auto"/>
            </w:pPr>
            <w:r>
              <w:rPr>
                <w:rFonts w:ascii="Times New Roman" w:hAnsi="Times New Roman"/>
                <w:b w:val="0"/>
                <w:i w:val="0"/>
                <w:color w:val="000000"/>
                <w:sz w:val="19"/>
              </w:rPr>
              <w:t>Historical smoothing and bundle alternatives; no source-level numerical extraction</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(Boland et al., 2006; Jepsen et al., 2008; Pecin et al., 2017)</w:t>
            </w:r>
          </w:p>
        </w:tc>
        <w:tc>
          <w:tcPr>
            <w:tcW w:type="dxa" w:w="3312"/>
            <w:vAlign w:val="center"/>
          </w:tcPr>
          <w:p>
            <w:pPr>
              <w:keepNext w:val="0"/>
              <w:widowControl w:val="0"/>
              <w:spacing w:after="0" w:line="245" w:lineRule="auto"/>
            </w:pPr>
            <w:r>
              <w:rPr>
                <w:rFonts w:ascii="Times New Roman" w:hAnsi="Times New Roman"/>
                <w:b w:val="0"/>
                <w:i w:val="0"/>
                <w:color w:val="000000"/>
                <w:sz w:val="19"/>
              </w:rPr>
              <w:t>Metadata/available abstracts and contextual treatment in accessed reviews/monograph; original full texts not obtained</w:t>
            </w:r>
          </w:p>
        </w:tc>
        <w:tc>
          <w:tcPr>
            <w:tcW w:type="dxa" w:w="3600"/>
            <w:vAlign w:val="center"/>
          </w:tcPr>
          <w:p>
            <w:pPr>
              <w:keepNext w:val="0"/>
              <w:widowControl w:val="0"/>
              <w:spacing w:after="0" w:line="245" w:lineRule="auto"/>
            </w:pPr>
            <w:r>
              <w:rPr>
                <w:rFonts w:ascii="Times New Roman" w:hAnsi="Times New Roman"/>
                <w:b w:val="0"/>
                <w:i w:val="0"/>
                <w:color w:val="000000"/>
                <w:sz w:val="19"/>
              </w:rPr>
              <w:t>State-space and cut lineage; no new empirical or proof coding</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(Irnich et al., 2010; Martinelli et al., 2014)</w:t>
            </w:r>
          </w:p>
        </w:tc>
        <w:tc>
          <w:tcPr>
            <w:tcW w:type="dxa" w:w="3312"/>
            <w:vAlign w:val="center"/>
          </w:tcPr>
          <w:p>
            <w:pPr>
              <w:keepNext w:val="0"/>
              <w:widowControl w:val="0"/>
              <w:spacing w:after="0" w:line="245" w:lineRule="auto"/>
            </w:pPr>
            <w:r>
              <w:rPr>
                <w:rFonts w:ascii="Times New Roman" w:hAnsi="Times New Roman"/>
                <w:b w:val="0"/>
                <w:i w:val="0"/>
                <w:color w:val="000000"/>
                <w:sz w:val="19"/>
              </w:rPr>
              <w:t>Already in fully read corpus</w:t>
            </w:r>
          </w:p>
        </w:tc>
        <w:tc>
          <w:tcPr>
            <w:tcW w:type="dxa" w:w="3600"/>
            <w:vAlign w:val="center"/>
          </w:tcPr>
          <w:p>
            <w:pPr>
              <w:keepNext w:val="0"/>
              <w:widowControl w:val="0"/>
              <w:spacing w:after="0" w:line="245" w:lineRule="auto"/>
            </w:pPr>
            <w:r>
              <w:rPr>
                <w:rFonts w:ascii="Times New Roman" w:hAnsi="Times New Roman"/>
                <w:b w:val="0"/>
                <w:i w:val="0"/>
                <w:color w:val="000000"/>
                <w:sz w:val="19"/>
              </w:rPr>
              <w:t>ng-DSSR and path-reduced-cost elimination brought into the main discussion</w:t>
            </w:r>
          </w:p>
        </w:tc>
      </w:tr>
      <w:tr>
        <w:trPr>
          <w:cantSplit/>
        </w:trPr>
        <w:tc>
          <w:tcPr>
            <w:tcW w:type="dxa" w:w="2448"/>
            <w:vAlign w:val="center"/>
          </w:tcPr>
          <w:p>
            <w:pPr>
              <w:keepNext w:val="0"/>
              <w:widowControl w:val="0"/>
              <w:spacing w:after="0" w:line="245" w:lineRule="auto"/>
            </w:pPr>
            <w:r>
              <w:rPr>
                <w:rFonts w:ascii="Times New Roman" w:hAnsi="Times New Roman"/>
                <w:b w:val="0"/>
                <w:i w:val="0"/>
                <w:color w:val="000000"/>
                <w:sz w:val="19"/>
              </w:rPr>
              <w:t>(Desaulniers et al., 2005; Desrosiers et al., 2026)</w:t>
            </w:r>
          </w:p>
        </w:tc>
        <w:tc>
          <w:tcPr>
            <w:tcW w:type="dxa" w:w="3312"/>
            <w:vAlign w:val="center"/>
          </w:tcPr>
          <w:p>
            <w:pPr>
              <w:keepNext w:val="0"/>
              <w:widowControl w:val="0"/>
              <w:spacing w:after="0" w:line="245" w:lineRule="auto"/>
            </w:pPr>
            <w:r>
              <w:rPr>
                <w:rFonts w:ascii="Times New Roman" w:hAnsi="Times New Roman"/>
                <w:b w:val="0"/>
                <w:i w:val="0"/>
                <w:color w:val="000000"/>
                <w:sz w:val="19"/>
              </w:rPr>
              <w:t>2005 volume metadata/contents and already read chapter; 2026 OA book selected sections on pricing, stabilization and cuts</w:t>
            </w:r>
          </w:p>
        </w:tc>
        <w:tc>
          <w:tcPr>
            <w:tcW w:type="dxa" w:w="3600"/>
            <w:vAlign w:val="center"/>
          </w:tcPr>
          <w:p>
            <w:pPr>
              <w:keepNext w:val="0"/>
              <w:widowControl w:val="0"/>
              <w:spacing w:after="0" w:line="245" w:lineRule="auto"/>
            </w:pPr>
            <w:r>
              <w:rPr>
                <w:rFonts w:ascii="Times New Roman" w:hAnsi="Times New Roman"/>
                <w:b w:val="0"/>
                <w:i w:val="0"/>
                <w:color w:val="000000"/>
                <w:sz w:val="19"/>
              </w:rPr>
              <w:t>Monograph context, not two additional primary studies</w:t>
            </w:r>
          </w:p>
        </w:tc>
      </w:tr>
    </w:tbl>
    <w:p>
      <w:pPr>
        <w:spacing w:after="40" w:before="0" w:line="240" w:lineRule="auto"/>
      </w:pPr>
      <w:r>
        <w:rPr>
          <w:rFonts w:ascii="Times New Roman" w:hAnsi="Times New Roman"/>
          <w:color w:val="000000"/>
          <w:sz w:val="2"/>
        </w:rPr>
      </w:r>
    </w:p>
    <w:p>
      <w:pPr/>
      <w:r>
        <w:rPr>
          <w:rFonts w:ascii="Times New Roman" w:hAnsi="Times New Roman"/>
          <w:b w:val="0"/>
          <w:i w:val="0"/>
          <w:color w:val="000000"/>
        </w:rPr>
        <w:t xml:space="preserve">Neame’s </w:t>
      </w:r>
      <w:r>
        <w:rPr>
          <w:rFonts w:ascii="Times New Roman" w:hAnsi="Times New Roman"/>
          <w:b w:val="0"/>
          <w:i/>
          <w:color w:val="000000"/>
        </w:rPr>
        <w:t>Nonsmooth Dual Methods in Integer Programming</w:t>
      </w:r>
      <w:r>
        <w:rPr>
          <w:rFonts w:ascii="Times New Roman" w:hAnsi="Times New Roman"/>
          <w:b w:val="0"/>
          <w:i w:val="0"/>
          <w:color w:val="000000"/>
        </w:rPr>
        <w:t xml:space="preserve"> is discussed through the accessed 2013 report, which cites a 1999 thesis. The original thesis and its authoritative catalog record were not obtained, so the thesis is cited indirectly through that report. The public SSRN pages and repository leads for the Shan and Chen preprints were checked without obtaining their external supplements; the main PDFs remain the reading basis. No author-contact request was sent. These cases remain illustrative in Appendix C. Other study-specific supplement gaps, including the loading-feasibility case and the two-stage branching electronic companion, are recorded and delimit the associated conclusions.</w:t>
      </w:r>
    </w:p>
    <w:p>
      <w:pPr>
        <w:pStyle w:val="Heading1"/>
      </w:pPr>
      <w:r>
        <w:rPr>
          <w:rFonts w:ascii="Times New Roman" w:hAnsi="Times New Roman"/>
          <w:b/>
          <w:i w:val="0"/>
          <w:color w:val="000000"/>
        </w:rPr>
        <w:t>Appendix B Coding decisions and independent-check protocol</w:t>
      </w:r>
    </w:p>
    <w:p>
      <w:pPr>
        <w:pStyle w:val="Heading2"/>
      </w:pPr>
      <w:r>
        <w:rPr>
          <w:rFonts w:ascii="Times New Roman" w:hAnsi="Times New Roman"/>
          <w:b/>
          <w:i w:val="0"/>
          <w:color w:val="000000"/>
        </w:rPr>
        <w:t>B.1 Decision sequence</w:t>
      </w:r>
    </w:p>
    <w:p>
      <w:pPr/>
      <w:r>
        <w:rPr>
          <w:rFonts w:ascii="Times New Roman" w:hAnsi="Times New Roman"/>
          <w:b w:val="0"/>
          <w:i w:val="0"/>
          <w:color w:val="000000"/>
        </w:rPr>
        <w:t xml:space="preserve">First identify the variant and its endpoint. The original LP, a weaker relaxation, a feasible integer solution and a complete proof are different targets. Next code the object directly changed, not every downstream consequence. L3 chooses a block or oracle; L4 restricts its internal admissible domain; L5 reorders retained states or constructs a new column; L6 handles an existing or explicitly enumerated column. Primary and secondary layers are retained separately. Shared host-solver operations and downstream consequences are not coded as additional intervention layers unless the variant directly changes them.</w:t>
      </w:r>
    </w:p>
    <w:p>
      <w:pPr/>
      <w:r>
        <w:rPr>
          <w:rFonts w:ascii="Times New Roman" w:hAnsi="Times New Roman"/>
          <w:b w:val="0"/>
          <w:i w:val="0"/>
          <w:color w:val="000000"/>
        </w:rPr>
        <w:t>Then code documentation status and the mathematical mechanism. Safe elimination supported by a current sufficient condition is G3. A justified relaxation or stabilization is G4 for the bound or convergence target it actually establishes. An unproved restriction or heuristic proposal that relies on complete restoration for the original target is G2. Complete order changes are G1. Explicitly incomplete search or stopping without that certification is G5. Missing accessed evidence leaves the mechanism unassigned rather than proving absence of a guarantee. These rules permit secondary mechanisms; they do not claim the mechanisms are mathematically disjoint.</w:t>
      </w:r>
    </w:p>
    <w:p>
      <w:pPr/>
      <w:r>
        <w:rPr>
          <w:rFonts w:ascii="Times New Roman" w:hAnsi="Times New Roman"/>
          <w:b w:val="0"/>
          <w:i w:val="0"/>
          <w:color w:val="000000"/>
        </w:rPr>
        <w:t>Finally code every scope actually tested. A full implementation under a time limit may be E4 even when it fails to finish. A deliberately incomplete dive is E3. Solving an integer restricted master after root CG is E2 unless nonroot CG is evaluated. An exact branch-and-bound routine inside one pricing problem is E1, not E4. A separate exact solver used to obtain known optima for a heuristic benchmark does not upgrade that heuristic's scope.</w:t>
      </w:r>
    </w:p>
    <w:p>
      <w:pPr>
        <w:pStyle w:val="Heading2"/>
      </w:pPr>
      <w:r>
        <w:rPr>
          <w:rFonts w:ascii="Times New Roman" w:hAnsi="Times New Roman"/>
          <w:b/>
          <w:i w:val="0"/>
          <w:color w:val="000000"/>
        </w:rPr>
        <w:t>B.2 Boundary decisions</w:t>
      </w:r>
    </w:p>
    <w:p>
      <w:pPr/>
      <w:r>
        <w:rPr>
          <w:rFonts w:ascii="Times New Roman" w:hAnsi="Times New Roman"/>
          <w:b w:val="0"/>
          <w:i w:val="0"/>
          <w:color w:val="000000"/>
        </w:rPr>
        <w:t>The direct L-PDDOI variant S066-M1 is G4 because the fully priced modified formulation gives a valid weaker bound. S066-M2 instead targets restoration of the original LP through removal or relaxation of unproved learned restrictions; it is G2 primary and G4 secondary. The gap-target variant is recorded separately and has no measured E scope. Ordinary stabilization can remain G4 when its mathematical update and endpoint conditions justify the stated target; the mere presence of a fallback is not enough to relabel every stabilizer.</w:t>
      </w:r>
    </w:p>
    <w:p>
      <w:pPr/>
      <w:r>
        <w:rPr>
          <w:rFonts w:ascii="Times New Roman" w:hAnsi="Times New Roman"/>
          <w:b w:val="0"/>
          <w:i w:val="0"/>
          <w:color w:val="000000"/>
        </w:rPr>
        <w:t xml:space="preserve">Learned construction in S053-M1 and S088-M1 is G2 because column proposals are checked and a complete oracle handles failure. It need not remove arcs to have that mechanism. S051's pairing-domain restriction is L4 despite the source term partial pricing; L3 is secondary for the phased M2/M3 variants, not the fixed-domain M1 variant. S045's two-arc fixing is L4 because it removes implicit routes through arc-sequence exclusions. S021's fixing of an enumerated column pool is L6. The identity of the deleted object resolves the boundary.</w:t>
      </w:r>
    </w:p>
    <w:p>
      <w:pPr/>
      <w:r>
        <w:rPr>
          <w:rFonts w:ascii="Times New Roman" w:hAnsi="Times New Roman"/>
          <w:b w:val="0"/>
          <w:i w:val="0"/>
          <w:color w:val="000000"/>
        </w:rPr>
        <w:t xml:space="preserve">S064-M1 is an offline label classifier without an integrated guarantee target and is therefore unassigned (GU-offline). S050-M3, S090-M1 and S100-M1 are unassigned because the accessed documentation does not establish their mechanism. For S100-M1, Appendix C is available; the unresolved issue is the certificate derivation and its application in the stopping rule. Figure 3 reports these four variants separately from G1–G5, so GU does not measure the same property as the five mechanisms.</w:t>
      </w:r>
    </w:p>
    <w:p>
      <w:pPr>
        <w:pStyle w:val="Heading2"/>
      </w:pPr>
      <w:r>
        <w:rPr>
          <w:rFonts w:ascii="Times New Roman" w:hAnsi="Times New Roman"/>
          <w:b/>
          <w:i w:val="0"/>
          <w:color w:val="000000"/>
        </w:rPr>
        <w:t>B.3 Materials for an independent reliability check</w:t>
      </w:r>
    </w:p>
    <w:p>
      <w:pPr/>
      <w:r>
        <w:rPr>
          <w:rFonts w:ascii="Times New Roman" w:hAnsi="Times New Roman"/>
          <w:b w:val="0"/>
          <w:i w:val="0"/>
          <w:color w:val="000000"/>
        </w:rPr>
        <w:t>The 146-variant frame was frozen before the re-coding materials were prepared. The random set contains 24 variants drawn with Python’s random.Random(20261014).sample from the sorted method identifiers. Four prespecified boundary variants concern a recovered dual restriction (S066-M2), two construction methods (S053-M1 and S088-M1) and two-arc fixing (S045-M1). S088-M1 also occurs in the random set, leaving three additional boundary cases, and the two sets are analyzed separately. The released pack gives neutral case identifiers, source citations, variant descriptions, the coding definitions and blank forms; the first-coder answers are kept in a separate key file.</w:t>
      </w:r>
    </w:p>
    <w:p>
      <w:pPr/>
      <w:r>
        <w:rPr>
          <w:rFonts w:ascii="Times New Roman" w:hAnsi="Times New Roman"/>
          <w:b w:val="0"/>
          <w:i w:val="0"/>
          <w:color w:val="000000"/>
        </w:rPr>
        <w:t>A second researcher should read each source, record judgments without consulting the manuscript or the existing labels, and give page-level reasons. The released script reports raw agreement and Cohen’s kappa for primary layer and primary mechanism, agreement on documentation status, per-scope binary agreement, exact scope-set agreement and mean Jaccard overlap, with bootstrap intervals that resample study families. Unassigned and not-applicable answers remain explicit categories, and undefined kappa values are reported as such. Boundary cases inform the codebook without entering the random-sample estimates.</w:t>
      </w:r>
    </w:p>
    <w:p>
      <w:pPr/>
      <w:r>
        <w:rPr>
          <w:rFonts w:ascii="Times New Roman" w:hAnsi="Times New Roman"/>
          <w:b w:val="0"/>
          <w:i w:val="0"/>
          <w:color w:val="000000"/>
        </w:rPr>
        <w:t xml:space="preserve">No second human coding has been completed, so no inter-rater agreement statistic is reported. The separate 27-case coding review contains both author-approved changes and unresolved proposals. The approved changes are applied in this revision, but this process does not constitute independent human validation. Figure 3 and the label counts remain descriptive outputs and are not used as comparative effect evidence.</w:t>
      </w:r>
    </w:p>
    <w:p>
      <w:pPr>
        <w:pStyle w:val="Heading1"/>
      </w:pPr>
      <w:r>
        <w:rPr>
          <w:rFonts w:ascii="Times New Roman" w:hAnsi="Times New Roman"/>
          <w:b/>
          <w:i w:val="0"/>
          <w:color w:val="000000"/>
        </w:rPr>
        <w:t>Appendix C Provisional and supplement-limited illustrations</w:t>
      </w:r>
    </w:p>
    <w:p>
      <w:pPr/>
      <w:r>
        <w:rPr>
          <w:rFonts w:ascii="Times New Roman" w:hAnsi="Times New Roman"/>
          <w:b w:val="0"/>
          <w:i w:val="0"/>
          <w:color w:val="000000"/>
        </w:rPr>
        <w:t>Preprint status alone does not make a result invalid. It does change its evidential maturity, and missing supplements can prevent assessment of the comparison that matters. Table C.1 lists four preprint contrasts with their boundaries visible. They inform the mechanism discussion and research questions, not the main claim that an intervention has survived a strong peer-reviewed comparison.</w:t>
      </w:r>
    </w:p>
    <w:p>
      <w:pPr>
        <w:pStyle w:val="Caption"/>
        <w:keepNext/>
        <w:keepLines/>
      </w:pPr>
      <w:r>
        <w:rPr>
          <w:rFonts w:ascii="Times New Roman" w:hAnsi="Times New Roman"/>
          <w:b/>
          <w:i w:val="0"/>
          <w:color w:val="000000"/>
        </w:rPr>
        <w:t>Table C.1. Illustrative preprint contrasts and access limits.</w:t>
      </w:r>
    </w:p>
    <w:tbl>
      <w:tblPr>
        <w:tblW w:type="auto" w:w="0"/>
        <w:jc w:val="center"/>
        <w:tblLayout w:type="fixed"/>
        <w:tblLook w:val="0000" w:firstRow="0" w:lastRow="0" w:firstColumn="0" w:lastColumn="0" w:noHBand="1" w:noVBand="1"/>
        <w:tblBorders>
          <w:top w:val="single" w:sz="8" w:color="000000"/>
          <w:left w:val="nil"/>
          <w:bottom w:val="single" w:sz="8" w:color="000000"/>
          <w:right w:val="nil"/>
          <w:insideH w:val="nil"/>
          <w:insideV w:val="nil"/>
          <w:start w:val="nil"/>
          <w:end w:val="nil"/>
        </w:tblBorders>
        <w:tblLayout w:type="fixed"/>
        <w:tblCellMar>
          <w:top w:w="70" w:type="dxa"/>
          <w:bottom w:w="70" w:type="dxa"/>
          <w:left w:w="85" w:type="dxa"/>
          <w:right w:w="85" w:type="dxa"/>
        </w:tblCellMar>
      </w:tblPr>
      <w:tblGrid>
        <w:gridCol w:w="1656"/>
        <w:gridCol w:w="2376"/>
        <w:gridCol w:w="2232"/>
        <w:gridCol w:w="3096"/>
      </w:tblGrid>
      <w:tr>
        <w:trPr>
          <w:cantSplit/>
          <w:tblHeader w:val="true"/>
        </w:trPr>
        <w:tc>
          <w:tcPr>
            <w:tcW w:type="dxa" w:w="1656"/>
            <w:vAlign w:val="center"/>
            <w:tcBorders>
              <w:bottom w:val="single" w:sz="4" w:color="000000"/>
            </w:tcBorders>
          </w:tcPr>
          <w:p>
            <w:pPr>
              <w:keepNext/>
              <w:widowControl w:val="0"/>
              <w:spacing w:after="0" w:line="245" w:lineRule="auto"/>
            </w:pPr>
            <w:r>
              <w:rPr>
                <w:rFonts w:ascii="Times New Roman" w:hAnsi="Times New Roman"/>
                <w:b/>
                <w:i w:val="0"/>
                <w:color w:val="000000"/>
                <w:sz w:val="19"/>
              </w:rPr>
              <w:t>Study and scope</w:t>
            </w:r>
          </w:p>
        </w:tc>
        <w:tc>
          <w:tcPr>
            <w:tcW w:type="dxa" w:w="2376"/>
            <w:vAlign w:val="center"/>
            <w:tcBorders>
              <w:bottom w:val="single" w:sz="4" w:color="000000"/>
            </w:tcBorders>
          </w:tcPr>
          <w:p>
            <w:pPr>
              <w:keepNext/>
              <w:widowControl w:val="0"/>
              <w:spacing w:after="0" w:line="245" w:lineRule="auto"/>
            </w:pPr>
            <w:r>
              <w:rPr>
                <w:rFonts w:ascii="Times New Roman" w:hAnsi="Times New Roman"/>
                <w:b/>
                <w:i w:val="0"/>
                <w:color w:val="000000"/>
                <w:sz w:val="19"/>
              </w:rPr>
              <w:t>Reported comparison</w:t>
            </w:r>
          </w:p>
        </w:tc>
        <w:tc>
          <w:tcPr>
            <w:tcW w:type="dxa" w:w="2232"/>
            <w:vAlign w:val="center"/>
            <w:tcBorders>
              <w:bottom w:val="single" w:sz="4" w:color="000000"/>
            </w:tcBorders>
          </w:tcPr>
          <w:p>
            <w:pPr>
              <w:keepNext/>
              <w:widowControl w:val="0"/>
              <w:spacing w:after="0" w:line="245" w:lineRule="auto"/>
            </w:pPr>
            <w:r>
              <w:rPr>
                <w:rFonts w:ascii="Times New Roman" w:hAnsi="Times New Roman"/>
                <w:b/>
                <w:i w:val="0"/>
                <w:color w:val="000000"/>
                <w:sz w:val="19"/>
              </w:rPr>
              <w:t>Observed result</w:t>
            </w:r>
          </w:p>
        </w:tc>
        <w:tc>
          <w:tcPr>
            <w:tcW w:type="dxa" w:w="3096"/>
            <w:vAlign w:val="center"/>
            <w:tcBorders>
              <w:bottom w:val="single" w:sz="4" w:color="000000"/>
            </w:tcBorders>
          </w:tcPr>
          <w:p>
            <w:pPr>
              <w:keepNext/>
              <w:widowControl w:val="0"/>
              <w:spacing w:after="0" w:line="245" w:lineRule="auto"/>
            </w:pPr>
            <w:r>
              <w:rPr>
                <w:rFonts w:ascii="Times New Roman" w:hAnsi="Times New Roman"/>
                <w:b/>
                <w:i w:val="0"/>
                <w:color w:val="000000"/>
                <w:sz w:val="19"/>
              </w:rPr>
              <w:t>Limitation</w:t>
            </w:r>
          </w:p>
        </w:tc>
      </w:tr>
      <w:tr>
        <w:trPr>
          <w:cantSplit/>
        </w:trPr>
        <w:tc>
          <w:tcPr>
            <w:tcW w:type="dxa" w:w="1656"/>
            <w:vAlign w:val="center"/>
          </w:tcPr>
          <w:p>
            <w:pPr>
              <w:keepNext w:val="0"/>
              <w:widowControl w:val="0"/>
              <w:spacing w:after="0" w:line="245" w:lineRule="auto"/>
            </w:pPr>
            <w:r>
              <w:rPr>
                <w:rFonts w:ascii="Times New Roman" w:hAnsi="Times New Roman"/>
                <w:b w:val="0"/>
                <w:i w:val="0"/>
                <w:color w:val="000000"/>
                <w:sz w:val="19"/>
              </w:rPr>
              <w:t>(Minoli et al., 2026), E1</w:t>
            </w:r>
          </w:p>
        </w:tc>
        <w:tc>
          <w:tcPr>
            <w:tcW w:type="dxa" w:w="2376"/>
            <w:vAlign w:val="center"/>
          </w:tcPr>
          <w:p>
            <w:pPr>
              <w:keepNext w:val="0"/>
              <w:widowControl w:val="0"/>
              <w:spacing w:after="0" w:line="245" w:lineRule="auto"/>
            </w:pPr>
            <w:r>
              <w:rPr>
                <w:rFonts w:ascii="Times New Roman" w:hAnsi="Times New Roman"/>
                <w:b w:val="0"/>
                <w:i w:val="0"/>
                <w:color w:val="000000"/>
                <w:sz w:val="19"/>
              </w:rPr>
              <w:t>Learned versus Node ordering; 17 easy, 12 medium, 9 hard</w:t>
            </w:r>
          </w:p>
        </w:tc>
        <w:tc>
          <w:tcPr>
            <w:tcW w:type="dxa" w:w="2232"/>
            <w:vAlign w:val="center"/>
          </w:tcPr>
          <w:p>
            <w:pPr>
              <w:keepNext w:val="0"/>
              <w:widowControl w:val="0"/>
              <w:spacing w:after="0" w:line="245" w:lineRule="auto"/>
            </w:pPr>
            <w:r>
              <w:rPr>
                <w:rFonts w:ascii="Times New Roman" w:hAnsi="Times New Roman"/>
                <w:b w:val="0"/>
                <w:i w:val="0"/>
                <w:color w:val="000000"/>
                <w:sz w:val="19"/>
              </w:rPr>
              <w:t>At k=10, mean easy slowdown 24.9%, medium gain 8.8%, hard gain about 20%</w:t>
            </w:r>
          </w:p>
        </w:tc>
        <w:tc>
          <w:tcPr>
            <w:tcW w:type="dxa" w:w="3096"/>
            <w:vAlign w:val="center"/>
          </w:tcPr>
          <w:p>
            <w:pPr>
              <w:keepNext w:val="0"/>
              <w:widowControl w:val="0"/>
              <w:spacing w:after="0" w:line="245" w:lineRule="auto"/>
            </w:pPr>
            <w:r>
              <w:rPr>
                <w:rFonts w:ascii="Times New Roman" w:hAnsi="Times New Roman"/>
                <w:b w:val="0"/>
                <w:i w:val="0"/>
                <w:color w:val="000000"/>
                <w:sz w:val="19"/>
              </w:rPr>
              <w:t>All 38 solved; online learning included; no integrated CG or tree timing</w:t>
            </w:r>
          </w:p>
        </w:tc>
      </w:tr>
      <w:tr>
        <w:trPr>
          <w:cantSplit/>
        </w:trPr>
        <w:tc>
          <w:tcPr>
            <w:tcW w:type="dxa" w:w="1656"/>
            <w:vAlign w:val="center"/>
          </w:tcPr>
          <w:p>
            <w:pPr>
              <w:keepNext w:val="0"/>
              <w:widowControl w:val="0"/>
              <w:spacing w:after="0" w:line="245" w:lineRule="auto"/>
            </w:pPr>
            <w:r>
              <w:rPr>
                <w:rFonts w:ascii="Times New Roman" w:hAnsi="Times New Roman"/>
                <w:b w:val="0"/>
                <w:i w:val="0"/>
                <w:color w:val="000000"/>
                <w:sz w:val="19"/>
              </w:rPr>
              <w:t>(You et al., 2026a), E2</w:t>
            </w:r>
          </w:p>
        </w:tc>
        <w:tc>
          <w:tcPr>
            <w:tcW w:type="dxa" w:w="2376"/>
            <w:vAlign w:val="center"/>
          </w:tcPr>
          <w:p>
            <w:pPr>
              <w:keepNext w:val="0"/>
              <w:widowControl w:val="0"/>
              <w:spacing w:after="0" w:line="245" w:lineRule="auto"/>
            </w:pPr>
            <w:r>
              <w:rPr>
                <w:rFonts w:ascii="Times New Roman" w:hAnsi="Times New Roman"/>
                <w:b w:val="0"/>
                <w:i w:val="0"/>
                <w:color w:val="000000"/>
                <w:sz w:val="19"/>
              </w:rPr>
              <w:t>Direct and recovered inequalities; 200 CVRP500 instances</w:t>
            </w:r>
          </w:p>
        </w:tc>
        <w:tc>
          <w:tcPr>
            <w:tcW w:type="dxa" w:w="2232"/>
            <w:vAlign w:val="center"/>
          </w:tcPr>
          <w:p>
            <w:pPr>
              <w:keepNext w:val="0"/>
              <w:widowControl w:val="0"/>
              <w:spacing w:after="0" w:line="245" w:lineRule="auto"/>
            </w:pPr>
            <w:r>
              <w:rPr>
                <w:rFonts w:ascii="Times New Roman" w:hAnsi="Times New Roman"/>
                <w:b w:val="0"/>
                <w:i w:val="0"/>
                <w:color w:val="000000"/>
                <w:sz w:val="19"/>
              </w:rPr>
              <w:t>Geometric means 12.3/54.2 versus 119.9 s; mean bound loss 1.3%/0%</w:t>
            </w:r>
          </w:p>
        </w:tc>
        <w:tc>
          <w:tcPr>
            <w:tcW w:type="dxa" w:w="3096"/>
            <w:vAlign w:val="center"/>
          </w:tcPr>
          <w:p>
            <w:pPr>
              <w:keepNext w:val="0"/>
              <w:widowControl w:val="0"/>
              <w:spacing w:after="0" w:line="245" w:lineRule="auto"/>
            </w:pPr>
            <w:r>
              <w:rPr>
                <w:rFonts w:ascii="Times New Roman" w:hAnsi="Times New Roman"/>
                <w:b w:val="0"/>
                <w:i w:val="0"/>
                <w:color w:val="000000"/>
                <w:sz w:val="19"/>
              </w:rPr>
              <w:t>Prediction/postprocessing separately timed; direct and recovered targets differ</w:t>
            </w:r>
          </w:p>
        </w:tc>
      </w:tr>
      <w:tr>
        <w:trPr>
          <w:cantSplit/>
        </w:trPr>
        <w:tc>
          <w:tcPr>
            <w:tcW w:type="dxa" w:w="1656"/>
            <w:vAlign w:val="center"/>
          </w:tcPr>
          <w:p>
            <w:pPr>
              <w:keepNext w:val="0"/>
              <w:widowControl w:val="0"/>
              <w:spacing w:after="0" w:line="245" w:lineRule="auto"/>
            </w:pPr>
            <w:r>
              <w:rPr>
                <w:rFonts w:ascii="Times New Roman" w:hAnsi="Times New Roman"/>
                <w:b w:val="0"/>
                <w:i w:val="0"/>
                <w:color w:val="000000"/>
                <w:sz w:val="19"/>
              </w:rPr>
              <w:t>(Shan et al., 2026), E2/E4</w:t>
            </w:r>
          </w:p>
        </w:tc>
        <w:tc>
          <w:tcPr>
            <w:tcW w:type="dxa" w:w="2376"/>
            <w:vAlign w:val="center"/>
          </w:tcPr>
          <w:p>
            <w:pPr>
              <w:keepNext w:val="0"/>
              <w:widowControl w:val="0"/>
              <w:spacing w:after="0" w:line="245" w:lineRule="auto"/>
            </w:pPr>
            <w:r>
              <w:rPr>
                <w:rFonts w:ascii="Times New Roman" w:hAnsi="Times New Roman"/>
                <w:b w:val="0"/>
                <w:i w:val="0"/>
                <w:color w:val="000000"/>
                <w:sz w:val="19"/>
              </w:rPr>
              <w:t>Fixed-row replay and complete implementation</w:t>
            </w:r>
          </w:p>
        </w:tc>
        <w:tc>
          <w:tcPr>
            <w:tcW w:type="dxa" w:w="2232"/>
            <w:vAlign w:val="center"/>
          </w:tcPr>
          <w:p>
            <w:pPr>
              <w:keepNext w:val="0"/>
              <w:widowControl w:val="0"/>
              <w:spacing w:after="0" w:line="245" w:lineRule="auto"/>
            </w:pPr>
            <w:r>
              <w:rPr>
                <w:rFonts w:ascii="Times New Roman" w:hAnsi="Times New Roman"/>
                <w:b w:val="0"/>
                <w:i w:val="0"/>
                <w:color w:val="000000"/>
                <w:sz w:val="19"/>
              </w:rPr>
              <w:t>45 matched states from 29 families; tree subset 18/30 jointly complete</w:t>
            </w:r>
          </w:p>
        </w:tc>
        <w:tc>
          <w:tcPr>
            <w:tcW w:type="dxa" w:w="3096"/>
            <w:vAlign w:val="center"/>
          </w:tcPr>
          <w:p>
            <w:pPr>
              <w:keepNext w:val="0"/>
              <w:widowControl w:val="0"/>
              <w:spacing w:after="0" w:line="245" w:lineRule="auto"/>
            </w:pPr>
            <w:r>
              <w:rPr>
                <w:rFonts w:ascii="Times New Roman" w:hAnsi="Times New Roman"/>
                <w:b w:val="0"/>
                <w:i w:val="0"/>
                <w:color w:val="000000"/>
                <w:sz w:val="19"/>
              </w:rPr>
              <w:t>Calls/master work are not whole-solver time; detailed policy outcomes in missing supplement</w:t>
            </w:r>
          </w:p>
        </w:tc>
      </w:tr>
      <w:tr>
        <w:trPr>
          <w:cantSplit/>
        </w:trPr>
        <w:tc>
          <w:tcPr>
            <w:tcW w:type="dxa" w:w="1656"/>
            <w:vAlign w:val="center"/>
          </w:tcPr>
          <w:p>
            <w:pPr>
              <w:keepNext w:val="0"/>
              <w:widowControl w:val="0"/>
              <w:spacing w:after="0" w:line="245" w:lineRule="auto"/>
            </w:pPr>
            <w:r>
              <w:rPr>
                <w:rFonts w:ascii="Times New Roman" w:hAnsi="Times New Roman"/>
                <w:b w:val="0"/>
                <w:i w:val="0"/>
                <w:color w:val="000000"/>
                <w:sz w:val="19"/>
              </w:rPr>
              <w:t>(Chen et al., 2026), E1</w:t>
            </w:r>
          </w:p>
        </w:tc>
        <w:tc>
          <w:tcPr>
            <w:tcW w:type="dxa" w:w="2376"/>
            <w:vAlign w:val="center"/>
          </w:tcPr>
          <w:p>
            <w:pPr>
              <w:keepNext w:val="0"/>
              <w:widowControl w:val="0"/>
              <w:spacing w:after="0" w:line="245" w:lineRule="auto"/>
            </w:pPr>
            <w:r>
              <w:rPr>
                <w:rFonts w:ascii="Times New Roman" w:hAnsi="Times New Roman"/>
                <w:b w:val="0"/>
                <w:i w:val="0"/>
                <w:color w:val="000000"/>
                <w:sz w:val="19"/>
              </w:rPr>
              <w:t>PLA versus author-implemented pulse; 81 path instances, 5 bucket settings</w:t>
            </w:r>
          </w:p>
        </w:tc>
        <w:tc>
          <w:tcPr>
            <w:tcW w:type="dxa" w:w="2232"/>
            <w:vAlign w:val="center"/>
          </w:tcPr>
          <w:p>
            <w:pPr>
              <w:keepNext w:val="0"/>
              <w:widowControl w:val="0"/>
              <w:spacing w:after="0" w:line="245" w:lineRule="auto"/>
            </w:pPr>
            <w:r>
              <w:rPr>
                <w:rFonts w:ascii="Times New Roman" w:hAnsi="Times New Roman"/>
                <w:b w:val="0"/>
                <w:i w:val="0"/>
                <w:color w:val="000000"/>
                <w:sz w:val="19"/>
              </w:rPr>
              <w:t>Reported means 91.579 versus 105.492 s; 61/81 versus 57/81 solved</w:t>
            </w:r>
          </w:p>
        </w:tc>
        <w:tc>
          <w:tcPr>
            <w:tcW w:type="dxa" w:w="3096"/>
            <w:vAlign w:val="center"/>
          </w:tcPr>
          <w:p>
            <w:pPr>
              <w:keepNext w:val="0"/>
              <w:widowControl w:val="0"/>
              <w:spacing w:after="0" w:line="245" w:lineRule="auto"/>
            </w:pPr>
            <w:r>
              <w:rPr>
                <w:rFonts w:ascii="Times New Roman" w:hAnsi="Times New Roman"/>
                <w:b w:val="0"/>
                <w:i w:val="0"/>
                <w:color w:val="000000"/>
                <w:sz w:val="19"/>
              </w:rPr>
              <w:t>300 s cap; preprocessing included; timeout aggregation across settings unclear; supplement unavailable</w:t>
            </w:r>
          </w:p>
        </w:tc>
      </w:tr>
    </w:tbl>
    <w:p>
      <w:pPr>
        <w:spacing w:after="40" w:before="0" w:line="240" w:lineRule="auto"/>
      </w:pPr>
      <w:r>
        <w:rPr>
          <w:rFonts w:ascii="Times New Roman" w:hAnsi="Times New Roman"/>
          <w:color w:val="000000"/>
          <w:sz w:val="2"/>
        </w:rPr>
      </w:r>
    </w:p>
    <w:p>
      <w:pPr/>
      <w:r>
        <w:rPr>
          <w:rFonts w:ascii="Times New Roman" w:hAnsi="Times New Roman"/>
          <w:b w:val="0"/>
          <w:i w:val="0"/>
          <w:color w:val="000000"/>
        </w:rPr>
        <w:t>The published selective-pricing case S102 remains a located caution about calls and elapsed time, but its missing online File S1 prevents a complete independent reconstruction of the run records. The S083 loading study's single complete-tree example and missing supplement likewise do not establish a broad full-tree speed advantage. Main-text interpretations retain these narrower scopes.</w:t>
      </w:r>
    </w:p>
    <w:p>
      <w:pPr>
        <w:pStyle w:val="Heading1"/>
        <w:spacing w:after="80" w:before="120"/>
      </w:pPr>
      <w:r>
        <w:rPr>
          <w:rFonts w:ascii="Times New Roman" w:hAnsi="Times New Roman"/>
          <w:b/>
          <w:i w:val="0"/>
          <w:color w:val="000000"/>
        </w:rPr>
        <w:t>Declarations</w:t>
      </w:r>
    </w:p>
    <w:p>
      <w:pPr>
        <w:pStyle w:val="Heading2"/>
        <w:spacing w:after="80" w:before="120"/>
      </w:pPr>
      <w:r>
        <w:rPr>
          <w:rFonts w:ascii="Times New Roman" w:hAnsi="Times New Roman"/>
          <w:b/>
          <w:i w:val="0"/>
          <w:color w:val="000000"/>
        </w:rPr>
        <w:t>Funding</w:t>
      </w:r>
    </w:p>
    <w:p>
      <w:pPr>
        <w:spacing w:after="80" w:line="259" w:lineRule="auto"/>
      </w:pPr>
      <w:r>
        <w:rPr>
          <w:rFonts w:ascii="Times New Roman" w:hAnsi="Times New Roman"/>
          <w:b w:val="0"/>
          <w:i w:val="0"/>
          <w:color w:val="000000"/>
        </w:rPr>
        <w:t>This research did not receive any specific grant from funding agencies in the public, commercial, or not-for-profit sectors.</w:t>
      </w:r>
    </w:p>
    <w:p>
      <w:pPr>
        <w:pStyle w:val="Heading2"/>
        <w:spacing w:after="80" w:before="120"/>
      </w:pPr>
      <w:r>
        <w:rPr>
          <w:rFonts w:ascii="Times New Roman" w:hAnsi="Times New Roman"/>
          <w:b/>
          <w:i w:val="0"/>
          <w:color w:val="000000"/>
        </w:rPr>
        <w:t>Declaration of competing interests</w:t>
      </w:r>
    </w:p>
    <w:p>
      <w:pPr>
        <w:spacing w:after="80" w:line="259" w:lineRule="auto"/>
      </w:pPr>
      <w:r>
        <w:rPr>
          <w:rFonts w:ascii="Times New Roman" w:hAnsi="Times New Roman"/>
          <w:b w:val="0"/>
          <w:i w:val="0"/>
          <w:color w:val="000000"/>
        </w:rPr>
        <w:t>The author declares no known competing financial interests or personal relationships that could have appeared to influence the work reported in this paper.</w:t>
      </w:r>
    </w:p>
    <w:p>
      <w:pPr>
        <w:pStyle w:val="Heading2"/>
        <w:spacing w:after="80" w:before="120"/>
      </w:pPr>
      <w:r>
        <w:rPr>
          <w:rFonts w:ascii="Times New Roman" w:hAnsi="Times New Roman"/>
          <w:b/>
          <w:i w:val="0"/>
          <w:color w:val="000000"/>
        </w:rPr>
        <w:t>Author contributions</w:t>
      </w:r>
    </w:p>
    <w:p>
      <w:pPr>
        <w:spacing w:after="80" w:line="259" w:lineRule="auto"/>
      </w:pPr>
      <w:r>
        <w:rPr>
          <w:rFonts w:ascii="Times New Roman" w:hAnsi="Times New Roman"/>
          <w:b w:val="0"/>
          <w:i w:val="0"/>
          <w:color w:val="000000"/>
        </w:rPr>
        <w:t>Xinran Yang: Conceptualization, Methodology, Investigation, Validation, Writing – original draft, Writing – review and editing.</w:t>
      </w:r>
    </w:p>
    <w:p>
      <w:pPr>
        <w:pStyle w:val="Heading2"/>
        <w:spacing w:after="80" w:before="120"/>
      </w:pPr>
      <w:r>
        <w:rPr>
          <w:rFonts w:ascii="Times New Roman" w:hAnsi="Times New Roman"/>
          <w:b/>
          <w:i w:val="0"/>
          <w:color w:val="000000"/>
        </w:rPr>
        <w:t>Data and code availability</w:t>
      </w:r>
    </w:p>
    <w:p>
      <w:pPr>
        <w:spacing w:after="80" w:line="259" w:lineRule="auto"/>
      </w:pPr>
      <w:r>
        <w:rPr>
          <w:rFonts w:ascii="Times New Roman" w:hAnsi="Times New Roman"/>
          <w:b w:val="0"/>
          <w:i w:val="0"/>
          <w:color w:val="000000"/>
        </w:rPr>
        <w:t xml:space="preserve">Version 1.7 of the data and code package (Yang, 2026) is archived in Zenodo at https://doi.org/10.5281/zenodo.23386416 and mirrored at https://github.com/Focusyang/literature-review/tree/main/review_data_and_code_v1.7. This archive preserves the pre-revision records. The corrected working inventory, supplementary records and regenerated figures used in this manuscript revision are supplied locally and have not yet been deposited as a new public dataset version. The archived package contains the 146-variant inventory, its crosswalk to release 1.2, the retained public search and screening records, the recovered 14 October queries and access outcomes, page-level evidence for S105, Supplementary Tables S1 and S2, the codebook, the re-coding materials and agreement script, the coding audit, and the figure scripts. The author's initial database search log and query-level zero-result records were not retained. Original review data and documentation use CC BY 4.0, and code uses MIT; third-party material retains its original rights. Third-party full texts are not redistributed. No new solver experiments were conducted; the small routing example is an analytic illustration.</w:t>
      </w:r>
    </w:p>
    <w:p>
      <w:pPr>
        <w:pStyle w:val="Heading2"/>
        <w:spacing w:after="80" w:before="120"/>
      </w:pPr>
      <w:r>
        <w:rPr>
          <w:rFonts w:ascii="Times New Roman" w:hAnsi="Times New Roman"/>
          <w:b/>
          <w:i w:val="0"/>
          <w:color w:val="000000"/>
        </w:rPr>
        <w:t>Declaration of generative AI and AI-assisted technologies in the manuscript preparation process</w:t>
      </w:r>
    </w:p>
    <w:p>
      <w:pPr>
        <w:spacing w:after="80" w:line="259" w:lineRule="auto"/>
      </w:pPr>
      <w:r>
        <w:rPr>
          <w:rFonts w:ascii="Times New Roman" w:hAnsi="Times New Roman"/>
          <w:b w:val="0"/>
          <w:i w:val="0"/>
          <w:color w:val="000000"/>
        </w:rPr>
        <w:t>During the preparation of this work the author used OpenAI GPT-series large language models, accessed through the Codex application, to assist with public literature discovery, bibliographic checking, screening, full-text data extraction, initial evidence coding, English drafting and Python scripts for figures and document formatting. The author also used Notion AI to revise the manuscript text, redraw all four figures with Python plotting scripts, check reference metadata against Crossref and arXiv records, and prepare the supplementary tables and submission files. Figures 1 and 2 are conceptual diagrams, and Figures 3 and A.1 are reproducible visualizations of the recorded coding and selection data; no generative image model was used, and no primary experimental data or solver results were generated. Exact model versions were not recorded. The source checks, reproducibility checks and unresolved coding questions are documented in the accompanying audit. They do not constitute independent human validation or establish that every variant has been personally checked by the author. The author retains responsibility for the content and its final verification before submission.</w:t>
      </w:r>
    </w:p>
    <w:p>
      <w:pPr>
        <w:pStyle w:val="Heading1"/>
        <w:pageBreakBefore/>
      </w:pPr>
      <w:r>
        <w:rPr>
          <w:rFonts w:ascii="Times New Roman" w:hAnsi="Times New Roman"/>
          <w:b/>
          <w:i w:val="0"/>
          <w:color w:val="000000"/>
        </w:rPr>
        <w:t>References</w:t>
      </w:r>
    </w:p>
    <w:p>
      <w:pPr>
        <w:keepLines/>
        <w:spacing w:after="80" w:line="252" w:lineRule="auto"/>
        <w:ind w:left="360" w:hanging="360"/>
      </w:pPr>
      <w:r>
        <w:rPr>
          <w:rFonts w:ascii="Times New Roman" w:hAnsi="Times New Roman"/>
          <w:b w:val="0"/>
          <w:i w:val="0"/>
          <w:color w:val="000000"/>
          <w:sz w:val="21"/>
        </w:rPr>
        <w:t xml:space="preserve">Abouelrous, A., Bliek, L., Gabor, A.F., Wu, Y., Zhang, Y., 2025a. Graph Reduction with Unsupervised Learning in Column Generation: A Routing Application. </w:t>
      </w:r>
      <w:r>
        <w:rPr>
          <w:rFonts w:ascii="Times New Roman" w:hAnsi="Times New Roman"/>
          <w:b w:val="0"/>
          <w:i/>
          <w:color w:val="000000"/>
          <w:sz w:val="21"/>
        </w:rPr>
        <w:t>arXiv preprint</w:t>
      </w:r>
      <w:r>
        <w:rPr>
          <w:rFonts w:ascii="Times New Roman" w:hAnsi="Times New Roman"/>
          <w:b w:val="0"/>
          <w:i w:val="0"/>
          <w:color w:val="000000"/>
          <w:sz w:val="21"/>
        </w:rPr>
        <w:t xml:space="preserve">, 2504.08401v2 [Preprint; not peer reviewed]. </w:t>
      </w:r>
      <w:hyperlink r:id="rId14">
        <w:r>
          <w:rPr>
            <w:rFonts w:ascii="Times New Roman" w:hAnsi="Times New Roman"/>
            <w:color w:val="000000"/>
            <w:sz w:val="21"/>
          </w:rPr>
          <w:t>https://arxiv.org/abs/2504.08401v2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Abouelrous, A., Bliek, L., Gabor, A.F., Wu, Y., Zhang, Y., 2025b. Reinforcement learning for solving the pricing problem in column generation for routing. </w:t>
      </w:r>
      <w:r>
        <w:rPr>
          <w:rFonts w:ascii="Times New Roman" w:hAnsi="Times New Roman"/>
          <w:b w:val="0"/>
          <w:i/>
          <w:color w:val="000000"/>
          <w:sz w:val="21"/>
        </w:rPr>
        <w:t>Oper. Res. Perspect.</w:t>
      </w:r>
      <w:r>
        <w:rPr>
          <w:rFonts w:ascii="Times New Roman" w:hAnsi="Times New Roman"/>
          <w:b w:val="0"/>
          <w:i w:val="0"/>
          <w:color w:val="000000"/>
          <w:sz w:val="21"/>
        </w:rPr>
        <w:t xml:space="preserve"> 15, 100364. </w:t>
      </w:r>
      <w:hyperlink r:id="rId15">
        <w:r>
          <w:rPr>
            <w:rFonts w:ascii="Times New Roman" w:hAnsi="Times New Roman"/>
            <w:color w:val="000000"/>
            <w:sz w:val="21"/>
          </w:rPr>
          <w:t>https://doi.org/10.1016/j.orp.2025.100364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Babaki, B., Jena, S.D., Charlin, L., 2022. Neural Column Generation for Capacitated Vehicle Routing. </w:t>
      </w:r>
      <w:r>
        <w:rPr>
          <w:rFonts w:ascii="Times New Roman" w:hAnsi="Times New Roman"/>
          <w:b w:val="0"/>
          <w:i/>
          <w:color w:val="000000"/>
          <w:sz w:val="21"/>
        </w:rPr>
        <w:t>AAAI-22 Workshop on Machine Learning for Operations Research (ML4OR)</w:t>
      </w:r>
      <w:r>
        <w:rPr>
          <w:rFonts w:ascii="Times New Roman" w:hAnsi="Times New Roman"/>
          <w:b w:val="0"/>
          <w:i w:val="0"/>
          <w:color w:val="000000"/>
          <w:sz w:val="21"/>
        </w:rPr>
        <w:t xml:space="preserve"> [Workshop paper]. </w:t>
      </w:r>
      <w:hyperlink r:id="rId16">
        <w:r>
          <w:rPr>
            <w:rFonts w:ascii="Times New Roman" w:hAnsi="Times New Roman"/>
            <w:color w:val="000000"/>
            <w:sz w:val="21"/>
          </w:rPr>
          <w:t>https://openreview.net/forum?id=k5sdO59Pw_3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Baldacci, R., Mingozzi, A., Roberti, R., 2011. New Route Relaxation and Pricing Strategies for the Vehicle Routing Problem. </w:t>
      </w:r>
      <w:r>
        <w:rPr>
          <w:rFonts w:ascii="Times New Roman" w:hAnsi="Times New Roman"/>
          <w:b w:val="0"/>
          <w:i/>
          <w:color w:val="000000"/>
          <w:sz w:val="21"/>
        </w:rPr>
        <w:t>Oper. Res.</w:t>
      </w:r>
      <w:r>
        <w:rPr>
          <w:rFonts w:ascii="Times New Roman" w:hAnsi="Times New Roman"/>
          <w:b w:val="0"/>
          <w:i w:val="0"/>
          <w:color w:val="000000"/>
          <w:sz w:val="21"/>
        </w:rPr>
        <w:t xml:space="preserve"> 59(5), 1269–1283. </w:t>
      </w:r>
      <w:hyperlink r:id="rId17">
        <w:r>
          <w:rPr>
            <w:rFonts w:ascii="Times New Roman" w:hAnsi="Times New Roman"/>
            <w:color w:val="000000"/>
            <w:sz w:val="21"/>
          </w:rPr>
          <w:t>https://doi.org/10.1287/opre.1110.0975</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Barnhart, C., Johnson, E.L., Nemhauser, G.L., Savelsbergh, M.W.P., Vance, P.H., 1998. Branch-and-Price: Column Generation for Solving Huge Integer Programs. </w:t>
      </w:r>
      <w:r>
        <w:rPr>
          <w:rFonts w:ascii="Times New Roman" w:hAnsi="Times New Roman"/>
          <w:b w:val="0"/>
          <w:i/>
          <w:color w:val="000000"/>
          <w:sz w:val="21"/>
        </w:rPr>
        <w:t>Oper. Res.</w:t>
      </w:r>
      <w:r>
        <w:rPr>
          <w:rFonts w:ascii="Times New Roman" w:hAnsi="Times New Roman"/>
          <w:b w:val="0"/>
          <w:i w:val="0"/>
          <w:color w:val="000000"/>
          <w:sz w:val="21"/>
        </w:rPr>
        <w:t xml:space="preserve"> 46(3), 316–329. </w:t>
      </w:r>
      <w:hyperlink r:id="rId18">
        <w:r>
          <w:rPr>
            <w:rFonts w:ascii="Times New Roman" w:hAnsi="Times New Roman"/>
            <w:color w:val="000000"/>
            <w:sz w:val="21"/>
          </w:rPr>
          <w:t>https://doi.org/10.1287/opre.46.3.316</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Basso, S., Salani, M., 2026. Learning Dominant States in Elementary Resource Constrained Shortest Path Problems. </w:t>
      </w:r>
      <w:r>
        <w:rPr>
          <w:rFonts w:ascii="Times New Roman" w:hAnsi="Times New Roman"/>
          <w:b w:val="0"/>
          <w:i/>
          <w:color w:val="000000"/>
          <w:sz w:val="21"/>
        </w:rPr>
        <w:t>arXiv preprint</w:t>
      </w:r>
      <w:r>
        <w:rPr>
          <w:rFonts w:ascii="Times New Roman" w:hAnsi="Times New Roman"/>
          <w:b w:val="0"/>
          <w:i w:val="0"/>
          <w:color w:val="000000"/>
          <w:sz w:val="21"/>
        </w:rPr>
        <w:t xml:space="preserve">, 2605.03760v1 [Preprint; not peer reviewed]. </w:t>
      </w:r>
      <w:hyperlink r:id="rId19">
        <w:r>
          <w:rPr>
            <w:rFonts w:ascii="Times New Roman" w:hAnsi="Times New Roman"/>
            <w:color w:val="000000"/>
            <w:sz w:val="21"/>
          </w:rPr>
          <w:t>https://arxiv.org/abs/2605.03760v1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Ben Amor, H., Desrosiers, J., 2006. A proximal trust-region algorithm for column generation stabilization. </w:t>
      </w:r>
      <w:r>
        <w:rPr>
          <w:rFonts w:ascii="Times New Roman" w:hAnsi="Times New Roman"/>
          <w:b w:val="0"/>
          <w:i/>
          <w:color w:val="000000"/>
          <w:sz w:val="21"/>
        </w:rPr>
        <w:t>Comput. Oper. Res.</w:t>
      </w:r>
      <w:r>
        <w:rPr>
          <w:rFonts w:ascii="Times New Roman" w:hAnsi="Times New Roman"/>
          <w:b w:val="0"/>
          <w:i w:val="0"/>
          <w:color w:val="000000"/>
          <w:sz w:val="21"/>
        </w:rPr>
        <w:t xml:space="preserve"> 33(4), 910–927. </w:t>
      </w:r>
      <w:hyperlink r:id="rId132">
        <w:r>
          <w:rPr>
            <w:rFonts w:ascii="Times New Roman" w:hAnsi="Times New Roman"/>
            <w:color w:val="000000"/>
            <w:sz w:val="21"/>
          </w:rPr>
          <w:t>https://doi.org/10.1016/j.cor.2004.08.003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Ben Amor, H., Desrosiers, J., Valério de Carvalho, J.M., 2006. Dual-Optimal Inequalities for Stabilized Column Generation. </w:t>
      </w:r>
      <w:r>
        <w:rPr>
          <w:rFonts w:ascii="Times New Roman" w:hAnsi="Times New Roman"/>
          <w:b w:val="0"/>
          <w:i/>
          <w:color w:val="000000"/>
          <w:sz w:val="21"/>
        </w:rPr>
        <w:t>Oper. Res.</w:t>
      </w:r>
      <w:r>
        <w:rPr>
          <w:rFonts w:ascii="Times New Roman" w:hAnsi="Times New Roman"/>
          <w:b w:val="0"/>
          <w:i w:val="0"/>
          <w:color w:val="000000"/>
          <w:sz w:val="21"/>
        </w:rPr>
        <w:t xml:space="preserve"> 54(3), 454–463. </w:t>
      </w:r>
      <w:hyperlink r:id="rId20">
        <w:r>
          <w:rPr>
            <w:rFonts w:ascii="Times New Roman" w:hAnsi="Times New Roman"/>
            <w:color w:val="000000"/>
            <w:sz w:val="21"/>
          </w:rPr>
          <w:t>https://doi.org/10.1287/opre.1060.0278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Bengio, Y., Lodi, A., Prouvost, A., 2021. Machine learning for combinatorial optimization: A methodological tour d’horizon. </w:t>
      </w:r>
      <w:r>
        <w:rPr>
          <w:rFonts w:ascii="Times New Roman" w:hAnsi="Times New Roman"/>
          <w:b w:val="0"/>
          <w:i/>
          <w:color w:val="000000"/>
          <w:sz w:val="21"/>
        </w:rPr>
        <w:t>Eur. J. Oper. Res.</w:t>
      </w:r>
      <w:r>
        <w:rPr>
          <w:rFonts w:ascii="Times New Roman" w:hAnsi="Times New Roman"/>
          <w:b w:val="0"/>
          <w:i w:val="0"/>
          <w:color w:val="000000"/>
          <w:sz w:val="21"/>
        </w:rPr>
        <w:t xml:space="preserve"> 290(2), 405–421. </w:t>
      </w:r>
      <w:hyperlink r:id="rId21">
        <w:r>
          <w:rPr>
            <w:rFonts w:ascii="Times New Roman" w:hAnsi="Times New Roman"/>
            <w:color w:val="000000"/>
            <w:sz w:val="21"/>
          </w:rPr>
          <w:t>https://doi.org/10.1016/j.ejor.2020.07.063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Berden, S., Schutte, N., Lodi, A., Guns, T., 2026. Predictive Dual Smoothing for Column Generation. </w:t>
      </w:r>
      <w:r>
        <w:rPr>
          <w:rFonts w:ascii="Times New Roman" w:hAnsi="Times New Roman"/>
          <w:b w:val="0"/>
          <w:i/>
          <w:color w:val="000000"/>
          <w:sz w:val="21"/>
        </w:rPr>
        <w:t>arXiv preprint</w:t>
      </w:r>
      <w:r>
        <w:rPr>
          <w:rFonts w:ascii="Times New Roman" w:hAnsi="Times New Roman"/>
          <w:b w:val="0"/>
          <w:i w:val="0"/>
          <w:color w:val="000000"/>
          <w:sz w:val="21"/>
        </w:rPr>
        <w:t xml:space="preserve">, 2609.34740v1 [Preprint; not peer reviewed]. </w:t>
      </w:r>
      <w:hyperlink r:id="rId22">
        <w:r>
          <w:rPr>
            <w:rFonts w:ascii="Times New Roman" w:hAnsi="Times New Roman"/>
            <w:color w:val="000000"/>
            <w:sz w:val="21"/>
          </w:rPr>
          <w:t>https://arxiv.org/abs/2609.34740v1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Boland, N., Dethridge, J., Dumitrescu, I., 2006. Accelerated label setting algorithms for the elementary resource constrained shortest path problem. </w:t>
      </w:r>
      <w:r>
        <w:rPr>
          <w:rFonts w:ascii="Times New Roman" w:hAnsi="Times New Roman"/>
          <w:b w:val="0"/>
          <w:i/>
          <w:color w:val="000000"/>
          <w:sz w:val="21"/>
        </w:rPr>
        <w:t>Oper. Res. Lett.</w:t>
      </w:r>
      <w:r>
        <w:rPr>
          <w:rFonts w:ascii="Times New Roman" w:hAnsi="Times New Roman"/>
          <w:b w:val="0"/>
          <w:i w:val="0"/>
          <w:color w:val="000000"/>
          <w:sz w:val="21"/>
        </w:rPr>
        <w:t xml:space="preserve"> 34(1), 58–68. </w:t>
      </w:r>
      <w:hyperlink r:id="rId23">
        <w:r>
          <w:rPr>
            <w:rFonts w:ascii="Times New Roman" w:hAnsi="Times New Roman"/>
            <w:color w:val="000000"/>
            <w:sz w:val="21"/>
          </w:rPr>
          <w:t>https://doi.org/10.1016/j.orl.2004.11.011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Breugem, T., van Rossum, B., Dollevoet, T., Huisman, D., 2022. A column generation approach for the integrated crew re-planning problem. </w:t>
      </w:r>
      <w:r>
        <w:rPr>
          <w:rFonts w:ascii="Times New Roman" w:hAnsi="Times New Roman"/>
          <w:b w:val="0"/>
          <w:i/>
          <w:color w:val="000000"/>
          <w:sz w:val="21"/>
        </w:rPr>
        <w:t>Omega</w:t>
      </w:r>
      <w:r>
        <w:rPr>
          <w:rFonts w:ascii="Times New Roman" w:hAnsi="Times New Roman"/>
          <w:b w:val="0"/>
          <w:i w:val="0"/>
          <w:color w:val="000000"/>
          <w:sz w:val="21"/>
        </w:rPr>
        <w:t xml:space="preserve"> 107, 102555. </w:t>
      </w:r>
      <w:hyperlink r:id="rId24">
        <w:r>
          <w:rPr>
            <w:rFonts w:ascii="Times New Roman" w:hAnsi="Times New Roman"/>
            <w:color w:val="000000"/>
            <w:sz w:val="21"/>
          </w:rPr>
          <w:t>https://doi.org/10.1016/j.omega.2021.102555</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Briant, O., Lemaréchal, C., Meurdesoif, P., Michel, S., Perrot, N., Vanderbeck, F., 2008. Comparison of bundle and classical column generation. </w:t>
      </w:r>
      <w:r>
        <w:rPr>
          <w:rFonts w:ascii="Times New Roman" w:hAnsi="Times New Roman"/>
          <w:b w:val="0"/>
          <w:i/>
          <w:color w:val="000000"/>
          <w:sz w:val="21"/>
        </w:rPr>
        <w:t>Math. Program.</w:t>
      </w:r>
      <w:r>
        <w:rPr>
          <w:rFonts w:ascii="Times New Roman" w:hAnsi="Times New Roman"/>
          <w:b w:val="0"/>
          <w:i w:val="0"/>
          <w:color w:val="000000"/>
          <w:sz w:val="21"/>
        </w:rPr>
        <w:t xml:space="preserve"> 113(2), 299–344. </w:t>
      </w:r>
      <w:hyperlink r:id="rId25">
        <w:r>
          <w:rPr>
            <w:rFonts w:ascii="Times New Roman" w:hAnsi="Times New Roman"/>
            <w:color w:val="000000"/>
            <w:sz w:val="21"/>
          </w:rPr>
          <w:t>https://doi.org/10.1007/s10107-006-0079-z</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Bulaich Mehamdi, A., Lacroix, M., Martin, S., 2025. Pricing filtering in Dantzig-Wolfe decomposition. </w:t>
      </w:r>
      <w:r>
        <w:rPr>
          <w:rFonts w:ascii="Times New Roman" w:hAnsi="Times New Roman"/>
          <w:b w:val="0"/>
          <w:i/>
          <w:color w:val="000000"/>
          <w:sz w:val="21"/>
        </w:rPr>
        <w:t>Oper. Res. Lett.</w:t>
      </w:r>
      <w:r>
        <w:rPr>
          <w:rFonts w:ascii="Times New Roman" w:hAnsi="Times New Roman"/>
          <w:b w:val="0"/>
          <w:i w:val="0"/>
          <w:color w:val="000000"/>
          <w:sz w:val="21"/>
        </w:rPr>
        <w:t xml:space="preserve"> 58, 107207. </w:t>
      </w:r>
      <w:hyperlink r:id="rId26">
        <w:r>
          <w:rPr>
            <w:rFonts w:ascii="Times New Roman" w:hAnsi="Times New Roman"/>
            <w:color w:val="000000"/>
            <w:sz w:val="21"/>
          </w:rPr>
          <w:t>https://doi.org/10.1016/j.orl.2024.107207</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Chen, G., Zheng, L., Tang, X., 2026. Polyhedral Analysis and a Preprocessed Labeling Algorithm for the Elementary Shortest Path Problem with Resource Constraints. </w:t>
      </w:r>
      <w:r>
        <w:rPr>
          <w:rFonts w:ascii="Times New Roman" w:hAnsi="Times New Roman"/>
          <w:b w:val="0"/>
          <w:i/>
          <w:color w:val="000000"/>
          <w:sz w:val="21"/>
        </w:rPr>
        <w:t>SSRN</w:t>
      </w:r>
      <w:r>
        <w:rPr>
          <w:rFonts w:ascii="Times New Roman" w:hAnsi="Times New Roman"/>
          <w:b w:val="0"/>
          <w:i w:val="0"/>
          <w:color w:val="000000"/>
          <w:sz w:val="21"/>
        </w:rPr>
        <w:t xml:space="preserve"> [Preprint; not peer reviewed]. </w:t>
      </w:r>
      <w:hyperlink r:id="rId27">
        <w:r>
          <w:rPr>
            <w:rFonts w:ascii="Times New Roman" w:hAnsi="Times New Roman"/>
            <w:color w:val="000000"/>
            <w:sz w:val="21"/>
          </w:rPr>
          <w:t>https://doi.org/10.2139/ssrn.6595201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Chi, C., Aboussalah, A.M., Khalil, E.B., Wang, J., Sherkat-Masoumi, Z., 2022. A Deep Reinforcement Learning Framework for Column Generation. </w:t>
      </w:r>
      <w:r>
        <w:rPr>
          <w:rFonts w:ascii="Times New Roman" w:hAnsi="Times New Roman"/>
          <w:b w:val="0"/>
          <w:i/>
          <w:color w:val="000000"/>
          <w:sz w:val="21"/>
        </w:rPr>
        <w:t>Advances in Neural Information Processing Systems</w:t>
      </w:r>
      <w:r>
        <w:rPr>
          <w:rFonts w:ascii="Times New Roman" w:hAnsi="Times New Roman"/>
          <w:b w:val="0"/>
          <w:i w:val="0"/>
          <w:color w:val="000000"/>
          <w:sz w:val="21"/>
        </w:rPr>
        <w:t xml:space="preserve"> 35, 9633–9644. </w:t>
      </w:r>
      <w:hyperlink r:id="rId28">
        <w:r>
          <w:rPr>
            <w:rFonts w:ascii="Times New Roman" w:hAnsi="Times New Roman"/>
            <w:color w:val="000000"/>
            <w:sz w:val="21"/>
          </w:rPr>
          <w:t>https://doi.org/10.52202/068431-0700</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Costa, L., Contardo, C., Desaulniers, G., 2019. Exact Branch-Price-and-Cut Algorithms for Vehicle Routing. </w:t>
      </w:r>
      <w:r>
        <w:rPr>
          <w:rFonts w:ascii="Times New Roman" w:hAnsi="Times New Roman"/>
          <w:b w:val="0"/>
          <w:i/>
          <w:color w:val="000000"/>
          <w:sz w:val="21"/>
        </w:rPr>
        <w:t>Transp. Sci.</w:t>
      </w:r>
      <w:r>
        <w:rPr>
          <w:rFonts w:ascii="Times New Roman" w:hAnsi="Times New Roman"/>
          <w:b w:val="0"/>
          <w:i w:val="0"/>
          <w:color w:val="000000"/>
          <w:sz w:val="21"/>
        </w:rPr>
        <w:t xml:space="preserve"> 53(4), 946–985. </w:t>
      </w:r>
      <w:hyperlink r:id="rId29">
        <w:r>
          <w:rPr>
            <w:rFonts w:ascii="Times New Roman" w:hAnsi="Times New Roman"/>
            <w:color w:val="000000"/>
            <w:sz w:val="21"/>
          </w:rPr>
          <w:t>https://doi.org/10.1287/trsc.2018.0878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Das, T., Dong, W., 2025. Reinforcement Learning-Accelerated Branch and Price to Solve a Bus Routing Model. </w:t>
      </w:r>
      <w:r>
        <w:rPr>
          <w:rFonts w:ascii="Times New Roman" w:hAnsi="Times New Roman"/>
          <w:b w:val="0"/>
          <w:i/>
          <w:color w:val="000000"/>
          <w:sz w:val="21"/>
        </w:rPr>
        <w:t>SSRN preprint</w:t>
      </w:r>
      <w:r>
        <w:rPr>
          <w:rFonts w:ascii="Times New Roman" w:hAnsi="Times New Roman"/>
          <w:b w:val="0"/>
          <w:i w:val="0"/>
          <w:color w:val="000000"/>
          <w:sz w:val="21"/>
        </w:rPr>
        <w:t xml:space="preserve"> [Preprint; not peer reviewed]. </w:t>
      </w:r>
      <w:hyperlink r:id="rId30">
        <w:r>
          <w:rPr>
            <w:rFonts w:ascii="Times New Roman" w:hAnsi="Times New Roman"/>
            <w:color w:val="000000"/>
            <w:sz w:val="21"/>
          </w:rPr>
          <w:t>https://doi.org/10.2139/ssrn.5737083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Desaulniers, G., Desrosiers, J., Solomon, M.M., 2002. Accelerating Strategies in Column Generation Methods for Vehicle Routing and Crew Scheduling Problems. In: Ribeiro, C.C., Hansen, P. (Eds.), </w:t>
      </w:r>
      <w:r>
        <w:rPr>
          <w:rFonts w:ascii="Times New Roman" w:hAnsi="Times New Roman"/>
          <w:b w:val="0"/>
          <w:i/>
          <w:color w:val="000000"/>
          <w:sz w:val="21"/>
        </w:rPr>
        <w:t>Essays and Surveys in Metaheuristics</w:t>
      </w:r>
      <w:r>
        <w:rPr>
          <w:rFonts w:ascii="Times New Roman" w:hAnsi="Times New Roman"/>
          <w:b w:val="0"/>
          <w:i w:val="0"/>
          <w:color w:val="000000"/>
          <w:sz w:val="21"/>
        </w:rPr>
        <w:t xml:space="preserve">. Springer US, Boston, MA, pp. 309–324. </w:t>
      </w:r>
      <w:hyperlink r:id="rId133">
        <w:r>
          <w:rPr>
            <w:rFonts w:ascii="Times New Roman" w:hAnsi="Times New Roman"/>
            <w:color w:val="000000"/>
            <w:sz w:val="21"/>
          </w:rPr>
          <w:t>https://doi.org/10.1007/978-1-4615-1507-4_14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Desaulniers, G., Desrosiers, J., Solomon, M.M. (Eds.), 2005. </w:t>
      </w:r>
      <w:r>
        <w:rPr>
          <w:rFonts w:ascii="Times New Roman" w:hAnsi="Times New Roman"/>
          <w:b w:val="0"/>
          <w:i/>
          <w:color w:val="000000"/>
          <w:sz w:val="21"/>
        </w:rPr>
        <w:t>Column Generation</w:t>
      </w:r>
      <w:r>
        <w:rPr>
          <w:rFonts w:ascii="Times New Roman" w:hAnsi="Times New Roman"/>
          <w:b w:val="0"/>
          <w:i w:val="0"/>
          <w:color w:val="000000"/>
          <w:sz w:val="21"/>
        </w:rPr>
        <w:t xml:space="preserve">. Springer US. </w:t>
      </w:r>
      <w:hyperlink r:id="rId31">
        <w:r>
          <w:rPr>
            <w:rFonts w:ascii="Times New Roman" w:hAnsi="Times New Roman"/>
            <w:color w:val="000000"/>
            <w:sz w:val="21"/>
          </w:rPr>
          <w:t>https://doi.org/10.1007/b135457</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Desaulniers, G., Gschwind, T., Irnich, S., 2020. Variable Fixing for Two-Arc Sequences in Branch-Price-and-Cut Algorithms on Path-Based Models. </w:t>
      </w:r>
      <w:r>
        <w:rPr>
          <w:rFonts w:ascii="Times New Roman" w:hAnsi="Times New Roman"/>
          <w:b w:val="0"/>
          <w:i/>
          <w:color w:val="000000"/>
          <w:sz w:val="21"/>
        </w:rPr>
        <w:t>Transp. Sci.</w:t>
      </w:r>
      <w:r>
        <w:rPr>
          <w:rFonts w:ascii="Times New Roman" w:hAnsi="Times New Roman"/>
          <w:b w:val="0"/>
          <w:i w:val="0"/>
          <w:color w:val="000000"/>
          <w:sz w:val="21"/>
        </w:rPr>
        <w:t xml:space="preserve"> 54(5), 1170–1188. </w:t>
      </w:r>
      <w:hyperlink r:id="rId32">
        <w:r>
          <w:rPr>
            <w:rFonts w:ascii="Times New Roman" w:hAnsi="Times New Roman"/>
            <w:color w:val="000000"/>
            <w:sz w:val="21"/>
          </w:rPr>
          <w:t>https://doi.org/10.1287/trsc.2020.0988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Desaulniers, G., Lessard, F., Hadjar, A., 2008. Tabu Search, Partial Elementarity, and Generalized k-Path Inequalities for the Vehicle Routing Problem with Time Windows. </w:t>
      </w:r>
      <w:r>
        <w:rPr>
          <w:rFonts w:ascii="Times New Roman" w:hAnsi="Times New Roman"/>
          <w:b w:val="0"/>
          <w:i/>
          <w:color w:val="000000"/>
          <w:sz w:val="21"/>
        </w:rPr>
        <w:t>Transp. Sci.</w:t>
      </w:r>
      <w:r>
        <w:rPr>
          <w:rFonts w:ascii="Times New Roman" w:hAnsi="Times New Roman"/>
          <w:b w:val="0"/>
          <w:i w:val="0"/>
          <w:color w:val="000000"/>
          <w:sz w:val="21"/>
        </w:rPr>
        <w:t xml:space="preserve"> 42(3), 387–404. </w:t>
      </w:r>
      <w:hyperlink r:id="rId33">
        <w:r>
          <w:rPr>
            <w:rFonts w:ascii="Times New Roman" w:hAnsi="Times New Roman"/>
            <w:color w:val="000000"/>
            <w:sz w:val="21"/>
          </w:rPr>
          <w:t>https://doi.org/10.1287/trsc.1070.0223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Desrosiers, J., Lübbecke, M., Desaulniers, G., Gauthier, J.B., 2026. </w:t>
      </w:r>
      <w:r>
        <w:rPr>
          <w:rFonts w:ascii="Times New Roman" w:hAnsi="Times New Roman"/>
          <w:b w:val="0"/>
          <w:i/>
          <w:color w:val="000000"/>
          <w:sz w:val="21"/>
        </w:rPr>
        <w:t>Branch-and-Price</w:t>
      </w:r>
      <w:r>
        <w:rPr>
          <w:rFonts w:ascii="Times New Roman" w:hAnsi="Times New Roman"/>
          <w:b w:val="0"/>
          <w:i w:val="0"/>
          <w:color w:val="000000"/>
          <w:sz w:val="21"/>
        </w:rPr>
        <w:t xml:space="preserve">. Springer Nature Switzerland. </w:t>
      </w:r>
      <w:hyperlink r:id="rId34">
        <w:r>
          <w:rPr>
            <w:rFonts w:ascii="Times New Roman" w:hAnsi="Times New Roman"/>
            <w:color w:val="000000"/>
            <w:sz w:val="21"/>
          </w:rPr>
          <w:t>https://doi.org/10.1007/978-3-031-96917-1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Di Puglia Pugliese, L., Guerriero, F., 2013. A survey of resource constrained shortest path problems: Exact solution approaches. </w:t>
      </w:r>
      <w:r>
        <w:rPr>
          <w:rFonts w:ascii="Times New Roman" w:hAnsi="Times New Roman"/>
          <w:b w:val="0"/>
          <w:i/>
          <w:color w:val="000000"/>
          <w:sz w:val="21"/>
        </w:rPr>
        <w:t>Networks</w:t>
      </w:r>
      <w:r>
        <w:rPr>
          <w:rFonts w:ascii="Times New Roman" w:hAnsi="Times New Roman"/>
          <w:b w:val="0"/>
          <w:i w:val="0"/>
          <w:color w:val="000000"/>
          <w:sz w:val="21"/>
        </w:rPr>
        <w:t xml:space="preserve"> 62(3), 183–200. </w:t>
      </w:r>
      <w:hyperlink r:id="rId35">
        <w:r>
          <w:rPr>
            <w:rFonts w:ascii="Times New Roman" w:hAnsi="Times New Roman"/>
            <w:color w:val="000000"/>
            <w:sz w:val="21"/>
          </w:rPr>
          <w:t>https://doi.org/10.1002/net.21511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Ding, J., Chen, J., Li, J., Wang, J., 2025. Two-Stage Column Generation Optimization Algorithm for Flight Strings based on Deep Reinforcement Learning. </w:t>
      </w:r>
      <w:r>
        <w:rPr>
          <w:rFonts w:ascii="Times New Roman" w:hAnsi="Times New Roman"/>
          <w:b w:val="0"/>
          <w:i/>
          <w:color w:val="000000"/>
          <w:sz w:val="21"/>
        </w:rPr>
        <w:t>2025 IEEE International Conference on Systems, Man, and Cybernetics (SMC)</w:t>
      </w:r>
      <w:r>
        <w:rPr>
          <w:rFonts w:ascii="Times New Roman" w:hAnsi="Times New Roman"/>
          <w:b w:val="0"/>
          <w:i w:val="0"/>
          <w:color w:val="000000"/>
          <w:sz w:val="21"/>
        </w:rPr>
        <w:t xml:space="preserve">, 1137–1142. </w:t>
      </w:r>
      <w:hyperlink r:id="rId36">
        <w:r>
          <w:rPr>
            <w:rFonts w:ascii="Times New Roman" w:hAnsi="Times New Roman"/>
            <w:color w:val="000000"/>
            <w:sz w:val="21"/>
          </w:rPr>
          <w:t>https://doi.org/10.1109/smc58881.2025.11342939</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Dolatkhah, M., Hashemi Doulabi, H., Rei, W., Gendreau, M., 2026. A reinforcement-learning-based column generation algorithm for integrated operating room planning and scheduling. </w:t>
      </w:r>
      <w:r>
        <w:rPr>
          <w:rFonts w:ascii="Times New Roman" w:hAnsi="Times New Roman"/>
          <w:b w:val="0"/>
          <w:i/>
          <w:color w:val="000000"/>
          <w:sz w:val="21"/>
        </w:rPr>
        <w:t>Int. J. Prod. Res.</w:t>
      </w:r>
      <w:r>
        <w:rPr>
          <w:rFonts w:ascii="Times New Roman" w:hAnsi="Times New Roman"/>
          <w:b w:val="0"/>
          <w:i w:val="0"/>
          <w:color w:val="000000"/>
          <w:sz w:val="21"/>
        </w:rPr>
        <w:t xml:space="preserve"> 64(16), 6907–6947. </w:t>
      </w:r>
      <w:hyperlink r:id="rId37">
        <w:r>
          <w:rPr>
            <w:rFonts w:ascii="Times New Roman" w:hAnsi="Times New Roman"/>
            <w:color w:val="000000"/>
            <w:sz w:val="21"/>
          </w:rPr>
          <w:t>https://doi.org/10.1080/00207543.2026.2637778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du Merle, O., Villeneuve, D., Desrosiers, J., Hansen, P., 1999. Stabilized column generation. </w:t>
      </w:r>
      <w:r>
        <w:rPr>
          <w:rFonts w:ascii="Times New Roman" w:hAnsi="Times New Roman"/>
          <w:b w:val="0"/>
          <w:i/>
          <w:color w:val="000000"/>
          <w:sz w:val="21"/>
        </w:rPr>
        <w:t>Discret. Math.</w:t>
      </w:r>
      <w:r>
        <w:rPr>
          <w:rFonts w:ascii="Times New Roman" w:hAnsi="Times New Roman"/>
          <w:b w:val="0"/>
          <w:i w:val="0"/>
          <w:color w:val="000000"/>
          <w:sz w:val="21"/>
        </w:rPr>
        <w:t xml:space="preserve"> 194(1-3), 229–237. </w:t>
      </w:r>
      <w:hyperlink r:id="rId38">
        <w:r>
          <w:rPr>
            <w:rFonts w:ascii="Times New Roman" w:hAnsi="Times New Roman"/>
            <w:color w:val="000000"/>
            <w:sz w:val="21"/>
          </w:rPr>
          <w:t>https://doi.org/10.1016/s0012-365x(98)00213-1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Duan, J., Tong, X., Ni, F., He, Z., Chen, L., Yuan, M., 2022. A Data-Driven Column Generation Algorithm For Bin Packing Problem in Manufacturing Industry. </w:t>
      </w:r>
      <w:r>
        <w:rPr>
          <w:rFonts w:ascii="Times New Roman" w:hAnsi="Times New Roman"/>
          <w:b w:val="0"/>
          <w:i/>
          <w:color w:val="000000"/>
          <w:sz w:val="21"/>
        </w:rPr>
        <w:t>arXiv preprint</w:t>
      </w:r>
      <w:r>
        <w:rPr>
          <w:rFonts w:ascii="Times New Roman" w:hAnsi="Times New Roman"/>
          <w:b w:val="0"/>
          <w:i w:val="0"/>
          <w:color w:val="000000"/>
          <w:sz w:val="21"/>
        </w:rPr>
        <w:t xml:space="preserve">, 2202.12466v1 [Preprint; not peer reviewed]. </w:t>
      </w:r>
      <w:hyperlink r:id="rId39">
        <w:r>
          <w:rPr>
            <w:rFonts w:ascii="Times New Roman" w:hAnsi="Times New Roman"/>
            <w:color w:val="000000"/>
            <w:sz w:val="21"/>
          </w:rPr>
          <w:t>https://arxiv.org/abs/2202.12466v1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Dupin, N., Parize, R., Talbi, E.-G., 2021. Matheuristics and Column Generation for a Basic Technician Routing Problem. </w:t>
      </w:r>
      <w:r>
        <w:rPr>
          <w:rFonts w:ascii="Times New Roman" w:hAnsi="Times New Roman"/>
          <w:b w:val="0"/>
          <w:i/>
          <w:color w:val="000000"/>
          <w:sz w:val="21"/>
        </w:rPr>
        <w:t>Algorithms</w:t>
      </w:r>
      <w:r>
        <w:rPr>
          <w:rFonts w:ascii="Times New Roman" w:hAnsi="Times New Roman"/>
          <w:b w:val="0"/>
          <w:i w:val="0"/>
          <w:color w:val="000000"/>
          <w:sz w:val="21"/>
        </w:rPr>
        <w:t xml:space="preserve"> 14(11), 313. </w:t>
      </w:r>
      <w:hyperlink r:id="rId40">
        <w:r>
          <w:rPr>
            <w:rFonts w:ascii="Times New Roman" w:hAnsi="Times New Roman"/>
            <w:color w:val="000000"/>
            <w:sz w:val="21"/>
          </w:rPr>
          <w:t>https://doi.org/10.3390/a14110313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Ermağan, U., Yıldız, B., Salman, F.S., 2024. Express shipments with autonomous robots and public transportation. </w:t>
      </w:r>
      <w:r>
        <w:rPr>
          <w:rFonts w:ascii="Times New Roman" w:hAnsi="Times New Roman"/>
          <w:b w:val="0"/>
          <w:i/>
          <w:color w:val="000000"/>
          <w:sz w:val="21"/>
        </w:rPr>
        <w:t>Transp. Res. Part E Logist. Transp. Rev.</w:t>
      </w:r>
      <w:r>
        <w:rPr>
          <w:rFonts w:ascii="Times New Roman" w:hAnsi="Times New Roman"/>
          <w:b w:val="0"/>
          <w:i w:val="0"/>
          <w:color w:val="000000"/>
          <w:sz w:val="21"/>
        </w:rPr>
        <w:t xml:space="preserve"> 192, 103782. </w:t>
      </w:r>
      <w:hyperlink r:id="rId41">
        <w:r>
          <w:rPr>
            <w:rFonts w:ascii="Times New Roman" w:hAnsi="Times New Roman"/>
            <w:color w:val="000000"/>
            <w:sz w:val="21"/>
          </w:rPr>
          <w:t>https://doi.org/10.1016/j.tre.2024.103782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Faldum, S., Machate, S., Gschwind, T., Irnich, S., 2024. Partial dominance in branch-price-and-cut algorithms for vehicle routing and scheduling problems with a single-segment tradeoff. </w:t>
      </w:r>
      <w:r>
        <w:rPr>
          <w:rFonts w:ascii="Times New Roman" w:hAnsi="Times New Roman"/>
          <w:b w:val="0"/>
          <w:i/>
          <w:color w:val="000000"/>
          <w:sz w:val="21"/>
        </w:rPr>
        <w:t>OR Spectr.</w:t>
      </w:r>
      <w:r>
        <w:rPr>
          <w:rFonts w:ascii="Times New Roman" w:hAnsi="Times New Roman"/>
          <w:b w:val="0"/>
          <w:i w:val="0"/>
          <w:color w:val="000000"/>
          <w:sz w:val="21"/>
        </w:rPr>
        <w:t xml:space="preserve"> 46(4), 1063–1097. </w:t>
      </w:r>
      <w:hyperlink r:id="rId42">
        <w:r>
          <w:rPr>
            <w:rFonts w:ascii="Times New Roman" w:hAnsi="Times New Roman"/>
            <w:color w:val="000000"/>
            <w:sz w:val="21"/>
          </w:rPr>
          <w:t>https://doi.org/10.1007/s00291-024-00766-y</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Fan, Z., Ghaddar, B., Wang, X., Xing, L., Zhang, Y., Zhou, Z., 2026. Artificial intelligence for optimization: Unleashing the potential of parameter generation, model formulation, and solution methods. </w:t>
      </w:r>
      <w:r>
        <w:rPr>
          <w:rFonts w:ascii="Times New Roman" w:hAnsi="Times New Roman"/>
          <w:b w:val="0"/>
          <w:i/>
          <w:color w:val="000000"/>
          <w:sz w:val="21"/>
        </w:rPr>
        <w:t>Eur. J. Oper. Res.</w:t>
      </w:r>
      <w:r>
        <w:rPr>
          <w:rFonts w:ascii="Times New Roman" w:hAnsi="Times New Roman"/>
          <w:b w:val="0"/>
          <w:i w:val="0"/>
          <w:color w:val="000000"/>
          <w:sz w:val="21"/>
        </w:rPr>
        <w:t xml:space="preserve"> 332(1), 1–30. </w:t>
      </w:r>
      <w:hyperlink r:id="rId43">
        <w:r>
          <w:rPr>
            <w:rFonts w:ascii="Times New Roman" w:hAnsi="Times New Roman"/>
            <w:color w:val="000000"/>
            <w:sz w:val="21"/>
          </w:rPr>
          <w:t>https://doi.org/10.1016/j.ejor.2025.08.029</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Fang, L., Yuan, H., Zhang, Y., Song, S., 2023. Accelerating Column Generation Algorithm Using Machine-Learning-Based Column Elimination. </w:t>
      </w:r>
      <w:r>
        <w:rPr>
          <w:rFonts w:ascii="Times New Roman" w:hAnsi="Times New Roman"/>
          <w:b w:val="0"/>
          <w:i/>
          <w:color w:val="000000"/>
          <w:sz w:val="21"/>
        </w:rPr>
        <w:t>2023 IEEE International Conference on Systems, Man, and Cybernetics (SMC)</w:t>
      </w:r>
      <w:r>
        <w:rPr>
          <w:rFonts w:ascii="Times New Roman" w:hAnsi="Times New Roman"/>
          <w:b w:val="0"/>
          <w:i w:val="0"/>
          <w:color w:val="000000"/>
          <w:sz w:val="21"/>
        </w:rPr>
        <w:t xml:space="preserve">, 1945–1950. </w:t>
      </w:r>
      <w:hyperlink r:id="rId44">
        <w:r>
          <w:rPr>
            <w:rFonts w:ascii="Times New Roman" w:hAnsi="Times New Roman"/>
            <w:color w:val="000000"/>
            <w:sz w:val="21"/>
          </w:rPr>
          <w:t>https://doi.org/10.1109/smc53992.2023.10393948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Farley, A.A., 1990. A Note on Bounding a Class of Linear Programming Problems, Including Cutting Stock Problems. </w:t>
      </w:r>
      <w:r>
        <w:rPr>
          <w:rFonts w:ascii="Times New Roman" w:hAnsi="Times New Roman"/>
          <w:b w:val="0"/>
          <w:i/>
          <w:color w:val="000000"/>
          <w:sz w:val="21"/>
        </w:rPr>
        <w:t>Oper. Res.</w:t>
      </w:r>
      <w:r>
        <w:rPr>
          <w:rFonts w:ascii="Times New Roman" w:hAnsi="Times New Roman"/>
          <w:b w:val="0"/>
          <w:i w:val="0"/>
          <w:color w:val="000000"/>
          <w:sz w:val="21"/>
        </w:rPr>
        <w:t xml:space="preserve"> 38(5), 922–923. </w:t>
      </w:r>
      <w:hyperlink r:id="rId45">
        <w:r>
          <w:rPr>
            <w:rFonts w:ascii="Times New Roman" w:hAnsi="Times New Roman"/>
            <w:color w:val="000000"/>
            <w:sz w:val="21"/>
          </w:rPr>
          <w:t>https://doi.org/10.1287/opre.38.5.922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Feillet, D., 2010. A tutorial on column generation and branch-and-price for vehicle routing problems. </w:t>
      </w:r>
      <w:r>
        <w:rPr>
          <w:rFonts w:ascii="Times New Roman" w:hAnsi="Times New Roman"/>
          <w:b w:val="0"/>
          <w:i/>
          <w:color w:val="000000"/>
          <w:sz w:val="21"/>
        </w:rPr>
        <w:t>4OR</w:t>
      </w:r>
      <w:r>
        <w:rPr>
          <w:rFonts w:ascii="Times New Roman" w:hAnsi="Times New Roman"/>
          <w:b w:val="0"/>
          <w:i w:val="0"/>
          <w:color w:val="000000"/>
          <w:sz w:val="21"/>
        </w:rPr>
        <w:t xml:space="preserve"> 8(4), 407–424. </w:t>
      </w:r>
      <w:hyperlink r:id="rId46">
        <w:r>
          <w:rPr>
            <w:rFonts w:ascii="Times New Roman" w:hAnsi="Times New Roman"/>
            <w:color w:val="000000"/>
            <w:sz w:val="21"/>
          </w:rPr>
          <w:t>https://doi.org/10.1007/s10288-010-0130-z</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Feillet, D., Dejax, P., Gendreau, M., Gueguen, C., 2004. An exact algorithm for the elementary shortest path problem with resource constraints: Application to some vehicle routing problems. </w:t>
      </w:r>
      <w:r>
        <w:rPr>
          <w:rFonts w:ascii="Times New Roman" w:hAnsi="Times New Roman"/>
          <w:b w:val="0"/>
          <w:i/>
          <w:color w:val="000000"/>
          <w:sz w:val="21"/>
        </w:rPr>
        <w:t>Networks</w:t>
      </w:r>
      <w:r>
        <w:rPr>
          <w:rFonts w:ascii="Times New Roman" w:hAnsi="Times New Roman"/>
          <w:b w:val="0"/>
          <w:i w:val="0"/>
          <w:color w:val="000000"/>
          <w:sz w:val="21"/>
        </w:rPr>
        <w:t xml:space="preserve"> 44(3), 216–229. </w:t>
      </w:r>
      <w:hyperlink r:id="rId47">
        <w:r>
          <w:rPr>
            <w:rFonts w:ascii="Times New Roman" w:hAnsi="Times New Roman"/>
            <w:color w:val="000000"/>
            <w:sz w:val="21"/>
          </w:rPr>
          <w:t>https://doi.org/10.1002/net.20033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Furian, N., O’Sullivan, M., Walker, C., Çela, E., 2021. A machine learning-based branch and price algorithm for a sampled vehicle routing problem. </w:t>
      </w:r>
      <w:r>
        <w:rPr>
          <w:rFonts w:ascii="Times New Roman" w:hAnsi="Times New Roman"/>
          <w:b w:val="0"/>
          <w:i/>
          <w:color w:val="000000"/>
          <w:sz w:val="21"/>
        </w:rPr>
        <w:t>OR Spectr.</w:t>
      </w:r>
      <w:r>
        <w:rPr>
          <w:rFonts w:ascii="Times New Roman" w:hAnsi="Times New Roman"/>
          <w:b w:val="0"/>
          <w:i w:val="0"/>
          <w:color w:val="000000"/>
          <w:sz w:val="21"/>
        </w:rPr>
        <w:t xml:space="preserve"> 43(3), 693–732. </w:t>
      </w:r>
      <w:hyperlink r:id="rId48">
        <w:r>
          <w:rPr>
            <w:rFonts w:ascii="Times New Roman" w:hAnsi="Times New Roman"/>
            <w:color w:val="000000"/>
            <w:sz w:val="21"/>
          </w:rPr>
          <w:t>https://doi.org/10.1007/s00291-020-00615-8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Gao, M., Chen, Y., Zhang, Z., Wahab, M., 2025. Learning-based column generation approach for the vehicle routing problem with release dates and incompatible loading constraints. </w:t>
      </w:r>
      <w:r>
        <w:rPr>
          <w:rFonts w:ascii="Times New Roman" w:hAnsi="Times New Roman"/>
          <w:b w:val="0"/>
          <w:i/>
          <w:color w:val="000000"/>
          <w:sz w:val="21"/>
        </w:rPr>
        <w:t>Comput. Oper. Res.</w:t>
      </w:r>
      <w:r>
        <w:rPr>
          <w:rFonts w:ascii="Times New Roman" w:hAnsi="Times New Roman"/>
          <w:b w:val="0"/>
          <w:i w:val="0"/>
          <w:color w:val="000000"/>
          <w:sz w:val="21"/>
        </w:rPr>
        <w:t xml:space="preserve"> 183, 107152. </w:t>
      </w:r>
      <w:hyperlink r:id="rId49">
        <w:r>
          <w:rPr>
            <w:rFonts w:ascii="Times New Roman" w:hAnsi="Times New Roman"/>
            <w:color w:val="000000"/>
            <w:sz w:val="21"/>
          </w:rPr>
          <w:t>https://doi.org/10.1016/j.cor.2025.107152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Gasse, M., Chételat, D., Ferroni, N., Charlin, L., Lodi, A., 2019. Exact Combinatorial Optimization with Graph Convolutional Neural Networks. </w:t>
      </w:r>
      <w:r>
        <w:rPr>
          <w:rFonts w:ascii="Times New Roman" w:hAnsi="Times New Roman"/>
          <w:b w:val="0"/>
          <w:i/>
          <w:color w:val="000000"/>
          <w:sz w:val="21"/>
        </w:rPr>
        <w:t>Advances in Neural Information Processing Systems</w:t>
      </w:r>
      <w:r>
        <w:rPr>
          <w:rFonts w:ascii="Times New Roman" w:hAnsi="Times New Roman"/>
          <w:b w:val="0"/>
          <w:i w:val="0"/>
          <w:color w:val="000000"/>
          <w:sz w:val="21"/>
        </w:rPr>
        <w:t xml:space="preserve"> 32. </w:t>
      </w:r>
      <w:hyperlink r:id="rId50">
        <w:r>
          <w:rPr>
            <w:rFonts w:ascii="Times New Roman" w:hAnsi="Times New Roman"/>
            <w:color w:val="000000"/>
            <w:sz w:val="21"/>
          </w:rPr>
          <w:t>https://papers.neurips.cc/paper_files/paper/2019/file/d14c2267d848abeb81fd590f371d39bd-Paper.pdf</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Gerbaux, J., Desaulniers, G., Cappart, Q., 2025. A machine-learning-based column generation heuristic for electric bus scheduling. </w:t>
      </w:r>
      <w:r>
        <w:rPr>
          <w:rFonts w:ascii="Times New Roman" w:hAnsi="Times New Roman"/>
          <w:b w:val="0"/>
          <w:i/>
          <w:color w:val="000000"/>
          <w:sz w:val="21"/>
        </w:rPr>
        <w:t>Comput. Oper. Res.</w:t>
      </w:r>
      <w:r>
        <w:rPr>
          <w:rFonts w:ascii="Times New Roman" w:hAnsi="Times New Roman"/>
          <w:b w:val="0"/>
          <w:i w:val="0"/>
          <w:color w:val="000000"/>
          <w:sz w:val="21"/>
        </w:rPr>
        <w:t xml:space="preserve"> 173, 106848. </w:t>
      </w:r>
      <w:hyperlink r:id="rId51">
        <w:r>
          <w:rPr>
            <w:rFonts w:ascii="Times New Roman" w:hAnsi="Times New Roman"/>
            <w:color w:val="000000"/>
            <w:sz w:val="21"/>
          </w:rPr>
          <w:t>https://doi.org/10.1016/j.cor.2024.106848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Gondzio, J., González-Brevis, P., 2015. A new warmstarting strategy for the primal-dual column generation method. </w:t>
      </w:r>
      <w:r>
        <w:rPr>
          <w:rFonts w:ascii="Times New Roman" w:hAnsi="Times New Roman"/>
          <w:b w:val="0"/>
          <w:i/>
          <w:color w:val="000000"/>
          <w:sz w:val="21"/>
        </w:rPr>
        <w:t>Math. Program.</w:t>
      </w:r>
      <w:r>
        <w:rPr>
          <w:rFonts w:ascii="Times New Roman" w:hAnsi="Times New Roman"/>
          <w:b w:val="0"/>
          <w:i w:val="0"/>
          <w:color w:val="000000"/>
          <w:sz w:val="21"/>
        </w:rPr>
        <w:t xml:space="preserve"> 152(1-2), 113–146. </w:t>
      </w:r>
      <w:hyperlink r:id="rId52">
        <w:r>
          <w:rPr>
            <w:rFonts w:ascii="Times New Roman" w:hAnsi="Times New Roman"/>
            <w:color w:val="000000"/>
            <w:sz w:val="21"/>
          </w:rPr>
          <w:t>https://doi.org/10.1007/s10107-014-0779-8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Gondzio, J., González-Brevis, P., Munari, P., 2013. New developments in the primal–dual column generation technique. </w:t>
      </w:r>
      <w:r>
        <w:rPr>
          <w:rFonts w:ascii="Times New Roman" w:hAnsi="Times New Roman"/>
          <w:b w:val="0"/>
          <w:i/>
          <w:color w:val="000000"/>
          <w:sz w:val="21"/>
        </w:rPr>
        <w:t>Eur. J. Oper. Res.</w:t>
      </w:r>
      <w:r>
        <w:rPr>
          <w:rFonts w:ascii="Times New Roman" w:hAnsi="Times New Roman"/>
          <w:b w:val="0"/>
          <w:i w:val="0"/>
          <w:color w:val="000000"/>
          <w:sz w:val="21"/>
        </w:rPr>
        <w:t xml:space="preserve"> 224(1), 41–51. </w:t>
      </w:r>
      <w:hyperlink r:id="rId53">
        <w:r>
          <w:rPr>
            <w:rFonts w:ascii="Times New Roman" w:hAnsi="Times New Roman"/>
            <w:color w:val="000000"/>
            <w:sz w:val="21"/>
          </w:rPr>
          <w:t>https://doi.org/10.1016/j.ejor.2012.07.024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Gschwind, T., Irnich, S., 2015. Effective Handling of Dynamic Time Windows and Its Application to Solving the Dial-a-Ride Problem. </w:t>
      </w:r>
      <w:r>
        <w:rPr>
          <w:rFonts w:ascii="Times New Roman" w:hAnsi="Times New Roman"/>
          <w:b w:val="0"/>
          <w:i/>
          <w:color w:val="000000"/>
          <w:sz w:val="21"/>
        </w:rPr>
        <w:t>Transp. Sci.</w:t>
      </w:r>
      <w:r>
        <w:rPr>
          <w:rFonts w:ascii="Times New Roman" w:hAnsi="Times New Roman"/>
          <w:b w:val="0"/>
          <w:i w:val="0"/>
          <w:color w:val="000000"/>
          <w:sz w:val="21"/>
        </w:rPr>
        <w:t xml:space="preserve"> 49(2), 335–354. </w:t>
      </w:r>
      <w:hyperlink r:id="rId54">
        <w:r>
          <w:rPr>
            <w:rFonts w:ascii="Times New Roman" w:hAnsi="Times New Roman"/>
            <w:color w:val="000000"/>
            <w:sz w:val="21"/>
          </w:rPr>
          <w:t>https://doi.org/10.1287/trsc.2014.0531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Gschwind, T., Irnich, S., 2016. Dual Inequalities for Stabilized Column Generation Revisited. </w:t>
      </w:r>
      <w:r>
        <w:rPr>
          <w:rFonts w:ascii="Times New Roman" w:hAnsi="Times New Roman"/>
          <w:b w:val="0"/>
          <w:i/>
          <w:color w:val="000000"/>
          <w:sz w:val="21"/>
        </w:rPr>
        <w:t>INFORMS J. Comput.</w:t>
      </w:r>
      <w:r>
        <w:rPr>
          <w:rFonts w:ascii="Times New Roman" w:hAnsi="Times New Roman"/>
          <w:b w:val="0"/>
          <w:i w:val="0"/>
          <w:color w:val="000000"/>
          <w:sz w:val="21"/>
        </w:rPr>
        <w:t xml:space="preserve"> 28(1), 175–194. </w:t>
      </w:r>
      <w:hyperlink r:id="rId55">
        <w:r>
          <w:rPr>
            <w:rFonts w:ascii="Times New Roman" w:hAnsi="Times New Roman"/>
            <w:color w:val="000000"/>
            <w:sz w:val="21"/>
          </w:rPr>
          <w:t>https://doi.org/10.1287/ijoc.2015.0670</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Gualandi, S., Malucelli, F., 2012. Exact Solution of Graph Coloring Problems via Constraint Programming and Column Generation. </w:t>
      </w:r>
      <w:r>
        <w:rPr>
          <w:rFonts w:ascii="Times New Roman" w:hAnsi="Times New Roman"/>
          <w:b w:val="0"/>
          <w:i/>
          <w:color w:val="000000"/>
          <w:sz w:val="21"/>
        </w:rPr>
        <w:t>INFORMS J. Comput.</w:t>
      </w:r>
      <w:r>
        <w:rPr>
          <w:rFonts w:ascii="Times New Roman" w:hAnsi="Times New Roman"/>
          <w:b w:val="0"/>
          <w:i w:val="0"/>
          <w:color w:val="000000"/>
          <w:sz w:val="21"/>
        </w:rPr>
        <w:t xml:space="preserve"> 24(1), 81–100. </w:t>
      </w:r>
      <w:hyperlink r:id="rId56">
        <w:r>
          <w:rPr>
            <w:rFonts w:ascii="Times New Roman" w:hAnsi="Times New Roman"/>
            <w:color w:val="000000"/>
            <w:sz w:val="21"/>
          </w:rPr>
          <w:t>https://doi.org/10.1287/ijoc.1100.0436</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Heßler, K., Irnich, S., 2023. Partial Dominance in Branch-Price-and-Cut for the Basic Multicompartment Vehicle-Routing Problem. </w:t>
      </w:r>
      <w:r>
        <w:rPr>
          <w:rFonts w:ascii="Times New Roman" w:hAnsi="Times New Roman"/>
          <w:b w:val="0"/>
          <w:i/>
          <w:color w:val="000000"/>
          <w:sz w:val="21"/>
        </w:rPr>
        <w:t>INFORMS J. Comput.</w:t>
      </w:r>
      <w:r>
        <w:rPr>
          <w:rFonts w:ascii="Times New Roman" w:hAnsi="Times New Roman"/>
          <w:b w:val="0"/>
          <w:i w:val="0"/>
          <w:color w:val="000000"/>
          <w:sz w:val="21"/>
        </w:rPr>
        <w:t xml:space="preserve"> 35(1), 50–65. </w:t>
      </w:r>
      <w:hyperlink r:id="rId134">
        <w:r>
          <w:rPr>
            <w:rFonts w:ascii="Times New Roman" w:hAnsi="Times New Roman"/>
            <w:color w:val="000000"/>
            <w:sz w:val="21"/>
          </w:rPr>
          <w:t>https://doi.org/10.1287/ijoc.2022.1255</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Hijazi, A., Özaltın, O.Y., Uzsoy, R., 2026. An Improving Column Is All You Need: Enhancing Column Generation for Parallel Machine Scheduling via Transformers. </w:t>
      </w:r>
      <w:r>
        <w:rPr>
          <w:rFonts w:ascii="Times New Roman" w:hAnsi="Times New Roman"/>
          <w:b w:val="0"/>
          <w:i/>
          <w:color w:val="000000"/>
          <w:sz w:val="21"/>
        </w:rPr>
        <w:t>INFORMS J. Comput.</w:t>
      </w:r>
      <w:r>
        <w:rPr>
          <w:rFonts w:ascii="Times New Roman" w:hAnsi="Times New Roman"/>
          <w:b w:val="0"/>
          <w:i w:val="0"/>
          <w:color w:val="000000"/>
          <w:sz w:val="21"/>
        </w:rPr>
        <w:t xml:space="preserve">, Articles in Advance. </w:t>
      </w:r>
      <w:hyperlink r:id="rId57">
        <w:r>
          <w:rPr>
            <w:rFonts w:ascii="Times New Roman" w:hAnsi="Times New Roman"/>
            <w:color w:val="000000"/>
            <w:sz w:val="21"/>
          </w:rPr>
          <w:t>https://doi.org/10.1287/ijoc.2024.1005</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Himmich, I., El Hallaoui, I., Soumis, F., 2024. A multiphase dynamic programming algorithm for the shortest path problem with resource constraints. </w:t>
      </w:r>
      <w:r>
        <w:rPr>
          <w:rFonts w:ascii="Times New Roman" w:hAnsi="Times New Roman"/>
          <w:b w:val="0"/>
          <w:i/>
          <w:color w:val="000000"/>
          <w:sz w:val="21"/>
        </w:rPr>
        <w:t>Eur. J. Oper. Res.</w:t>
      </w:r>
      <w:r>
        <w:rPr>
          <w:rFonts w:ascii="Times New Roman" w:hAnsi="Times New Roman"/>
          <w:b w:val="0"/>
          <w:i w:val="0"/>
          <w:color w:val="000000"/>
          <w:sz w:val="21"/>
        </w:rPr>
        <w:t xml:space="preserve"> 315(2), 470–483. </w:t>
      </w:r>
      <w:hyperlink r:id="rId58">
        <w:r>
          <w:rPr>
            <w:rFonts w:ascii="Times New Roman" w:hAnsi="Times New Roman"/>
            <w:color w:val="000000"/>
            <w:sz w:val="21"/>
          </w:rPr>
          <w:t>https://doi.org/10.1016/j.ejor.2023.11.047</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Hu, Y.-X., Wu, F., Li, S., Zhao, Y., Li, X.-Y., 2024. FFCG: Effective and Fast Family Column Generation for Solving Large-Scale Linear Program. </w:t>
      </w:r>
      <w:r>
        <w:rPr>
          <w:rFonts w:ascii="Times New Roman" w:hAnsi="Times New Roman"/>
          <w:b w:val="0"/>
          <w:i/>
          <w:color w:val="000000"/>
          <w:sz w:val="21"/>
        </w:rPr>
        <w:t>arXiv preprint</w:t>
      </w:r>
      <w:r>
        <w:rPr>
          <w:rFonts w:ascii="Times New Roman" w:hAnsi="Times New Roman"/>
          <w:b w:val="0"/>
          <w:i w:val="0"/>
          <w:color w:val="000000"/>
          <w:sz w:val="21"/>
        </w:rPr>
        <w:t xml:space="preserve">, 2412.19066v1 [Preprint; not peer reviewed]. </w:t>
      </w:r>
      <w:hyperlink r:id="rId59">
        <w:r>
          <w:rPr>
            <w:rFonts w:ascii="Times New Roman" w:hAnsi="Times New Roman"/>
            <w:color w:val="000000"/>
            <w:sz w:val="21"/>
          </w:rPr>
          <w:t>https://arxiv.org/abs/2412.19066v1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Hu, Y.-X., Wu, F., Li, S., Zhao, Y., Li, X.-Y., 2025. FFCG: Effective and Fast Family Column Generation for Solving Large-Scale Linear Program. </w:t>
      </w:r>
      <w:r>
        <w:rPr>
          <w:rFonts w:ascii="Times New Roman" w:hAnsi="Times New Roman"/>
          <w:b w:val="0"/>
          <w:i/>
          <w:color w:val="000000"/>
          <w:sz w:val="21"/>
        </w:rPr>
        <w:t>Proceedings of the AAAI Conference on Artificial Intelligence</w:t>
      </w:r>
      <w:r>
        <w:rPr>
          <w:rFonts w:ascii="Times New Roman" w:hAnsi="Times New Roman"/>
          <w:b w:val="0"/>
          <w:i w:val="0"/>
          <w:color w:val="000000"/>
          <w:sz w:val="21"/>
        </w:rPr>
        <w:t xml:space="preserve"> 39(11), 11238–11245. </w:t>
      </w:r>
      <w:hyperlink r:id="rId60">
        <w:r>
          <w:rPr>
            <w:rFonts w:ascii="Times New Roman" w:hAnsi="Times New Roman"/>
            <w:color w:val="000000"/>
            <w:sz w:val="21"/>
          </w:rPr>
          <w:t>https://doi.org/10.1609/aaai.v39i11.33222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Huo, Y., Chen, Z., Bu, J., Yin, M., 2023. Learning assisted column generation for model predictive control based energy management in microgrids. </w:t>
      </w:r>
      <w:r>
        <w:rPr>
          <w:rFonts w:ascii="Times New Roman" w:hAnsi="Times New Roman"/>
          <w:b w:val="0"/>
          <w:i/>
          <w:color w:val="000000"/>
          <w:sz w:val="21"/>
        </w:rPr>
        <w:t>Energy Reports</w:t>
      </w:r>
      <w:r>
        <w:rPr>
          <w:rFonts w:ascii="Times New Roman" w:hAnsi="Times New Roman"/>
          <w:b w:val="0"/>
          <w:i w:val="0"/>
          <w:color w:val="000000"/>
          <w:sz w:val="21"/>
        </w:rPr>
        <w:t xml:space="preserve"> 9, 88–97. </w:t>
      </w:r>
      <w:hyperlink r:id="rId61">
        <w:r>
          <w:rPr>
            <w:rFonts w:ascii="Times New Roman" w:hAnsi="Times New Roman"/>
            <w:color w:val="000000"/>
            <w:sz w:val="21"/>
          </w:rPr>
          <w:t>https://doi.org/10.1016/j.egyr.2023.04.330</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Irnich, S., Desaulniers, G., Desrosiers, J., Hadjar, A., 2010. Path-Reduced Costs for Eliminating Arcs in Routing and Scheduling. </w:t>
      </w:r>
      <w:r>
        <w:rPr>
          <w:rFonts w:ascii="Times New Roman" w:hAnsi="Times New Roman"/>
          <w:b w:val="0"/>
          <w:i/>
          <w:color w:val="000000"/>
          <w:sz w:val="21"/>
        </w:rPr>
        <w:t>INFORMS J. Comput.</w:t>
      </w:r>
      <w:r>
        <w:rPr>
          <w:rFonts w:ascii="Times New Roman" w:hAnsi="Times New Roman"/>
          <w:b w:val="0"/>
          <w:i w:val="0"/>
          <w:color w:val="000000"/>
          <w:sz w:val="21"/>
        </w:rPr>
        <w:t xml:space="preserve"> 22(2), 297–313. </w:t>
      </w:r>
      <w:hyperlink r:id="rId62">
        <w:r>
          <w:rPr>
            <w:rFonts w:ascii="Times New Roman" w:hAnsi="Times New Roman"/>
            <w:color w:val="000000"/>
            <w:sz w:val="21"/>
          </w:rPr>
          <w:t>https://doi.org/10.1287/ijoc.1090.0341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Jepsen, M., Petersen, B., Spoorendonk, S., Pisinger, D., 2008. Subset-Row Inequalities Applied to the Vehicle-Routing Problem with Time Windows. </w:t>
      </w:r>
      <w:r>
        <w:rPr>
          <w:rFonts w:ascii="Times New Roman" w:hAnsi="Times New Roman"/>
          <w:b w:val="0"/>
          <w:i/>
          <w:color w:val="000000"/>
          <w:sz w:val="21"/>
        </w:rPr>
        <w:t>Oper. Res.</w:t>
      </w:r>
      <w:r>
        <w:rPr>
          <w:rFonts w:ascii="Times New Roman" w:hAnsi="Times New Roman"/>
          <w:b w:val="0"/>
          <w:i w:val="0"/>
          <w:color w:val="000000"/>
          <w:sz w:val="21"/>
        </w:rPr>
        <w:t xml:space="preserve"> 56(2), 497–511. </w:t>
      </w:r>
      <w:hyperlink r:id="rId63">
        <w:r>
          <w:rPr>
            <w:rFonts w:ascii="Times New Roman" w:hAnsi="Times New Roman"/>
            <w:color w:val="000000"/>
            <w:sz w:val="21"/>
          </w:rPr>
          <w:t>https://doi.org/10.1287/opre.1070.0449</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Jin, X., Yu, S., 2023. A Learning-Based Framework for Constrained Shortest Path Problems. </w:t>
      </w:r>
      <w:r>
        <w:rPr>
          <w:rFonts w:ascii="Times New Roman" w:hAnsi="Times New Roman"/>
          <w:b w:val="0"/>
          <w:i/>
          <w:color w:val="000000"/>
          <w:sz w:val="21"/>
        </w:rPr>
        <w:t>2023 IEEE International Conference on Systems, Man, and Cybernetics (SMC)</w:t>
      </w:r>
      <w:r>
        <w:rPr>
          <w:rFonts w:ascii="Times New Roman" w:hAnsi="Times New Roman"/>
          <w:b w:val="0"/>
          <w:i w:val="0"/>
          <w:color w:val="000000"/>
          <w:sz w:val="21"/>
        </w:rPr>
        <w:t xml:space="preserve">, 62–68. </w:t>
      </w:r>
      <w:hyperlink r:id="rId64">
        <w:r>
          <w:rPr>
            <w:rFonts w:ascii="Times New Roman" w:hAnsi="Times New Roman"/>
            <w:color w:val="000000"/>
            <w:sz w:val="21"/>
          </w:rPr>
          <w:t>https://doi.org/10.1109/SMC53992.2023.10394613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Karimi, H., Seifi, A., 2015. Analytic centre stabilization of column generation algorithm for the capacitated vehicle routing problem. </w:t>
      </w:r>
      <w:r>
        <w:rPr>
          <w:rFonts w:ascii="Times New Roman" w:hAnsi="Times New Roman"/>
          <w:b w:val="0"/>
          <w:i/>
          <w:color w:val="000000"/>
          <w:sz w:val="21"/>
        </w:rPr>
        <w:t>Optim. Methods Softw.</w:t>
      </w:r>
      <w:r>
        <w:rPr>
          <w:rFonts w:ascii="Times New Roman" w:hAnsi="Times New Roman"/>
          <w:b w:val="0"/>
          <w:i w:val="0"/>
          <w:color w:val="000000"/>
          <w:sz w:val="21"/>
        </w:rPr>
        <w:t xml:space="preserve"> 30(6), 1109–1125. </w:t>
      </w:r>
      <w:hyperlink r:id="rId135">
        <w:r>
          <w:rPr>
            <w:rFonts w:ascii="Times New Roman" w:hAnsi="Times New Roman"/>
            <w:color w:val="000000"/>
            <w:sz w:val="21"/>
          </w:rPr>
          <w:t>https://doi.org/10.1080/10556788.2015.1025134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Khalil, E., Le Bodic, P., Song, L., Nemhauser, G., Dilkina, B., 2016. Learning to Branch in Mixed Integer Programming. </w:t>
      </w:r>
      <w:r>
        <w:rPr>
          <w:rFonts w:ascii="Times New Roman" w:hAnsi="Times New Roman"/>
          <w:b w:val="0"/>
          <w:i/>
          <w:color w:val="000000"/>
          <w:sz w:val="21"/>
        </w:rPr>
        <w:t>Proceedings of the AAAI Conference on Artificial Intelligence</w:t>
      </w:r>
      <w:r>
        <w:rPr>
          <w:rFonts w:ascii="Times New Roman" w:hAnsi="Times New Roman"/>
          <w:b w:val="0"/>
          <w:i w:val="0"/>
          <w:color w:val="000000"/>
          <w:sz w:val="21"/>
        </w:rPr>
        <w:t xml:space="preserve"> 30(1), 724–731. </w:t>
      </w:r>
      <w:hyperlink r:id="rId65">
        <w:r>
          <w:rPr>
            <w:rFonts w:ascii="Times New Roman" w:hAnsi="Times New Roman"/>
            <w:color w:val="000000"/>
            <w:sz w:val="21"/>
          </w:rPr>
          <w:t>https://doi.org/10.1609/aaai.v30i1.10080</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Koutecká, P., Šůcha, P., Hůla, J., Maenhout, B., 2025. A machine learning approach to rank pricing problems in branch-and-price. </w:t>
      </w:r>
      <w:r>
        <w:rPr>
          <w:rFonts w:ascii="Times New Roman" w:hAnsi="Times New Roman"/>
          <w:b w:val="0"/>
          <w:i/>
          <w:color w:val="000000"/>
          <w:sz w:val="21"/>
        </w:rPr>
        <w:t>Eur. J. Oper. Res.</w:t>
      </w:r>
      <w:r>
        <w:rPr>
          <w:rFonts w:ascii="Times New Roman" w:hAnsi="Times New Roman"/>
          <w:b w:val="0"/>
          <w:i w:val="0"/>
          <w:color w:val="000000"/>
          <w:sz w:val="21"/>
        </w:rPr>
        <w:t xml:space="preserve"> 320(2), 328–342. </w:t>
      </w:r>
      <w:hyperlink r:id="rId66">
        <w:r>
          <w:rPr>
            <w:rFonts w:ascii="Times New Roman" w:hAnsi="Times New Roman"/>
            <w:color w:val="000000"/>
            <w:sz w:val="21"/>
          </w:rPr>
          <w:t>https://doi.org/10.1016/j.ejor.2024.07.029</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Kraul, S., Seizinger, M., Brunner, J.O., 2023. Machine Learning–Supported Prediction of Dual Variables for the Cutting Stock Problem with an Application in Stabilized Column Generation. </w:t>
      </w:r>
      <w:r>
        <w:rPr>
          <w:rFonts w:ascii="Times New Roman" w:hAnsi="Times New Roman"/>
          <w:b w:val="0"/>
          <w:i/>
          <w:color w:val="000000"/>
          <w:sz w:val="21"/>
        </w:rPr>
        <w:t>INFORMS J. Comput.</w:t>
      </w:r>
      <w:r>
        <w:rPr>
          <w:rFonts w:ascii="Times New Roman" w:hAnsi="Times New Roman"/>
          <w:b w:val="0"/>
          <w:i w:val="0"/>
          <w:color w:val="000000"/>
          <w:sz w:val="21"/>
        </w:rPr>
        <w:t xml:space="preserve"> 35(3), 692–709. </w:t>
      </w:r>
      <w:hyperlink r:id="rId67">
        <w:r>
          <w:rPr>
            <w:rFonts w:ascii="Times New Roman" w:hAnsi="Times New Roman"/>
            <w:color w:val="000000"/>
            <w:sz w:val="21"/>
          </w:rPr>
          <w:t>https://doi.org/10.1287/ijoc.2023.1277</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Kruber, M., Lübbecke, M.E., Parmentier, A., 2017. Learning When to Use a Decomposition. </w:t>
      </w:r>
      <w:r>
        <w:rPr>
          <w:rFonts w:ascii="Times New Roman" w:hAnsi="Times New Roman"/>
          <w:b w:val="0"/>
          <w:i/>
          <w:color w:val="000000"/>
          <w:sz w:val="21"/>
        </w:rPr>
        <w:t>Integration of AI and OR Techniques in Constraint Programming</w:t>
      </w:r>
      <w:r>
        <w:rPr>
          <w:rFonts w:ascii="Times New Roman" w:hAnsi="Times New Roman"/>
          <w:b w:val="0"/>
          <w:i w:val="0"/>
          <w:color w:val="000000"/>
          <w:sz w:val="21"/>
        </w:rPr>
        <w:t xml:space="preserve">, 202–210. </w:t>
      </w:r>
      <w:hyperlink r:id="rId68">
        <w:r>
          <w:rPr>
            <w:rFonts w:ascii="Times New Roman" w:hAnsi="Times New Roman"/>
            <w:color w:val="000000"/>
            <w:sz w:val="21"/>
          </w:rPr>
          <w:t>https://doi.org/10.1007/978-3-319-59776-8_16</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Kumar, D., Aghalaya, S., 2026. Knowledge-Augmented Column Generation for Airline Crew Pairing: Agentic LLM Intervention for Dual Interpretation and Early Termination. </w:t>
      </w:r>
      <w:r>
        <w:rPr>
          <w:rFonts w:ascii="Times New Roman" w:hAnsi="Times New Roman"/>
          <w:b w:val="0"/>
          <w:i/>
          <w:color w:val="000000"/>
          <w:sz w:val="21"/>
        </w:rPr>
        <w:t>SSRN preprint</w:t>
      </w:r>
      <w:r>
        <w:rPr>
          <w:rFonts w:ascii="Times New Roman" w:hAnsi="Times New Roman"/>
          <w:b w:val="0"/>
          <w:i w:val="0"/>
          <w:color w:val="000000"/>
          <w:sz w:val="21"/>
        </w:rPr>
        <w:t xml:space="preserve"> [Preprint; not peer reviewed]. </w:t>
      </w:r>
      <w:hyperlink r:id="rId69">
        <w:r>
          <w:rPr>
            <w:rFonts w:ascii="Times New Roman" w:hAnsi="Times New Roman"/>
            <w:color w:val="000000"/>
            <w:sz w:val="21"/>
          </w:rPr>
          <w:t>https://doi.org/10.2139/ssrn.7355988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Li, K., Niwunhella, H., Hajibabai, L., Hajbabaie, A., 2026. Machine learning-guided column generation for a maximal covering location–allocation problem. </w:t>
      </w:r>
      <w:r>
        <w:rPr>
          <w:rFonts w:ascii="Times New Roman" w:hAnsi="Times New Roman"/>
          <w:b w:val="0"/>
          <w:i/>
          <w:color w:val="000000"/>
          <w:sz w:val="21"/>
        </w:rPr>
        <w:t>Sustainability Analytics and Modeling</w:t>
      </w:r>
      <w:r>
        <w:rPr>
          <w:rFonts w:ascii="Times New Roman" w:hAnsi="Times New Roman"/>
          <w:b w:val="0"/>
          <w:i w:val="0"/>
          <w:color w:val="000000"/>
          <w:sz w:val="21"/>
        </w:rPr>
        <w:t xml:space="preserve"> 6, 100069. </w:t>
      </w:r>
      <w:hyperlink r:id="rId70">
        <w:r>
          <w:rPr>
            <w:rFonts w:ascii="Times New Roman" w:hAnsi="Times New Roman"/>
            <w:color w:val="000000"/>
            <w:sz w:val="21"/>
          </w:rPr>
          <w:t>https://doi.org/10.1016/j.samod.2026.100069</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Lodi, A., Zarpellon, G., 2017. On learning and branching: a survey. </w:t>
      </w:r>
      <w:r>
        <w:rPr>
          <w:rFonts w:ascii="Times New Roman" w:hAnsi="Times New Roman"/>
          <w:b w:val="0"/>
          <w:i/>
          <w:color w:val="000000"/>
          <w:sz w:val="21"/>
        </w:rPr>
        <w:t>TOP</w:t>
      </w:r>
      <w:r>
        <w:rPr>
          <w:rFonts w:ascii="Times New Roman" w:hAnsi="Times New Roman"/>
          <w:b w:val="0"/>
          <w:i w:val="0"/>
          <w:color w:val="000000"/>
          <w:sz w:val="21"/>
        </w:rPr>
        <w:t xml:space="preserve"> 25(2), 207–236. </w:t>
      </w:r>
      <w:hyperlink r:id="rId71">
        <w:r>
          <w:rPr>
            <w:rFonts w:ascii="Times New Roman" w:hAnsi="Times New Roman"/>
            <w:color w:val="000000"/>
            <w:sz w:val="21"/>
          </w:rPr>
          <w:t>https://doi.org/10.1007/s11750-017-0451-6</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Lu, J., Qian, X., 2025. A Reinforcement Learning Approach for Initialization of Column Generation with Application to Aircraft Recovery Problem. </w:t>
      </w:r>
      <w:r>
        <w:rPr>
          <w:rFonts w:ascii="Times New Roman" w:hAnsi="Times New Roman"/>
          <w:b w:val="0"/>
          <w:i/>
          <w:color w:val="000000"/>
          <w:sz w:val="21"/>
        </w:rPr>
        <w:t>Proceedings of the 10th International Conference on Cyber Security and Information Engineering</w:t>
      </w:r>
      <w:r>
        <w:rPr>
          <w:rFonts w:ascii="Times New Roman" w:hAnsi="Times New Roman"/>
          <w:b w:val="0"/>
          <w:i w:val="0"/>
          <w:color w:val="000000"/>
          <w:sz w:val="21"/>
        </w:rPr>
        <w:t xml:space="preserve">, 9–13. </w:t>
      </w:r>
      <w:hyperlink r:id="rId72">
        <w:r>
          <w:rPr>
            <w:rFonts w:ascii="Times New Roman" w:hAnsi="Times New Roman"/>
            <w:color w:val="000000"/>
            <w:sz w:val="21"/>
          </w:rPr>
          <w:t>https://doi.org/10.1145/3759179.3759181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Lu, J., Ye, T., Chen, W., Van Hentenryck, P., 2025. Boosting column generation with graph neural networks for joint rider trip planning and crew shift scheduling. </w:t>
      </w:r>
      <w:r>
        <w:rPr>
          <w:rFonts w:ascii="Times New Roman" w:hAnsi="Times New Roman"/>
          <w:b w:val="0"/>
          <w:i/>
          <w:color w:val="000000"/>
          <w:sz w:val="21"/>
        </w:rPr>
        <w:t>Transp. Res. Part E Logist. Transp. Rev.</w:t>
      </w:r>
      <w:r>
        <w:rPr>
          <w:rFonts w:ascii="Times New Roman" w:hAnsi="Times New Roman"/>
          <w:b w:val="0"/>
          <w:i w:val="0"/>
          <w:color w:val="000000"/>
          <w:sz w:val="21"/>
        </w:rPr>
        <w:t xml:space="preserve"> 202, 104281. </w:t>
      </w:r>
      <w:hyperlink r:id="rId73">
        <w:r>
          <w:rPr>
            <w:rFonts w:ascii="Times New Roman" w:hAnsi="Times New Roman"/>
            <w:color w:val="000000"/>
            <w:sz w:val="21"/>
          </w:rPr>
          <w:t>https://doi.org/10.1016/j.tre.2025.104281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Lübbecke, M.E., 2005. Dual variable based fathoming in dynamic programs for column generation. </w:t>
      </w:r>
      <w:r>
        <w:rPr>
          <w:rFonts w:ascii="Times New Roman" w:hAnsi="Times New Roman"/>
          <w:b w:val="0"/>
          <w:i/>
          <w:color w:val="000000"/>
          <w:sz w:val="21"/>
        </w:rPr>
        <w:t>Eur. J. Oper. Res.</w:t>
      </w:r>
      <w:r>
        <w:rPr>
          <w:rFonts w:ascii="Times New Roman" w:hAnsi="Times New Roman"/>
          <w:b w:val="0"/>
          <w:i w:val="0"/>
          <w:color w:val="000000"/>
          <w:sz w:val="21"/>
        </w:rPr>
        <w:t xml:space="preserve"> 162(1), 122–125. </w:t>
      </w:r>
      <w:hyperlink r:id="rId136">
        <w:r>
          <w:rPr>
            <w:rFonts w:ascii="Times New Roman" w:hAnsi="Times New Roman"/>
            <w:color w:val="000000"/>
            <w:sz w:val="21"/>
          </w:rPr>
          <w:t>https://doi.org/10.1016/j.ejor.2003.05.006</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Lübbecke, M.E., Desrosiers, J., 2005. Selected Topics in Column Generation. </w:t>
      </w:r>
      <w:r>
        <w:rPr>
          <w:rFonts w:ascii="Times New Roman" w:hAnsi="Times New Roman"/>
          <w:b w:val="0"/>
          <w:i/>
          <w:color w:val="000000"/>
          <w:sz w:val="21"/>
        </w:rPr>
        <w:t>Oper. Res.</w:t>
      </w:r>
      <w:r>
        <w:rPr>
          <w:rFonts w:ascii="Times New Roman" w:hAnsi="Times New Roman"/>
          <w:b w:val="0"/>
          <w:i w:val="0"/>
          <w:color w:val="000000"/>
          <w:sz w:val="21"/>
        </w:rPr>
        <w:t xml:space="preserve"> 53(6), 1007–1023. </w:t>
      </w:r>
      <w:hyperlink r:id="rId74">
        <w:r>
          <w:rPr>
            <w:rFonts w:ascii="Times New Roman" w:hAnsi="Times New Roman"/>
            <w:color w:val="000000"/>
            <w:sz w:val="21"/>
          </w:rPr>
          <w:t>https://doi.org/10.1287/opre.1050.0234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Maher, S.J., Rönnberg, E., 2023. Integer programming column generation: accelerating branch-and-price using a novel pricing scheme for finding high-quality solutions in set covering, packing, and partitioning problems. </w:t>
      </w:r>
      <w:r>
        <w:rPr>
          <w:rFonts w:ascii="Times New Roman" w:hAnsi="Times New Roman"/>
          <w:b w:val="0"/>
          <w:i/>
          <w:color w:val="000000"/>
          <w:sz w:val="21"/>
        </w:rPr>
        <w:t>Mathematical Programming Computation</w:t>
      </w:r>
      <w:r>
        <w:rPr>
          <w:rFonts w:ascii="Times New Roman" w:hAnsi="Times New Roman"/>
          <w:b w:val="0"/>
          <w:i w:val="0"/>
          <w:color w:val="000000"/>
          <w:sz w:val="21"/>
        </w:rPr>
        <w:t xml:space="preserve"> 15(3), 509–548. </w:t>
      </w:r>
      <w:hyperlink r:id="rId75">
        <w:r>
          <w:rPr>
            <w:rFonts w:ascii="Times New Roman" w:hAnsi="Times New Roman"/>
            <w:color w:val="000000"/>
            <w:sz w:val="21"/>
          </w:rPr>
          <w:t>https://doi.org/10.1007/s12532-023-00240-w</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Martinelli, R., Pecin, D., Poggi, M., 2014. Efficient elementary and restricted non-elementary route pricing. </w:t>
      </w:r>
      <w:r>
        <w:rPr>
          <w:rFonts w:ascii="Times New Roman" w:hAnsi="Times New Roman"/>
          <w:b w:val="0"/>
          <w:i/>
          <w:color w:val="000000"/>
          <w:sz w:val="21"/>
        </w:rPr>
        <w:t>Eur. J. Oper. Res.</w:t>
      </w:r>
      <w:r>
        <w:rPr>
          <w:rFonts w:ascii="Times New Roman" w:hAnsi="Times New Roman"/>
          <w:b w:val="0"/>
          <w:i w:val="0"/>
          <w:color w:val="000000"/>
          <w:sz w:val="21"/>
        </w:rPr>
        <w:t xml:space="preserve"> 239(1), 102–111. </w:t>
      </w:r>
      <w:hyperlink r:id="rId76">
        <w:r>
          <w:rPr>
            <w:rFonts w:ascii="Times New Roman" w:hAnsi="Times New Roman"/>
            <w:color w:val="000000"/>
            <w:sz w:val="21"/>
          </w:rPr>
          <w:t>https://doi.org/10.1016/j.ejor.2014.05.005</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Michelini, S., Küçükaydın, H., Arda, Y., 2026. A comparative study of branch‐and‐price algorithms for vehicle routing with time windows and waiting time costs. </w:t>
      </w:r>
      <w:r>
        <w:rPr>
          <w:rFonts w:ascii="Times New Roman" w:hAnsi="Times New Roman"/>
          <w:b w:val="0"/>
          <w:i/>
          <w:color w:val="000000"/>
          <w:sz w:val="21"/>
        </w:rPr>
        <w:t>Int. Trans. Oper. Res.</w:t>
      </w:r>
      <w:r>
        <w:rPr>
          <w:rFonts w:ascii="Times New Roman" w:hAnsi="Times New Roman"/>
          <w:b w:val="0"/>
          <w:i w:val="0"/>
          <w:color w:val="000000"/>
          <w:sz w:val="21"/>
        </w:rPr>
        <w:t xml:space="preserve"> </w:t>
      </w:r>
      <w:hyperlink r:id="rId77">
        <w:r>
          <w:rPr>
            <w:rFonts w:ascii="Times New Roman" w:hAnsi="Times New Roman"/>
            <w:color w:val="000000"/>
            <w:sz w:val="21"/>
          </w:rPr>
          <w:t>https://doi.org/10.1111/itor.70170</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Minoli, A., Basso, S., Salani, M., 2026. Data-Driven Dynamic Programming for Constrained Shortest Paths. </w:t>
      </w:r>
      <w:r>
        <w:rPr>
          <w:rFonts w:ascii="Times New Roman" w:hAnsi="Times New Roman"/>
          <w:b w:val="0"/>
          <w:i/>
          <w:color w:val="000000"/>
          <w:sz w:val="21"/>
        </w:rPr>
        <w:t>SSRN preprint</w:t>
      </w:r>
      <w:r>
        <w:rPr>
          <w:rFonts w:ascii="Times New Roman" w:hAnsi="Times New Roman"/>
          <w:b w:val="0"/>
          <w:i w:val="0"/>
          <w:color w:val="000000"/>
          <w:sz w:val="21"/>
        </w:rPr>
        <w:t xml:space="preserve"> [Preprint; not peer reviewed]. </w:t>
      </w:r>
      <w:hyperlink r:id="rId78">
        <w:r>
          <w:rPr>
            <w:rFonts w:ascii="Times New Roman" w:hAnsi="Times New Roman"/>
            <w:color w:val="000000"/>
            <w:sz w:val="21"/>
          </w:rPr>
          <w:t>https://doi.org/10.2139/ssrn.7036722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Morabit, M., Desaulniers, G., Lodi, A., 2021. Machine-Learning–Based Column Selection for Column Generation. </w:t>
      </w:r>
      <w:r>
        <w:rPr>
          <w:rFonts w:ascii="Times New Roman" w:hAnsi="Times New Roman"/>
          <w:b w:val="0"/>
          <w:i/>
          <w:color w:val="000000"/>
          <w:sz w:val="21"/>
        </w:rPr>
        <w:t>Transp. Sci.</w:t>
      </w:r>
      <w:r>
        <w:rPr>
          <w:rFonts w:ascii="Times New Roman" w:hAnsi="Times New Roman"/>
          <w:b w:val="0"/>
          <w:i w:val="0"/>
          <w:color w:val="000000"/>
          <w:sz w:val="21"/>
        </w:rPr>
        <w:t xml:space="preserve"> 55(4), 815–831. </w:t>
      </w:r>
      <w:hyperlink r:id="rId79">
        <w:r>
          <w:rPr>
            <w:rFonts w:ascii="Times New Roman" w:hAnsi="Times New Roman"/>
            <w:color w:val="000000"/>
            <w:sz w:val="21"/>
          </w:rPr>
          <w:t>https://doi.org/10.1287/trsc.2021.1045</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Morabit, M., Desaulniers, G., Lodi, A., 2023. Machine-Learning–Based Arc Selection for Constrained Shortest Path Problems in Column Generation. </w:t>
      </w:r>
      <w:r>
        <w:rPr>
          <w:rFonts w:ascii="Times New Roman" w:hAnsi="Times New Roman"/>
          <w:b w:val="0"/>
          <w:i/>
          <w:color w:val="000000"/>
          <w:sz w:val="21"/>
        </w:rPr>
        <w:t>INFORMS J. Optim.</w:t>
      </w:r>
      <w:r>
        <w:rPr>
          <w:rFonts w:ascii="Times New Roman" w:hAnsi="Times New Roman"/>
          <w:b w:val="0"/>
          <w:i w:val="0"/>
          <w:color w:val="000000"/>
          <w:sz w:val="21"/>
        </w:rPr>
        <w:t xml:space="preserve"> 5(2), 191–210. </w:t>
      </w:r>
      <w:hyperlink r:id="rId80">
        <w:r>
          <w:rPr>
            <w:rFonts w:ascii="Times New Roman" w:hAnsi="Times New Roman"/>
            <w:color w:val="000000"/>
            <w:sz w:val="21"/>
          </w:rPr>
          <w:t>https://doi.org/10.1287/ijoo.2022.0082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Muter, İ., Öncan, T., 2015. An exact solution approach for the order batching problem. </w:t>
      </w:r>
      <w:r>
        <w:rPr>
          <w:rFonts w:ascii="Times New Roman" w:hAnsi="Times New Roman"/>
          <w:b w:val="0"/>
          <w:i/>
          <w:color w:val="000000"/>
          <w:sz w:val="21"/>
        </w:rPr>
        <w:t>IIE Trans.</w:t>
      </w:r>
      <w:r>
        <w:rPr>
          <w:rFonts w:ascii="Times New Roman" w:hAnsi="Times New Roman"/>
          <w:b w:val="0"/>
          <w:i w:val="0"/>
          <w:color w:val="000000"/>
          <w:sz w:val="21"/>
        </w:rPr>
        <w:t xml:space="preserve"> 47(7), 728–738. </w:t>
      </w:r>
      <w:hyperlink r:id="rId81">
        <w:r>
          <w:rPr>
            <w:rFonts w:ascii="Times New Roman" w:hAnsi="Times New Roman"/>
            <w:color w:val="000000"/>
            <w:sz w:val="21"/>
          </w:rPr>
          <w:t>https://doi.org/10.1080/0740817x.2014.991478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Núñez Ares, J., de Vries, H., Huisman, D., 2016. A column generation approach for locating roadside clinics in Africa based on effectiveness and equity. </w:t>
      </w:r>
      <w:r>
        <w:rPr>
          <w:rFonts w:ascii="Times New Roman" w:hAnsi="Times New Roman"/>
          <w:b w:val="0"/>
          <w:i/>
          <w:color w:val="000000"/>
          <w:sz w:val="21"/>
        </w:rPr>
        <w:t>Eur. J. Oper. Res.</w:t>
      </w:r>
      <w:r>
        <w:rPr>
          <w:rFonts w:ascii="Times New Roman" w:hAnsi="Times New Roman"/>
          <w:b w:val="0"/>
          <w:i w:val="0"/>
          <w:color w:val="000000"/>
          <w:sz w:val="21"/>
        </w:rPr>
        <w:t xml:space="preserve"> 254(3), 1002–1016. </w:t>
      </w:r>
      <w:hyperlink r:id="rId82">
        <w:r>
          <w:rPr>
            <w:rFonts w:ascii="Times New Roman" w:hAnsi="Times New Roman"/>
            <w:color w:val="000000"/>
            <w:sz w:val="21"/>
          </w:rPr>
          <w:t>https://doi.org/10.1016/j.ejor.2016.04.031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Ouasaid, S., Saddoune, M., 2025. Leveraging machine learning for column generation in the dial-a-ride problem with driver preferences. </w:t>
      </w:r>
      <w:r>
        <w:rPr>
          <w:rFonts w:ascii="Times New Roman" w:hAnsi="Times New Roman"/>
          <w:b w:val="0"/>
          <w:i/>
          <w:color w:val="000000"/>
          <w:sz w:val="21"/>
        </w:rPr>
        <w:t>IAES International Journal of Artificial Intelligence (IJ-AI)</w:t>
      </w:r>
      <w:r>
        <w:rPr>
          <w:rFonts w:ascii="Times New Roman" w:hAnsi="Times New Roman"/>
          <w:b w:val="0"/>
          <w:i w:val="0"/>
          <w:color w:val="000000"/>
          <w:sz w:val="21"/>
        </w:rPr>
        <w:t xml:space="preserve"> 14(4), 2826–2838. </w:t>
      </w:r>
      <w:hyperlink r:id="rId83">
        <w:r>
          <w:rPr>
            <w:rFonts w:ascii="Times New Roman" w:hAnsi="Times New Roman"/>
            <w:color w:val="000000"/>
            <w:sz w:val="21"/>
          </w:rPr>
          <w:t>https://doi.org/10.11591/ijai.v14.i4.pp2826-2838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Moher, D., 2021. The PRISMA 2020 statement: an updated guideline for reporting systematic reviews. </w:t>
      </w:r>
      <w:r>
        <w:rPr>
          <w:rFonts w:ascii="Times New Roman" w:hAnsi="Times New Roman"/>
          <w:b w:val="0"/>
          <w:i/>
          <w:color w:val="000000"/>
          <w:sz w:val="21"/>
        </w:rPr>
        <w:t>BMJ</w:t>
      </w:r>
      <w:r>
        <w:rPr>
          <w:rFonts w:ascii="Times New Roman" w:hAnsi="Times New Roman"/>
          <w:b w:val="0"/>
          <w:i w:val="0"/>
          <w:color w:val="000000"/>
          <w:sz w:val="21"/>
        </w:rPr>
        <w:t xml:space="preserve"> 372, n71. </w:t>
      </w:r>
      <w:hyperlink r:id="rId84">
        <w:r>
          <w:rPr>
            <w:rFonts w:ascii="Times New Roman" w:hAnsi="Times New Roman"/>
            <w:color w:val="000000"/>
            <w:sz w:val="21"/>
          </w:rPr>
          <w:t>https://doi.org/10.1136/bmj.n71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Pecin, D., Pessoa, A., Poggi, M., Uchoa, E., Santos, H., 2017. Limited memory Rank-1 Cuts for Vehicle Routing Problems. </w:t>
      </w:r>
      <w:r>
        <w:rPr>
          <w:rFonts w:ascii="Times New Roman" w:hAnsi="Times New Roman"/>
          <w:b w:val="0"/>
          <w:i/>
          <w:color w:val="000000"/>
          <w:sz w:val="21"/>
        </w:rPr>
        <w:t>Oper. Res. Lett.</w:t>
      </w:r>
      <w:r>
        <w:rPr>
          <w:rFonts w:ascii="Times New Roman" w:hAnsi="Times New Roman"/>
          <w:b w:val="0"/>
          <w:i w:val="0"/>
          <w:color w:val="000000"/>
          <w:sz w:val="21"/>
        </w:rPr>
        <w:t xml:space="preserve"> 45(3), 206–209. </w:t>
      </w:r>
      <w:hyperlink r:id="rId85">
        <w:r>
          <w:rPr>
            <w:rFonts w:ascii="Times New Roman" w:hAnsi="Times New Roman"/>
            <w:color w:val="000000"/>
            <w:sz w:val="21"/>
          </w:rPr>
          <w:t>https://doi.org/10.1016/j.orl.2017.02.006</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Pessoa, A., Sadykov, R., Uchoa, E., Vanderbeck, F., 2013. In-Out Separation and Column Generation Stabilization by Dual Price Smoothing. In: Bonifaci, V., Demetrescu, C., Marchetti-Spaccamela, A. (Eds.), </w:t>
      </w:r>
      <w:r>
        <w:rPr>
          <w:rFonts w:ascii="Times New Roman" w:hAnsi="Times New Roman"/>
          <w:b w:val="0"/>
          <w:i/>
          <w:color w:val="000000"/>
          <w:sz w:val="21"/>
        </w:rPr>
        <w:t>Experimental Algorithms</w:t>
      </w:r>
      <w:r>
        <w:rPr>
          <w:rFonts w:ascii="Times New Roman" w:hAnsi="Times New Roman"/>
          <w:b w:val="0"/>
          <w:i w:val="0"/>
          <w:color w:val="000000"/>
          <w:sz w:val="21"/>
        </w:rPr>
        <w:t xml:space="preserve">. SEA 2013, Lecture Notes in Computer Science. Springer, Berlin, Heidelberg, pp. 354–365. </w:t>
      </w:r>
      <w:hyperlink r:id="rId86">
        <w:r>
          <w:rPr>
            <w:rFonts w:ascii="Times New Roman" w:hAnsi="Times New Roman"/>
            <w:color w:val="000000"/>
            <w:sz w:val="21"/>
          </w:rPr>
          <w:t>https://doi.org/10.1007/978-3-642-38527-8_31</w:t>
        </w:r>
      </w:hyperlink>
      <w:r>
        <w:rPr>
          <w:rFonts w:ascii="Times New Roman" w:hAnsi="Times New Roman"/>
          <w:b w:val="0"/>
          <w:i w:val="0"/>
          <w:color w:val="000000"/>
          <w:sz w:val="21"/>
        </w:rPr>
        <w:t>.</w:t>
      </w:r>
      <w:r>
        <w:rPr>
          <w:rFonts w:ascii="Times New Roman" w:hAnsi="Times New Roman"/>
          <w:b w:val="0"/>
          <w:i w:val="0"/>
          <w:color w:val="000000"/>
          <w:sz w:val="21"/>
        </w:rPr>
        <w:t xml:space="preserve"> Extended report read for this review: https://inria.hal.science/hal-00750412v3.</w:t>
      </w:r>
    </w:p>
    <w:p>
      <w:pPr>
        <w:keepLines/>
        <w:spacing w:after="80" w:line="252" w:lineRule="auto"/>
        <w:ind w:left="360" w:hanging="360"/>
      </w:pPr>
      <w:r>
        <w:rPr>
          <w:rFonts w:ascii="Times New Roman" w:hAnsi="Times New Roman"/>
          <w:b w:val="0"/>
          <w:i w:val="0"/>
          <w:color w:val="000000"/>
          <w:sz w:val="21"/>
        </w:rPr>
        <w:t xml:space="preserve">Pessoa, A., Sadykov, R., Uchoa, E., Vanderbeck, F., 2018. Automation and Combination of Linear-Programming Based Stabilization Techniques in Column Generation. </w:t>
      </w:r>
      <w:r>
        <w:rPr>
          <w:rFonts w:ascii="Times New Roman" w:hAnsi="Times New Roman"/>
          <w:b w:val="0"/>
          <w:i/>
          <w:color w:val="000000"/>
          <w:sz w:val="21"/>
        </w:rPr>
        <w:t>INFORMS J. Comput.</w:t>
      </w:r>
      <w:r>
        <w:rPr>
          <w:rFonts w:ascii="Times New Roman" w:hAnsi="Times New Roman"/>
          <w:b w:val="0"/>
          <w:i w:val="0"/>
          <w:color w:val="000000"/>
          <w:sz w:val="21"/>
        </w:rPr>
        <w:t xml:space="preserve"> 30(2), 339–360. </w:t>
      </w:r>
      <w:hyperlink r:id="rId87">
        <w:r>
          <w:rPr>
            <w:rFonts w:ascii="Times New Roman" w:hAnsi="Times New Roman"/>
            <w:color w:val="000000"/>
            <w:sz w:val="21"/>
          </w:rPr>
          <w:t>https://doi.org/10.1287/ijoc.2017.0784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Pessoa, A., Sadykov, R., Uchoa, E., Vanderbeck, F., 2020. A generic exact solver for vehicle routing and related problems. </w:t>
      </w:r>
      <w:r>
        <w:rPr>
          <w:rFonts w:ascii="Times New Roman" w:hAnsi="Times New Roman"/>
          <w:b w:val="0"/>
          <w:i/>
          <w:color w:val="000000"/>
          <w:sz w:val="21"/>
        </w:rPr>
        <w:t>Math. Program.</w:t>
      </w:r>
      <w:r>
        <w:rPr>
          <w:rFonts w:ascii="Times New Roman" w:hAnsi="Times New Roman"/>
          <w:b w:val="0"/>
          <w:i w:val="0"/>
          <w:color w:val="000000"/>
          <w:sz w:val="21"/>
        </w:rPr>
        <w:t xml:space="preserve"> 183(1-2), 483–523. </w:t>
      </w:r>
      <w:hyperlink r:id="rId88">
        <w:r>
          <w:rPr>
            <w:rFonts w:ascii="Times New Roman" w:hAnsi="Times New Roman"/>
            <w:color w:val="000000"/>
            <w:sz w:val="21"/>
          </w:rPr>
          <w:t>https://doi.org/10.1007/s10107-020-01523-z</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Petris, M., Archetti, C., Cattaruzza, D., Ogier, M., Semet, F., 2025. A tutorial on Branch-Price-and-Cut algorithms. </w:t>
      </w:r>
      <w:r>
        <w:rPr>
          <w:rFonts w:ascii="Times New Roman" w:hAnsi="Times New Roman"/>
          <w:b w:val="0"/>
          <w:i/>
          <w:color w:val="000000"/>
          <w:sz w:val="21"/>
        </w:rPr>
        <w:t>4OR</w:t>
      </w:r>
      <w:r>
        <w:rPr>
          <w:rFonts w:ascii="Times New Roman" w:hAnsi="Times New Roman"/>
          <w:b w:val="0"/>
          <w:i w:val="0"/>
          <w:color w:val="000000"/>
          <w:sz w:val="21"/>
        </w:rPr>
        <w:t xml:space="preserve"> 23(1), 1–52. </w:t>
      </w:r>
      <w:hyperlink r:id="rId89">
        <w:r>
          <w:rPr>
            <w:rFonts w:ascii="Times New Roman" w:hAnsi="Times New Roman"/>
            <w:color w:val="000000"/>
            <w:sz w:val="21"/>
          </w:rPr>
          <w:t>https://doi.org/10.1007/s10288-025-00585-z</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Potthoff, D., Huisman, D., Desaulniers, G., 2010. Column Generation with Dynamic Duty Selection for Railway Crew Rescheduling. </w:t>
      </w:r>
      <w:r>
        <w:rPr>
          <w:rFonts w:ascii="Times New Roman" w:hAnsi="Times New Roman"/>
          <w:b w:val="0"/>
          <w:i/>
          <w:color w:val="000000"/>
          <w:sz w:val="21"/>
        </w:rPr>
        <w:t>Transp. Sci.</w:t>
      </w:r>
      <w:r>
        <w:rPr>
          <w:rFonts w:ascii="Times New Roman" w:hAnsi="Times New Roman"/>
          <w:b w:val="0"/>
          <w:i w:val="0"/>
          <w:color w:val="000000"/>
          <w:sz w:val="21"/>
        </w:rPr>
        <w:t xml:space="preserve"> 44(4), 493–505. </w:t>
      </w:r>
      <w:hyperlink r:id="rId90">
        <w:r>
          <w:rPr>
            <w:rFonts w:ascii="Times New Roman" w:hAnsi="Times New Roman"/>
            <w:color w:val="000000"/>
            <w:sz w:val="21"/>
          </w:rPr>
          <w:t>https://doi.org/10.1287/trsc.1100.0322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Quesnel, F., Wu, A., Desaulniers, G., Soumis, F., 2022. Deep-learning-based partial pricing in a branch-and-price algorithm for personalized crew rostering. </w:t>
      </w:r>
      <w:r>
        <w:rPr>
          <w:rFonts w:ascii="Times New Roman" w:hAnsi="Times New Roman"/>
          <w:b w:val="0"/>
          <w:i/>
          <w:color w:val="000000"/>
          <w:sz w:val="21"/>
        </w:rPr>
        <w:t>Comput. Oper. Res.</w:t>
      </w:r>
      <w:r>
        <w:rPr>
          <w:rFonts w:ascii="Times New Roman" w:hAnsi="Times New Roman"/>
          <w:b w:val="0"/>
          <w:i w:val="0"/>
          <w:color w:val="000000"/>
          <w:sz w:val="21"/>
        </w:rPr>
        <w:t xml:space="preserve"> 138, 105554. </w:t>
      </w:r>
      <w:hyperlink r:id="rId91">
        <w:r>
          <w:rPr>
            <w:rFonts w:ascii="Times New Roman" w:hAnsi="Times New Roman"/>
            <w:color w:val="000000"/>
            <w:sz w:val="21"/>
          </w:rPr>
          <w:t>https://doi.org/10.1016/j.cor.2021.105554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Righini, G., Salani, M., 2006. Symmetry helps: Bounded bi-directional dynamic programming for the elementary shortest path problem with resource constraints. </w:t>
      </w:r>
      <w:r>
        <w:rPr>
          <w:rFonts w:ascii="Times New Roman" w:hAnsi="Times New Roman"/>
          <w:b w:val="0"/>
          <w:i/>
          <w:color w:val="000000"/>
          <w:sz w:val="21"/>
        </w:rPr>
        <w:t>Discret. Optim.</w:t>
      </w:r>
      <w:r>
        <w:rPr>
          <w:rFonts w:ascii="Times New Roman" w:hAnsi="Times New Roman"/>
          <w:b w:val="0"/>
          <w:i w:val="0"/>
          <w:color w:val="000000"/>
          <w:sz w:val="21"/>
        </w:rPr>
        <w:t xml:space="preserve"> 3(3), 255–273. </w:t>
      </w:r>
      <w:hyperlink r:id="rId92">
        <w:r>
          <w:rPr>
            <w:rFonts w:ascii="Times New Roman" w:hAnsi="Times New Roman"/>
            <w:color w:val="000000"/>
            <w:sz w:val="21"/>
          </w:rPr>
          <w:t>https://doi.org/10.1016/j.disopt.2006.05.007</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Righini, G., Salani, M., 2008. New dynamic programming algorithms for the resource constrained elementary shortest path problem. </w:t>
      </w:r>
      <w:r>
        <w:rPr>
          <w:rFonts w:ascii="Times New Roman" w:hAnsi="Times New Roman"/>
          <w:b w:val="0"/>
          <w:i/>
          <w:color w:val="000000"/>
          <w:sz w:val="21"/>
        </w:rPr>
        <w:t>Networks</w:t>
      </w:r>
      <w:r>
        <w:rPr>
          <w:rFonts w:ascii="Times New Roman" w:hAnsi="Times New Roman"/>
          <w:b w:val="0"/>
          <w:i w:val="0"/>
          <w:color w:val="000000"/>
          <w:sz w:val="21"/>
        </w:rPr>
        <w:t xml:space="preserve"> 51(3), 155–170. </w:t>
      </w:r>
      <w:hyperlink r:id="rId93">
        <w:r>
          <w:rPr>
            <w:rFonts w:ascii="Times New Roman" w:hAnsi="Times New Roman"/>
            <w:color w:val="000000"/>
            <w:sz w:val="21"/>
          </w:rPr>
          <w:t>https://doi.org/10.1002/net.20212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Ropke, S., Cordeau, J.-F., 2009. Branch and Cut and Price for the Pickup and Delivery Problem with Time Windows. </w:t>
      </w:r>
      <w:r>
        <w:rPr>
          <w:rFonts w:ascii="Times New Roman" w:hAnsi="Times New Roman"/>
          <w:b w:val="0"/>
          <w:i/>
          <w:color w:val="000000"/>
          <w:sz w:val="21"/>
        </w:rPr>
        <w:t>Transp. Sci.</w:t>
      </w:r>
      <w:r>
        <w:rPr>
          <w:rFonts w:ascii="Times New Roman" w:hAnsi="Times New Roman"/>
          <w:b w:val="0"/>
          <w:i w:val="0"/>
          <w:color w:val="000000"/>
          <w:sz w:val="21"/>
        </w:rPr>
        <w:t xml:space="preserve"> 43(3), 267–286. </w:t>
      </w:r>
      <w:hyperlink r:id="rId94">
        <w:r>
          <w:rPr>
            <w:rFonts w:ascii="Times New Roman" w:hAnsi="Times New Roman"/>
            <w:color w:val="000000"/>
            <w:sz w:val="21"/>
          </w:rPr>
          <w:t>https://doi.org/10.1287/trsc.1090.0272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Rousseau, L.-M., Gendreau, M., Feillet, D., 2007. Interior point stabilization for column generation. </w:t>
      </w:r>
      <w:r>
        <w:rPr>
          <w:rFonts w:ascii="Times New Roman" w:hAnsi="Times New Roman"/>
          <w:b w:val="0"/>
          <w:i/>
          <w:color w:val="000000"/>
          <w:sz w:val="21"/>
        </w:rPr>
        <w:t>Oper. Res. Lett.</w:t>
      </w:r>
      <w:r>
        <w:rPr>
          <w:rFonts w:ascii="Times New Roman" w:hAnsi="Times New Roman"/>
          <w:b w:val="0"/>
          <w:i w:val="0"/>
          <w:color w:val="000000"/>
          <w:sz w:val="21"/>
        </w:rPr>
        <w:t xml:space="preserve"> 35(5), 660–668. </w:t>
      </w:r>
      <w:hyperlink r:id="rId95">
        <w:r>
          <w:rPr>
            <w:rFonts w:ascii="Times New Roman" w:hAnsi="Times New Roman"/>
            <w:color w:val="000000"/>
            <w:sz w:val="21"/>
          </w:rPr>
          <w:t>https://doi.org/10.1016/j.orl.2006.11.004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Sadykov, R., Uchoa, E., Pessoa, A., 2021. A Bucket Graph–Based Labeling Algorithm with Application to Vehicle Routing. </w:t>
      </w:r>
      <w:r>
        <w:rPr>
          <w:rFonts w:ascii="Times New Roman" w:hAnsi="Times New Roman"/>
          <w:b w:val="0"/>
          <w:i/>
          <w:color w:val="000000"/>
          <w:sz w:val="21"/>
        </w:rPr>
        <w:t>Transp. Sci.</w:t>
      </w:r>
      <w:r>
        <w:rPr>
          <w:rFonts w:ascii="Times New Roman" w:hAnsi="Times New Roman"/>
          <w:b w:val="0"/>
          <w:i w:val="0"/>
          <w:color w:val="000000"/>
          <w:sz w:val="21"/>
        </w:rPr>
        <w:t xml:space="preserve"> 55(1), 4–28. </w:t>
      </w:r>
      <w:hyperlink r:id="rId96">
        <w:r>
          <w:rPr>
            <w:rFonts w:ascii="Times New Roman" w:hAnsi="Times New Roman"/>
            <w:color w:val="000000"/>
            <w:sz w:val="21"/>
          </w:rPr>
          <w:t>https://doi.org/10.1287/trsc.2020.0985</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Sadykov, R., Vanderbeck, F., Pessoa, A., Tahiri, I., Uchoa, E., 2019. Primal Heuristics for Branch and Price: The Assets of Diving Methods. </w:t>
      </w:r>
      <w:r>
        <w:rPr>
          <w:rFonts w:ascii="Times New Roman" w:hAnsi="Times New Roman"/>
          <w:b w:val="0"/>
          <w:i/>
          <w:color w:val="000000"/>
          <w:sz w:val="21"/>
        </w:rPr>
        <w:t>INFORMS J. Comput.</w:t>
      </w:r>
      <w:r>
        <w:rPr>
          <w:rFonts w:ascii="Times New Roman" w:hAnsi="Times New Roman"/>
          <w:b w:val="0"/>
          <w:i w:val="0"/>
          <w:color w:val="000000"/>
          <w:sz w:val="21"/>
        </w:rPr>
        <w:t xml:space="preserve"> 31(2), 251–267. </w:t>
      </w:r>
      <w:hyperlink r:id="rId97">
        <w:r>
          <w:rPr>
            <w:rFonts w:ascii="Times New Roman" w:hAnsi="Times New Roman"/>
            <w:color w:val="000000"/>
            <w:sz w:val="21"/>
          </w:rPr>
          <w:t>https://doi.org/10.1287/ijoc.2018.0822</w:t>
        </w:r>
      </w:hyperlink>
      <w:r>
        <w:rPr>
          <w:rFonts w:ascii="Times New Roman" w:hAnsi="Times New Roman"/>
          <w:b w:val="0"/>
          <w:i w:val="0"/>
          <w:color w:val="000000"/>
          <w:sz w:val="21"/>
        </w:rPr>
        <w:t>.</w:t>
      </w:r>
      <w:r>
        <w:rPr>
          <w:rFonts w:ascii="Times New Roman" w:hAnsi="Times New Roman"/>
          <w:b w:val="0"/>
          <w:i w:val="0"/>
          <w:color w:val="000000"/>
          <w:sz w:val="21"/>
        </w:rPr>
        <w:t xml:space="preserve"> Author manuscript read for this review: https://inria.hal.science/hal-01237204v3.</w:t>
      </w:r>
    </w:p>
    <w:p>
      <w:pPr>
        <w:keepLines/>
        <w:spacing w:after="80" w:line="252" w:lineRule="auto"/>
        <w:ind w:left="360" w:hanging="360"/>
      </w:pPr>
      <w:r>
        <w:rPr>
          <w:rFonts w:ascii="Times New Roman" w:hAnsi="Times New Roman"/>
          <w:b w:val="0"/>
          <w:i w:val="0"/>
          <w:color w:val="000000"/>
          <w:sz w:val="21"/>
        </w:rPr>
        <w:t xml:space="preserve">Salani, M., Basso, S., Giuffrida, V., 2024. PathWyse: a flexible, open-source library for the resource constrained shortest path problem. </w:t>
      </w:r>
      <w:r>
        <w:rPr>
          <w:rFonts w:ascii="Times New Roman" w:hAnsi="Times New Roman"/>
          <w:b w:val="0"/>
          <w:i/>
          <w:color w:val="000000"/>
          <w:sz w:val="21"/>
        </w:rPr>
        <w:t>Optim. Methods Softw.</w:t>
      </w:r>
      <w:r>
        <w:rPr>
          <w:rFonts w:ascii="Times New Roman" w:hAnsi="Times New Roman"/>
          <w:b w:val="0"/>
          <w:i w:val="0"/>
          <w:color w:val="000000"/>
          <w:sz w:val="21"/>
        </w:rPr>
        <w:t xml:space="preserve"> 39(2), 298–320. </w:t>
      </w:r>
      <w:hyperlink r:id="rId98">
        <w:r>
          <w:rPr>
            <w:rFonts w:ascii="Times New Roman" w:hAnsi="Times New Roman"/>
            <w:color w:val="000000"/>
            <w:sz w:val="21"/>
          </w:rPr>
          <w:t>https://doi.org/10.1080/10556788.2023.2296978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Sarkar, P., Khanapuri, V.B., Tiwari, M.K., 2025. Accelerating the stabilized column generation using machine learning. </w:t>
      </w:r>
      <w:r>
        <w:rPr>
          <w:rFonts w:ascii="Times New Roman" w:hAnsi="Times New Roman"/>
          <w:b w:val="0"/>
          <w:i/>
          <w:color w:val="000000"/>
          <w:sz w:val="21"/>
        </w:rPr>
        <w:t>Comput. Ind. Eng.</w:t>
      </w:r>
      <w:r>
        <w:rPr>
          <w:rFonts w:ascii="Times New Roman" w:hAnsi="Times New Roman"/>
          <w:b w:val="0"/>
          <w:i w:val="0"/>
          <w:color w:val="000000"/>
          <w:sz w:val="21"/>
        </w:rPr>
        <w:t xml:space="preserve"> 200, 110837. </w:t>
      </w:r>
      <w:hyperlink r:id="rId99">
        <w:r>
          <w:rPr>
            <w:rFonts w:ascii="Times New Roman" w:hAnsi="Times New Roman"/>
            <w:color w:val="000000"/>
            <w:sz w:val="21"/>
          </w:rPr>
          <w:t>https://doi.org/10.1016/j.cie.2024.110837</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Scavuzzo, L., Aardal, K., Lodi, A., Yorke-Smith, N., 2026. Machine learning augmented branch and bound for mixed integer linear programming. </w:t>
      </w:r>
      <w:r>
        <w:rPr>
          <w:rFonts w:ascii="Times New Roman" w:hAnsi="Times New Roman"/>
          <w:b w:val="0"/>
          <w:i/>
          <w:color w:val="000000"/>
          <w:sz w:val="21"/>
        </w:rPr>
        <w:t>Math. Program.</w:t>
      </w:r>
      <w:r>
        <w:rPr>
          <w:rFonts w:ascii="Times New Roman" w:hAnsi="Times New Roman"/>
          <w:b w:val="0"/>
          <w:i w:val="0"/>
          <w:color w:val="000000"/>
          <w:sz w:val="21"/>
        </w:rPr>
        <w:t xml:space="preserve"> 217(1-2), 123–166. </w:t>
      </w:r>
      <w:hyperlink r:id="rId100">
        <w:r>
          <w:rPr>
            <w:rFonts w:ascii="Times New Roman" w:hAnsi="Times New Roman"/>
            <w:color w:val="000000"/>
            <w:sz w:val="21"/>
          </w:rPr>
          <w:t>https://doi.org/10.1007/s10107-024-02130-y</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Schryen, G., Sperling, M., 2023. Literature reviews in operations research: A new taxonomy and a meta review. </w:t>
      </w:r>
      <w:r>
        <w:rPr>
          <w:rFonts w:ascii="Times New Roman" w:hAnsi="Times New Roman"/>
          <w:b w:val="0"/>
          <w:i/>
          <w:color w:val="000000"/>
          <w:sz w:val="21"/>
        </w:rPr>
        <w:t>Comput. Oper. Res.</w:t>
      </w:r>
      <w:r>
        <w:rPr>
          <w:rFonts w:ascii="Times New Roman" w:hAnsi="Times New Roman"/>
          <w:b w:val="0"/>
          <w:i w:val="0"/>
          <w:color w:val="000000"/>
          <w:sz w:val="21"/>
        </w:rPr>
        <w:t xml:space="preserve"> 157, 106269. </w:t>
      </w:r>
      <w:hyperlink r:id="rId101">
        <w:r>
          <w:rPr>
            <w:rFonts w:ascii="Times New Roman" w:hAnsi="Times New Roman"/>
            <w:color w:val="000000"/>
            <w:sz w:val="21"/>
          </w:rPr>
          <w:t>https://doi.org/10.1016/j.cor.2023.106269</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Shan, W., Yin, J., Zhang, J., 2026. Multi-Depot Perishable-Product Routing with Time Windows: Exact Branch-and-Cut-and-Price with Learning-Guided Pricing Prioritization. </w:t>
      </w:r>
      <w:r>
        <w:rPr>
          <w:rFonts w:ascii="Times New Roman" w:hAnsi="Times New Roman"/>
          <w:b w:val="0"/>
          <w:i/>
          <w:color w:val="000000"/>
          <w:sz w:val="21"/>
        </w:rPr>
        <w:t>SSRN preprint</w:t>
      </w:r>
      <w:r>
        <w:rPr>
          <w:rFonts w:ascii="Times New Roman" w:hAnsi="Times New Roman"/>
          <w:b w:val="0"/>
          <w:i w:val="0"/>
          <w:color w:val="000000"/>
          <w:sz w:val="21"/>
        </w:rPr>
        <w:t xml:space="preserve"> [Preprint; not peer reviewed]. </w:t>
      </w:r>
      <w:hyperlink r:id="rId102">
        <w:r>
          <w:rPr>
            <w:rFonts w:ascii="Times New Roman" w:hAnsi="Times New Roman"/>
            <w:color w:val="000000"/>
            <w:sz w:val="21"/>
          </w:rPr>
          <w:t>https://doi.org/10.2139/ssrn.7472543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Shen, Y., Sun, Y., Li, X., Cao, Z., Eberhard, A., Zhang, G., 2024. Adaptive Stabilization Based on Machine Learning for Column Generation. </w:t>
      </w:r>
      <w:r>
        <w:rPr>
          <w:rFonts w:ascii="Times New Roman" w:hAnsi="Times New Roman"/>
          <w:b w:val="0"/>
          <w:i/>
          <w:color w:val="000000"/>
          <w:sz w:val="21"/>
        </w:rPr>
        <w:t>Proceedings of the 41st International Conference on Machine Learning</w:t>
      </w:r>
      <w:r>
        <w:rPr>
          <w:rFonts w:ascii="Times New Roman" w:hAnsi="Times New Roman"/>
          <w:b w:val="0"/>
          <w:i w:val="0"/>
          <w:color w:val="000000"/>
          <w:sz w:val="21"/>
        </w:rPr>
        <w:t xml:space="preserve"> 235, 44741–44758. </w:t>
      </w:r>
      <w:hyperlink r:id="rId103">
        <w:r>
          <w:rPr>
            <w:rFonts w:ascii="Times New Roman" w:hAnsi="Times New Roman"/>
            <w:color w:val="000000"/>
            <w:sz w:val="21"/>
          </w:rPr>
          <w:t>https://proceedings.mlr.press/v235/shen24e.html</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Shen, Y., Sun, Y., Li, X., Eberhard, A., Ernst, A., 2022. Enhancing Column Generation by a Machine-Learning-Based Pricing Heuristic for Graph Coloring. </w:t>
      </w:r>
      <w:r>
        <w:rPr>
          <w:rFonts w:ascii="Times New Roman" w:hAnsi="Times New Roman"/>
          <w:b w:val="0"/>
          <w:i/>
          <w:color w:val="000000"/>
          <w:sz w:val="21"/>
        </w:rPr>
        <w:t>Proceedings of the AAAI Conference on Artificial Intelligence</w:t>
      </w:r>
      <w:r>
        <w:rPr>
          <w:rFonts w:ascii="Times New Roman" w:hAnsi="Times New Roman"/>
          <w:b w:val="0"/>
          <w:i w:val="0"/>
          <w:color w:val="000000"/>
          <w:sz w:val="21"/>
        </w:rPr>
        <w:t xml:space="preserve"> 36(9), 9926–9934. </w:t>
      </w:r>
      <w:hyperlink r:id="rId104">
        <w:r>
          <w:rPr>
            <w:rFonts w:ascii="Times New Roman" w:hAnsi="Times New Roman"/>
            <w:color w:val="000000"/>
            <w:sz w:val="21"/>
          </w:rPr>
          <w:t>https://doi.org/10.1609/aaai.v36i9.21230</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Silva, J.M.P., Uchoa, E., Subramanian, A., 2025. Cluster Branching for Vehicle Routing Problems. </w:t>
      </w:r>
      <w:r>
        <w:rPr>
          <w:rFonts w:ascii="Times New Roman" w:hAnsi="Times New Roman"/>
          <w:b w:val="0"/>
          <w:i/>
          <w:color w:val="000000"/>
          <w:sz w:val="21"/>
        </w:rPr>
        <w:t>INFORMS J. Comput.</w:t>
      </w:r>
      <w:r>
        <w:rPr>
          <w:rFonts w:ascii="Times New Roman" w:hAnsi="Times New Roman"/>
          <w:b w:val="0"/>
          <w:i w:val="0"/>
          <w:color w:val="000000"/>
          <w:sz w:val="21"/>
        </w:rPr>
        <w:t xml:space="preserve">, Articles in Advance. </w:t>
      </w:r>
      <w:hyperlink r:id="rId105">
        <w:r>
          <w:rPr>
            <w:rFonts w:ascii="Times New Roman" w:hAnsi="Times New Roman"/>
            <w:color w:val="000000"/>
            <w:sz w:val="21"/>
          </w:rPr>
          <w:t>https://doi.org/10.1287/ijoc.2024.1036</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Sugishita, N., Grothey, A., McKinnon, K., 2024. Use of Machine Learning Models to Warmstart Column Generation for Unit Commitment. </w:t>
      </w:r>
      <w:r>
        <w:rPr>
          <w:rFonts w:ascii="Times New Roman" w:hAnsi="Times New Roman"/>
          <w:b w:val="0"/>
          <w:i/>
          <w:color w:val="000000"/>
          <w:sz w:val="21"/>
        </w:rPr>
        <w:t>INFORMS J. Comput.</w:t>
      </w:r>
      <w:r>
        <w:rPr>
          <w:rFonts w:ascii="Times New Roman" w:hAnsi="Times New Roman"/>
          <w:b w:val="0"/>
          <w:i w:val="0"/>
          <w:color w:val="000000"/>
          <w:sz w:val="21"/>
        </w:rPr>
        <w:t xml:space="preserve"> 36(4), 1129–1146. </w:t>
      </w:r>
      <w:hyperlink r:id="rId106">
        <w:r>
          <w:rPr>
            <w:rFonts w:ascii="Times New Roman" w:hAnsi="Times New Roman"/>
            <w:color w:val="000000"/>
            <w:sz w:val="21"/>
          </w:rPr>
          <w:t>https://doi.org/10.1287/ijoc.2022.0140</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Sun, Y., Ernst, A.T., Li, X., Weiner, J., 2023. Learning to Generate Columns with Application to Vertex Coloring. </w:t>
      </w:r>
      <w:r>
        <w:rPr>
          <w:rFonts w:ascii="Times New Roman" w:hAnsi="Times New Roman"/>
          <w:b w:val="0"/>
          <w:i/>
          <w:color w:val="000000"/>
          <w:sz w:val="21"/>
        </w:rPr>
        <w:t>The Eleventh International Conference on Learning Representations</w:t>
      </w:r>
      <w:r>
        <w:rPr>
          <w:rFonts w:ascii="Times New Roman" w:hAnsi="Times New Roman"/>
          <w:b w:val="0"/>
          <w:i w:val="0"/>
          <w:color w:val="000000"/>
          <w:sz w:val="21"/>
        </w:rPr>
        <w:t xml:space="preserve">. </w:t>
      </w:r>
      <w:hyperlink r:id="rId107">
        <w:r>
          <w:rPr>
            <w:rFonts w:ascii="Times New Roman" w:hAnsi="Times New Roman"/>
            <w:color w:val="000000"/>
            <w:sz w:val="21"/>
          </w:rPr>
          <w:t>https://openreview.net/forum?id=JHW30A4DXtO</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Tahir, A., Quesnel, F., Desaulniers, G., El Hallaoui, I., Yaakoubi, Y., 2021. An Improved Integral Column Generation Algorithm Using Machine Learning for Aircrew Pairing. </w:t>
      </w:r>
      <w:r>
        <w:rPr>
          <w:rFonts w:ascii="Times New Roman" w:hAnsi="Times New Roman"/>
          <w:b w:val="0"/>
          <w:i/>
          <w:color w:val="000000"/>
          <w:sz w:val="21"/>
        </w:rPr>
        <w:t>Transp. Sci.</w:t>
      </w:r>
      <w:r>
        <w:rPr>
          <w:rFonts w:ascii="Times New Roman" w:hAnsi="Times New Roman"/>
          <w:b w:val="0"/>
          <w:i w:val="0"/>
          <w:color w:val="000000"/>
          <w:sz w:val="21"/>
        </w:rPr>
        <w:t xml:space="preserve"> 55(6), 1411–1429. </w:t>
      </w:r>
      <w:hyperlink r:id="rId108">
        <w:r>
          <w:rPr>
            <w:rFonts w:ascii="Times New Roman" w:hAnsi="Times New Roman"/>
            <w:color w:val="000000"/>
            <w:sz w:val="21"/>
          </w:rPr>
          <w:t>https://doi.org/10.1287/trsc.2021.1084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Tekil-Ergün, S., Çebi, F., 2026. Clustering-based column generation and heuristic methods for the container loading problem with practical constraints: A case study. </w:t>
      </w:r>
      <w:r>
        <w:rPr>
          <w:rFonts w:ascii="Times New Roman" w:hAnsi="Times New Roman"/>
          <w:b w:val="0"/>
          <w:i/>
          <w:color w:val="000000"/>
          <w:sz w:val="21"/>
        </w:rPr>
        <w:t>Journal of Industrial Engineering and Management</w:t>
      </w:r>
      <w:r>
        <w:rPr>
          <w:rFonts w:ascii="Times New Roman" w:hAnsi="Times New Roman"/>
          <w:b w:val="0"/>
          <w:i w:val="0"/>
          <w:color w:val="000000"/>
          <w:sz w:val="21"/>
        </w:rPr>
        <w:t xml:space="preserve"> 19(1), 99–119. </w:t>
      </w:r>
      <w:hyperlink r:id="rId109">
        <w:r>
          <w:rPr>
            <w:rFonts w:ascii="Times New Roman" w:hAnsi="Times New Roman"/>
            <w:color w:val="000000"/>
            <w:sz w:val="21"/>
          </w:rPr>
          <w:t>https://doi.org/10.3926/jiem.8741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Tilk, C., Rothenbächer, A.-K., Gschwind, T., Irnich, S., 2017. Asymmetry matters: Dynamic half-way points in bidirectional labeling for solving shortest path problems with resource constraints faster. </w:t>
      </w:r>
      <w:r>
        <w:rPr>
          <w:rFonts w:ascii="Times New Roman" w:hAnsi="Times New Roman"/>
          <w:b w:val="0"/>
          <w:i/>
          <w:color w:val="000000"/>
          <w:sz w:val="21"/>
        </w:rPr>
        <w:t>Eur. J. Oper. Res.</w:t>
      </w:r>
      <w:r>
        <w:rPr>
          <w:rFonts w:ascii="Times New Roman" w:hAnsi="Times New Roman"/>
          <w:b w:val="0"/>
          <w:i w:val="0"/>
          <w:color w:val="000000"/>
          <w:sz w:val="21"/>
        </w:rPr>
        <w:t xml:space="preserve"> 261(2), 530–539. </w:t>
      </w:r>
      <w:hyperlink r:id="rId110">
        <w:r>
          <w:rPr>
            <w:rFonts w:ascii="Times New Roman" w:hAnsi="Times New Roman"/>
            <w:color w:val="000000"/>
            <w:sz w:val="21"/>
          </w:rPr>
          <w:t>https://doi.org/10.1016/j.ejor.2017.03.017</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Václavík, R., Novák, A., Šůcha, P., Hanzálek, Z., 2018. Accelerating the Branch-and-Price Algorithm Using Machine Learning. </w:t>
      </w:r>
      <w:r>
        <w:rPr>
          <w:rFonts w:ascii="Times New Roman" w:hAnsi="Times New Roman"/>
          <w:b w:val="0"/>
          <w:i/>
          <w:color w:val="000000"/>
          <w:sz w:val="21"/>
        </w:rPr>
        <w:t>Eur. J. Oper. Res.</w:t>
      </w:r>
      <w:r>
        <w:rPr>
          <w:rFonts w:ascii="Times New Roman" w:hAnsi="Times New Roman"/>
          <w:b w:val="0"/>
          <w:i w:val="0"/>
          <w:color w:val="000000"/>
          <w:sz w:val="21"/>
        </w:rPr>
        <w:t xml:space="preserve"> 271(3), 1055–1069. </w:t>
      </w:r>
      <w:hyperlink r:id="rId111">
        <w:r>
          <w:rPr>
            <w:rFonts w:ascii="Times New Roman" w:hAnsi="Times New Roman"/>
            <w:color w:val="000000"/>
            <w:sz w:val="21"/>
          </w:rPr>
          <w:t>https://doi.org/10.1016/j.ejor.2018.05.046</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Valério de Carvalho, J.M., 2005. Using Extra Dual Cuts to Accelerate Column Generation. </w:t>
      </w:r>
      <w:r>
        <w:rPr>
          <w:rFonts w:ascii="Times New Roman" w:hAnsi="Times New Roman"/>
          <w:b w:val="0"/>
          <w:i/>
          <w:color w:val="000000"/>
          <w:sz w:val="21"/>
        </w:rPr>
        <w:t>INFORMS J. Comput.</w:t>
      </w:r>
      <w:r>
        <w:rPr>
          <w:rFonts w:ascii="Times New Roman" w:hAnsi="Times New Roman"/>
          <w:b w:val="0"/>
          <w:i w:val="0"/>
          <w:color w:val="000000"/>
          <w:sz w:val="21"/>
        </w:rPr>
        <w:t xml:space="preserve"> 17(2), 175–182. </w:t>
      </w:r>
      <w:hyperlink r:id="rId137">
        <w:r>
          <w:rPr>
            <w:rFonts w:ascii="Times New Roman" w:hAnsi="Times New Roman"/>
            <w:color w:val="000000"/>
            <w:sz w:val="21"/>
          </w:rPr>
          <w:t>https://doi.org/10.1287/ijoc.1030.0060</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Vanderbeck, F., 2005. Implementing Mixed Integer Column Generation. In: Desaulniers, G., Desrosiers, J., Solomon, M.M. (Eds.), </w:t>
      </w:r>
      <w:r>
        <w:rPr>
          <w:rFonts w:ascii="Times New Roman" w:hAnsi="Times New Roman"/>
          <w:b w:val="0"/>
          <w:i/>
          <w:color w:val="000000"/>
          <w:sz w:val="21"/>
        </w:rPr>
        <w:t>Column Generation</w:t>
      </w:r>
      <w:r>
        <w:rPr>
          <w:rFonts w:ascii="Times New Roman" w:hAnsi="Times New Roman"/>
          <w:b w:val="0"/>
          <w:i w:val="0"/>
          <w:color w:val="000000"/>
          <w:sz w:val="21"/>
        </w:rPr>
        <w:t xml:space="preserve">. Springer, Boston, MA, pp. 331–358. </w:t>
      </w:r>
      <w:hyperlink r:id="rId112">
        <w:r>
          <w:rPr>
            <w:rFonts w:ascii="Times New Roman" w:hAnsi="Times New Roman"/>
            <w:color w:val="000000"/>
            <w:sz w:val="21"/>
          </w:rPr>
          <w:t>https://doi.org/10.1007/0-387-25486-2_12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Wang, O., Khir, R., 2026. Learning to Control Stabilization in Column Generation. </w:t>
      </w:r>
      <w:r>
        <w:rPr>
          <w:rFonts w:ascii="Times New Roman" w:hAnsi="Times New Roman"/>
          <w:b w:val="0"/>
          <w:i/>
          <w:color w:val="000000"/>
          <w:sz w:val="21"/>
        </w:rPr>
        <w:t>arXiv preprint</w:t>
      </w:r>
      <w:r>
        <w:rPr>
          <w:rFonts w:ascii="Times New Roman" w:hAnsi="Times New Roman"/>
          <w:b w:val="0"/>
          <w:i w:val="0"/>
          <w:color w:val="000000"/>
          <w:sz w:val="21"/>
        </w:rPr>
        <w:t xml:space="preserve">, 2604.23889v2 [Preprint; not peer reviewed]. </w:t>
      </w:r>
      <w:hyperlink r:id="rId113">
        <w:r>
          <w:rPr>
            <w:rFonts w:ascii="Times New Roman" w:hAnsi="Times New Roman"/>
            <w:color w:val="000000"/>
            <w:sz w:val="21"/>
          </w:rPr>
          <w:t>https://arxiv.org/abs/2604.23889v2</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Wentges, P., 1997. Weighted Dantzig–Wolfe Decomposition for Linear Mixed‐integer Programming. </w:t>
      </w:r>
      <w:r>
        <w:rPr>
          <w:rFonts w:ascii="Times New Roman" w:hAnsi="Times New Roman"/>
          <w:b w:val="0"/>
          <w:i/>
          <w:color w:val="000000"/>
          <w:sz w:val="21"/>
        </w:rPr>
        <w:t>Int. Trans. Oper. Res.</w:t>
      </w:r>
      <w:r>
        <w:rPr>
          <w:rFonts w:ascii="Times New Roman" w:hAnsi="Times New Roman"/>
          <w:b w:val="0"/>
          <w:i w:val="0"/>
          <w:color w:val="000000"/>
          <w:sz w:val="21"/>
        </w:rPr>
        <w:t xml:space="preserve"> 4(2), 151–162. </w:t>
      </w:r>
      <w:hyperlink r:id="rId114">
        <w:r>
          <w:rPr>
            <w:rFonts w:ascii="Times New Roman" w:hAnsi="Times New Roman"/>
            <w:color w:val="000000"/>
            <w:sz w:val="21"/>
          </w:rPr>
          <w:t>https://doi.org/10.1111/j.1475-3995.1997.tb00071.x</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Wilhelm, W.E., 2001. A Technical Review of Column Generation in Integer Programming. </w:t>
      </w:r>
      <w:r>
        <w:rPr>
          <w:rFonts w:ascii="Times New Roman" w:hAnsi="Times New Roman"/>
          <w:b w:val="0"/>
          <w:i/>
          <w:color w:val="000000"/>
          <w:sz w:val="21"/>
        </w:rPr>
        <w:t>Optim. Eng.</w:t>
      </w:r>
      <w:r>
        <w:rPr>
          <w:rFonts w:ascii="Times New Roman" w:hAnsi="Times New Roman"/>
          <w:b w:val="0"/>
          <w:i w:val="0"/>
          <w:color w:val="000000"/>
          <w:sz w:val="21"/>
        </w:rPr>
        <w:t xml:space="preserve"> 2(2), 159–200. </w:t>
      </w:r>
      <w:hyperlink r:id="rId115">
        <w:r>
          <w:rPr>
            <w:rFonts w:ascii="Times New Roman" w:hAnsi="Times New Roman"/>
            <w:color w:val="000000"/>
            <w:sz w:val="21"/>
          </w:rPr>
          <w:t>https://doi.org/10.1023/a:1013141227104</w:t>
        </w:r>
      </w:hyperlink>
      <w:r>
        <w:rPr>
          <w:rFonts w:ascii="Times New Roman" w:hAnsi="Times New Roman"/>
          <w:b w:val="0"/>
          <w:i w:val="0"/>
          <w:color w:val="000000"/>
          <w:sz w:val="21"/>
        </w:rPr>
        <w:t xml:space="preserve">. Erratum: </w:t>
      </w:r>
      <w:r>
        <w:rPr>
          <w:rFonts w:ascii="Times New Roman" w:hAnsi="Times New Roman"/>
          <w:b w:val="0"/>
          <w:i/>
          <w:color w:val="000000"/>
          <w:sz w:val="21"/>
        </w:rPr>
        <w:t>Optim. Eng.</w:t>
      </w:r>
      <w:r>
        <w:rPr>
          <w:rFonts w:ascii="Times New Roman" w:hAnsi="Times New Roman"/>
          <w:b w:val="0"/>
          <w:i w:val="0"/>
          <w:color w:val="000000"/>
          <w:sz w:val="21"/>
        </w:rPr>
        <w:t xml:space="preserve"> 6 (2005), 273–274. </w:t>
      </w:r>
      <w:hyperlink r:id="rId116">
        <w:r>
          <w:rPr>
            <w:rFonts w:ascii="Times New Roman" w:hAnsi="Times New Roman"/>
            <w:color w:val="000000"/>
            <w:sz w:val="21"/>
          </w:rPr>
          <w:t>https://doi.org/10.1007/s11081-005-6799-8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Xia, Y., Zhang, X., 2024. A Neural Column Generation Approach to the Vehicle Routing Problem with Two-Dimensional Loading and Last-In-First-Out Constraints. </w:t>
      </w:r>
      <w:r>
        <w:rPr>
          <w:rFonts w:ascii="Times New Roman" w:hAnsi="Times New Roman"/>
          <w:b w:val="0"/>
          <w:i/>
          <w:color w:val="000000"/>
          <w:sz w:val="21"/>
        </w:rPr>
        <w:t>Proceedings of the Thirty-Third International Joint Conference on Artificial Intelligence</w:t>
      </w:r>
      <w:r>
        <w:rPr>
          <w:rFonts w:ascii="Times New Roman" w:hAnsi="Times New Roman"/>
          <w:b w:val="0"/>
          <w:i w:val="0"/>
          <w:color w:val="000000"/>
          <w:sz w:val="21"/>
        </w:rPr>
        <w:t xml:space="preserve">, 1970–1978. </w:t>
      </w:r>
      <w:hyperlink r:id="rId117">
        <w:r>
          <w:rPr>
            <w:rFonts w:ascii="Times New Roman" w:hAnsi="Times New Roman"/>
            <w:color w:val="000000"/>
            <w:sz w:val="21"/>
          </w:rPr>
          <w:t>https://doi.org/10.24963/ijcai.2024/218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Xu, H., Shen, Y., Sun, Y., Li, X., 2024. Machine Learning-Enhanced Ant Colony Optimization for Column Generation. </w:t>
      </w:r>
      <w:r>
        <w:rPr>
          <w:rFonts w:ascii="Times New Roman" w:hAnsi="Times New Roman"/>
          <w:b w:val="0"/>
          <w:i/>
          <w:color w:val="000000"/>
          <w:sz w:val="21"/>
        </w:rPr>
        <w:t>Proceedings of the Genetic and Evolutionary Computation Conference</w:t>
      </w:r>
      <w:r>
        <w:rPr>
          <w:rFonts w:ascii="Times New Roman" w:hAnsi="Times New Roman"/>
          <w:b w:val="0"/>
          <w:i w:val="0"/>
          <w:color w:val="000000"/>
          <w:sz w:val="21"/>
        </w:rPr>
        <w:t xml:space="preserve">, 1073–1081. </w:t>
      </w:r>
      <w:hyperlink r:id="rId118">
        <w:r>
          <w:rPr>
            <w:rFonts w:ascii="Times New Roman" w:hAnsi="Times New Roman"/>
            <w:color w:val="000000"/>
            <w:sz w:val="21"/>
          </w:rPr>
          <w:t>https://doi.org/10.1145/3638529.3654043</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Xu, K., Shen, L., Liu, L., 2025. Enhancing column generation by reinforcement learning-based hyper-heuristic for vehicle routing and scheduling problems. </w:t>
      </w:r>
      <w:r>
        <w:rPr>
          <w:rFonts w:ascii="Times New Roman" w:hAnsi="Times New Roman"/>
          <w:b w:val="0"/>
          <w:i/>
          <w:color w:val="000000"/>
          <w:sz w:val="21"/>
        </w:rPr>
        <w:t>Comput. Ind. Eng.</w:t>
      </w:r>
      <w:r>
        <w:rPr>
          <w:rFonts w:ascii="Times New Roman" w:hAnsi="Times New Roman"/>
          <w:b w:val="0"/>
          <w:i w:val="0"/>
          <w:color w:val="000000"/>
          <w:sz w:val="21"/>
        </w:rPr>
        <w:t xml:space="preserve"> 206, 111138. </w:t>
      </w:r>
      <w:hyperlink r:id="rId119">
        <w:r>
          <w:rPr>
            <w:rFonts w:ascii="Times New Roman" w:hAnsi="Times New Roman"/>
            <w:color w:val="000000"/>
            <w:sz w:val="21"/>
          </w:rPr>
          <w:t>https://doi.org/10.1016/j.cie.2025.111138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Xue, N., Cui, T., Cheng, S., 2026. Rapid re-optimization via learning-enhanced column generation for vehicle routing with driver break scheduling. </w:t>
      </w:r>
      <w:r>
        <w:rPr>
          <w:rFonts w:ascii="Times New Roman" w:hAnsi="Times New Roman"/>
          <w:b w:val="0"/>
          <w:i/>
          <w:color w:val="000000"/>
          <w:sz w:val="21"/>
        </w:rPr>
        <w:t>Transp. Res. Part E Logist. Transp. Rev.</w:t>
      </w:r>
      <w:r>
        <w:rPr>
          <w:rFonts w:ascii="Times New Roman" w:hAnsi="Times New Roman"/>
          <w:b w:val="0"/>
          <w:i w:val="0"/>
          <w:color w:val="000000"/>
          <w:sz w:val="21"/>
        </w:rPr>
        <w:t xml:space="preserve"> 209, 104764. </w:t>
      </w:r>
      <w:hyperlink r:id="rId120">
        <w:r>
          <w:rPr>
            <w:rFonts w:ascii="Times New Roman" w:hAnsi="Times New Roman"/>
            <w:color w:val="000000"/>
            <w:sz w:val="21"/>
          </w:rPr>
          <w:t>https://doi.org/10.1016/j.tre.2026.104764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Yan, F., Clautiaux, F., Froger, A., Albar, B., 2026. Generic machine-learning-augmented beam search for resource-constrained shortest path reformulations of combinatorial optimization problems. </w:t>
      </w:r>
      <w:r>
        <w:rPr>
          <w:rFonts w:ascii="Times New Roman" w:hAnsi="Times New Roman"/>
          <w:b w:val="0"/>
          <w:i/>
          <w:color w:val="000000"/>
          <w:sz w:val="21"/>
        </w:rPr>
        <w:t>Comput. Oper. Res.</w:t>
      </w:r>
      <w:r>
        <w:rPr>
          <w:rFonts w:ascii="Times New Roman" w:hAnsi="Times New Roman"/>
          <w:b w:val="0"/>
          <w:i w:val="0"/>
          <w:color w:val="000000"/>
          <w:sz w:val="21"/>
        </w:rPr>
        <w:t xml:space="preserve"> 187, 107339. </w:t>
      </w:r>
      <w:hyperlink r:id="rId121">
        <w:r>
          <w:rPr>
            <w:rFonts w:ascii="Times New Roman" w:hAnsi="Times New Roman"/>
            <w:color w:val="000000"/>
            <w:sz w:val="21"/>
          </w:rPr>
          <w:t>https://doi.org/10.1016/j.cor.2025.107339</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Yang, X., 2026. Data and code for a critical review of column generation and branch-and-price acceleration [dataset]. Version 1.7. Zenodo. https://doi.org/10.5281/zenodo.23386416.</w:t>
      </w:r>
    </w:p>
    <w:p>
      <w:pPr>
        <w:keepLines/>
        <w:spacing w:after="80" w:line="252" w:lineRule="auto"/>
        <w:ind w:left="360" w:hanging="360"/>
      </w:pPr>
      <w:r>
        <w:rPr>
          <w:rFonts w:ascii="Times New Roman" w:hAnsi="Times New Roman"/>
          <w:b w:val="0"/>
          <w:i w:val="0"/>
          <w:color w:val="000000"/>
          <w:sz w:val="21"/>
        </w:rPr>
        <w:t xml:space="preserve">Yang, Y., 2025. DeLuxing: Deep Lagrangian Underestimate Fixing for Column-Generation-Based Exact Methods. </w:t>
      </w:r>
      <w:r>
        <w:rPr>
          <w:rFonts w:ascii="Times New Roman" w:hAnsi="Times New Roman"/>
          <w:b w:val="0"/>
          <w:i/>
          <w:color w:val="000000"/>
          <w:sz w:val="21"/>
        </w:rPr>
        <w:t>Oper. Res.</w:t>
      </w:r>
      <w:r>
        <w:rPr>
          <w:rFonts w:ascii="Times New Roman" w:hAnsi="Times New Roman"/>
          <w:b w:val="0"/>
          <w:i w:val="0"/>
          <w:color w:val="000000"/>
          <w:sz w:val="21"/>
        </w:rPr>
        <w:t xml:space="preserve"> 73(3), 1184–1207. </w:t>
      </w:r>
      <w:hyperlink r:id="rId123">
        <w:r>
          <w:rPr>
            <w:rFonts w:ascii="Times New Roman" w:hAnsi="Times New Roman"/>
            <w:color w:val="000000"/>
            <w:sz w:val="21"/>
          </w:rPr>
          <w:t>https://doi.org/10.1287/opre.2023.0398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You, Z., Yang, Y., Wang, X., Yin, W., 2026b. Two-Stage Learning to Branch in Branch-Price-and-Cut Algorithms for Solving Vehicle Routing Problems Exactly. </w:t>
      </w:r>
      <w:r>
        <w:rPr>
          <w:rFonts w:ascii="Times New Roman" w:hAnsi="Times New Roman"/>
          <w:b w:val="0"/>
          <w:i/>
          <w:color w:val="000000"/>
          <w:sz w:val="21"/>
        </w:rPr>
        <w:t>Oper. Res.</w:t>
      </w:r>
      <w:r>
        <w:rPr>
          <w:rFonts w:ascii="Times New Roman" w:hAnsi="Times New Roman"/>
          <w:b w:val="0"/>
          <w:i w:val="0"/>
          <w:color w:val="000000"/>
          <w:sz w:val="21"/>
        </w:rPr>
        <w:t xml:space="preserve"> 74(4), 1811–1833. </w:t>
      </w:r>
      <w:hyperlink r:id="rId124">
        <w:r>
          <w:rPr>
            <w:rFonts w:ascii="Times New Roman" w:hAnsi="Times New Roman"/>
            <w:color w:val="000000"/>
            <w:sz w:val="21"/>
          </w:rPr>
          <w:t>https://doi.org/10.1287/opre.2023.0615</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You, Z.R., Tang, B., Liu, H., Mo, B., 2026a. Learned Pairwise Deep Dual-Optimal Inequalities for Stabilizing Column Generation. </w:t>
      </w:r>
      <w:r>
        <w:rPr>
          <w:rFonts w:ascii="Times New Roman" w:hAnsi="Times New Roman"/>
          <w:b w:val="0"/>
          <w:i/>
          <w:color w:val="000000"/>
          <w:sz w:val="21"/>
        </w:rPr>
        <w:t>arXiv preprint</w:t>
      </w:r>
      <w:r>
        <w:rPr>
          <w:rFonts w:ascii="Times New Roman" w:hAnsi="Times New Roman"/>
          <w:b w:val="0"/>
          <w:i w:val="0"/>
          <w:color w:val="000000"/>
          <w:sz w:val="21"/>
        </w:rPr>
        <w:t xml:space="preserve">, 2607.13373v1 [Preprint; not peer reviewed]. </w:t>
      </w:r>
      <w:hyperlink r:id="rId125">
        <w:r>
          <w:rPr>
            <w:rFonts w:ascii="Times New Roman" w:hAnsi="Times New Roman"/>
            <w:color w:val="000000"/>
            <w:sz w:val="21"/>
          </w:rPr>
          <w:t>https://arxiv.org/abs/2607.13373v1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Yuan, H., Fang, L., Song, S., 2024. A Reinforcement-Learning-Based Multiple-Column Selection Strategy for Column Generation. </w:t>
      </w:r>
      <w:r>
        <w:rPr>
          <w:rFonts w:ascii="Times New Roman" w:hAnsi="Times New Roman"/>
          <w:b w:val="0"/>
          <w:i/>
          <w:color w:val="000000"/>
          <w:sz w:val="21"/>
        </w:rPr>
        <w:t>Proceedings of the AAAI Conference on Artificial Intelligence</w:t>
      </w:r>
      <w:r>
        <w:rPr>
          <w:rFonts w:ascii="Times New Roman" w:hAnsi="Times New Roman"/>
          <w:b w:val="0"/>
          <w:i w:val="0"/>
          <w:color w:val="000000"/>
          <w:sz w:val="21"/>
        </w:rPr>
        <w:t xml:space="preserve"> 38(8), 8209–8216. </w:t>
      </w:r>
      <w:hyperlink r:id="rId126">
        <w:r>
          <w:rPr>
            <w:rFonts w:ascii="Times New Roman" w:hAnsi="Times New Roman"/>
            <w:color w:val="000000"/>
            <w:sz w:val="21"/>
          </w:rPr>
          <w:t>https://doi.org/10.1609/aaai.v38i8.28661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Zhang, X., Chen, L., Gendreau, M., Langevin, A., 2022. Learning-Based Branch-and-Price Algorithms for the Vehicle Routing Problem with Time Windows and Two-Dimensional Loading Constraints. </w:t>
      </w:r>
      <w:r>
        <w:rPr>
          <w:rFonts w:ascii="Times New Roman" w:hAnsi="Times New Roman"/>
          <w:b w:val="0"/>
          <w:i/>
          <w:color w:val="000000"/>
          <w:sz w:val="21"/>
        </w:rPr>
        <w:t>INFORMS J. Comput.</w:t>
      </w:r>
      <w:r>
        <w:rPr>
          <w:rFonts w:ascii="Times New Roman" w:hAnsi="Times New Roman"/>
          <w:b w:val="0"/>
          <w:i w:val="0"/>
          <w:color w:val="000000"/>
          <w:sz w:val="21"/>
        </w:rPr>
        <w:t xml:space="preserve"> 34(3), 1419–1436. </w:t>
      </w:r>
      <w:hyperlink r:id="rId127">
        <w:r>
          <w:rPr>
            <w:rFonts w:ascii="Times New Roman" w:hAnsi="Times New Roman"/>
            <w:color w:val="000000"/>
            <w:sz w:val="21"/>
          </w:rPr>
          <w:t>https://doi.org/10.1287/ijoc.2021.1110</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Zhang, Z., Jiang, Y., Gao, M., Chen, Y., Wahab, M., 2025. Deep reinforcement learning-based column generation for the two-dimensional vector variable-sized packing problem. </w:t>
      </w:r>
      <w:r>
        <w:rPr>
          <w:rFonts w:ascii="Times New Roman" w:hAnsi="Times New Roman"/>
          <w:b w:val="0"/>
          <w:i/>
          <w:color w:val="000000"/>
          <w:sz w:val="21"/>
        </w:rPr>
        <w:t>Expert Systems with Applications</w:t>
      </w:r>
      <w:r>
        <w:rPr>
          <w:rFonts w:ascii="Times New Roman" w:hAnsi="Times New Roman"/>
          <w:b w:val="0"/>
          <w:i w:val="0"/>
          <w:color w:val="000000"/>
          <w:sz w:val="21"/>
        </w:rPr>
        <w:t xml:space="preserve"> 271, 126534. </w:t>
      </w:r>
      <w:hyperlink r:id="rId128">
        <w:r>
          <w:rPr>
            <w:rFonts w:ascii="Times New Roman" w:hAnsi="Times New Roman"/>
            <w:color w:val="000000"/>
            <w:sz w:val="21"/>
          </w:rPr>
          <w:t>https://doi.org/10.1016/j.eswa.2025.126534</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Zhang, Z., Li, J., Yang, H., Zheng, Z., Lu, Y., 2026. A Tolerance-Aware Pricing Certificate for Stabilized Dantzig–Wolfe Branch-and-Price in Unit Commitment. </w:t>
      </w:r>
      <w:r>
        <w:rPr>
          <w:rFonts w:ascii="Times New Roman" w:hAnsi="Times New Roman"/>
          <w:b w:val="0"/>
          <w:i/>
          <w:color w:val="000000"/>
          <w:sz w:val="21"/>
        </w:rPr>
        <w:t>Algorithms</w:t>
      </w:r>
      <w:r>
        <w:rPr>
          <w:rFonts w:ascii="Times New Roman" w:hAnsi="Times New Roman"/>
          <w:b w:val="0"/>
          <w:i w:val="0"/>
          <w:color w:val="000000"/>
          <w:sz w:val="21"/>
        </w:rPr>
        <w:t xml:space="preserve"> 19(9), 731. </w:t>
      </w:r>
      <w:hyperlink r:id="rId129">
        <w:r>
          <w:rPr>
            <w:rFonts w:ascii="Times New Roman" w:hAnsi="Times New Roman"/>
            <w:color w:val="000000"/>
            <w:sz w:val="21"/>
          </w:rPr>
          <w:t>https://doi.org/10.3390/a19090731</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Zhao, J., He, X., Wang, S., Yang, L., Zhen, L., 2026. Machine learning-facilitated algorithm for operations optimization in thermal power plants. </w:t>
      </w:r>
      <w:r>
        <w:rPr>
          <w:rFonts w:ascii="Times New Roman" w:hAnsi="Times New Roman"/>
          <w:b w:val="0"/>
          <w:i/>
          <w:color w:val="000000"/>
          <w:sz w:val="21"/>
        </w:rPr>
        <w:t>Comput. Oper. Res.</w:t>
      </w:r>
      <w:r>
        <w:rPr>
          <w:rFonts w:ascii="Times New Roman" w:hAnsi="Times New Roman"/>
          <w:b w:val="0"/>
          <w:i w:val="0"/>
          <w:color w:val="000000"/>
          <w:sz w:val="21"/>
        </w:rPr>
        <w:t xml:space="preserve"> 191, 107458. </w:t>
      </w:r>
      <w:hyperlink r:id="rId130">
        <w:r>
          <w:rPr>
            <w:rFonts w:ascii="Times New Roman" w:hAnsi="Times New Roman"/>
            <w:color w:val="000000"/>
            <w:sz w:val="21"/>
          </w:rPr>
          <w:t>https://doi.org/10.1016/j.cor.2026.107458</w:t>
        </w:r>
      </w:hyperlink>
      <w:r>
        <w:rPr>
          <w:rFonts w:ascii="Times New Roman" w:hAnsi="Times New Roman"/>
          <w:b w:val="0"/>
          <w:i w:val="0"/>
          <w:color w:val="000000"/>
          <w:sz w:val="21"/>
        </w:rPr>
        <w:t>.</w:t>
      </w:r>
    </w:p>
    <w:p>
      <w:pPr>
        <w:keepLines/>
        <w:spacing w:after="80" w:line="252" w:lineRule="auto"/>
        <w:ind w:left="360" w:hanging="360"/>
      </w:pPr>
      <w:r>
        <w:rPr>
          <w:rFonts w:ascii="Times New Roman" w:hAnsi="Times New Roman"/>
          <w:b w:val="0"/>
          <w:i w:val="0"/>
          <w:color w:val="000000"/>
          <w:sz w:val="21"/>
        </w:rPr>
        <w:t xml:space="preserve">Zhou, F., Lischka, A., Kulcsár, B., Wu, J., Haghir Chehreghani, M., Laporte, G., 2025. Learning for routing: A guided review of recent developments and future directions. </w:t>
      </w:r>
      <w:r>
        <w:rPr>
          <w:rFonts w:ascii="Times New Roman" w:hAnsi="Times New Roman"/>
          <w:b w:val="0"/>
          <w:i/>
          <w:color w:val="000000"/>
          <w:sz w:val="21"/>
        </w:rPr>
        <w:t>Transp. Res. Part E Logist. Transp. Rev.</w:t>
      </w:r>
      <w:r>
        <w:rPr>
          <w:rFonts w:ascii="Times New Roman" w:hAnsi="Times New Roman"/>
          <w:b w:val="0"/>
          <w:i w:val="0"/>
          <w:color w:val="000000"/>
          <w:sz w:val="21"/>
        </w:rPr>
        <w:t xml:space="preserve"> 202, 104278. </w:t>
      </w:r>
      <w:hyperlink r:id="rId131">
        <w:r>
          <w:rPr>
            <w:rFonts w:ascii="Times New Roman" w:hAnsi="Times New Roman"/>
            <w:color w:val="000000"/>
            <w:sz w:val="21"/>
          </w:rPr>
          <w:t>https://doi.org/10.1016/j.tre.2025.104278</w:t>
        </w:r>
      </w:hyperlink>
      <w:r>
        <w:rPr>
          <w:rFonts w:ascii="Times New Roman" w:hAnsi="Times New Roman"/>
          <w:b w:val="0"/>
          <w:i w:val="0"/>
          <w:color w:val="000000"/>
          <w:sz w:val="21"/>
        </w:rPr>
        <w:t>.</w:t>
      </w:r>
    </w:p>
    <w:sectPr w:rsidR="00FC693F" w:rsidRPr="0006063C" w:rsidSect="00034616">
      <w:footerReference w:type="default" r:id="rId9"/>
      <w:pgSz w:w="12240" w:h="15840"/>
      <w:pgMar w:top="1224" w:right="1440" w:bottom="1224" w:left="1440" w:header="720" w:footer="504" w:gutter="0"/>
      <w:lnNumType w:countBy="1" w:restart="continuous" w:distance="28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40" w:lineRule="auto" w:before="0"/>
      <w:contextualSpacing/>
    </w:pPr>
    <w:rPr>
      <w:rFonts w:asciiTheme="majorHAnsi" w:eastAsiaTheme="majorEastAsia" w:hAnsiTheme="majorHAnsi"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100" w:after="12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arxiv.org/abs/2504.08401v2" TargetMode="External"/><Relationship Id="rId15" Type="http://schemas.openxmlformats.org/officeDocument/2006/relationships/hyperlink" Target="https://doi.org/10.1016/j.orp.2025.100364" TargetMode="External"/><Relationship Id="rId16" Type="http://schemas.openxmlformats.org/officeDocument/2006/relationships/hyperlink" Target="https://openreview.net/forum?id=k5sdO59Pw_3" TargetMode="External"/><Relationship Id="rId17" Type="http://schemas.openxmlformats.org/officeDocument/2006/relationships/hyperlink" Target="https://doi.org/10.1287/opre.1110.0975" TargetMode="External"/><Relationship Id="rId18" Type="http://schemas.openxmlformats.org/officeDocument/2006/relationships/hyperlink" Target="https://doi.org/10.1287/opre.46.3.316" TargetMode="External"/><Relationship Id="rId19" Type="http://schemas.openxmlformats.org/officeDocument/2006/relationships/hyperlink" Target="https://arxiv.org/abs/2605.03760v1" TargetMode="External"/><Relationship Id="rId20" Type="http://schemas.openxmlformats.org/officeDocument/2006/relationships/hyperlink" Target="https://doi.org/10.1287/opre.1060.0278" TargetMode="External"/><Relationship Id="rId21" Type="http://schemas.openxmlformats.org/officeDocument/2006/relationships/hyperlink" Target="https://doi.org/10.1016/j.ejor.2020.07.063" TargetMode="External"/><Relationship Id="rId22" Type="http://schemas.openxmlformats.org/officeDocument/2006/relationships/hyperlink" Target="https://arxiv.org/abs/2609.34740v1" TargetMode="External"/><Relationship Id="rId23" Type="http://schemas.openxmlformats.org/officeDocument/2006/relationships/hyperlink" Target="https://doi.org/10.1016/j.orl.2004.11.011" TargetMode="External"/><Relationship Id="rId24" Type="http://schemas.openxmlformats.org/officeDocument/2006/relationships/hyperlink" Target="https://doi.org/10.1016/j.omega.2021.102555" TargetMode="External"/><Relationship Id="rId25" Type="http://schemas.openxmlformats.org/officeDocument/2006/relationships/hyperlink" Target="https://doi.org/10.1007/s10107-006-0079-z" TargetMode="External"/><Relationship Id="rId26" Type="http://schemas.openxmlformats.org/officeDocument/2006/relationships/hyperlink" Target="https://doi.org/10.1016/j.orl.2024.107207" TargetMode="External"/><Relationship Id="rId27" Type="http://schemas.openxmlformats.org/officeDocument/2006/relationships/hyperlink" Target="https://doi.org/10.2139/ssrn.6595201" TargetMode="External"/><Relationship Id="rId28" Type="http://schemas.openxmlformats.org/officeDocument/2006/relationships/hyperlink" Target="https://doi.org/10.52202/068431-0700" TargetMode="External"/><Relationship Id="rId29" Type="http://schemas.openxmlformats.org/officeDocument/2006/relationships/hyperlink" Target="https://doi.org/10.1287/trsc.2018.0878" TargetMode="External"/><Relationship Id="rId30" Type="http://schemas.openxmlformats.org/officeDocument/2006/relationships/hyperlink" Target="https://doi.org/10.2139/ssrn.5737083" TargetMode="External"/><Relationship Id="rId31" Type="http://schemas.openxmlformats.org/officeDocument/2006/relationships/hyperlink" Target="https://doi.org/10.1007/b135457" TargetMode="External"/><Relationship Id="rId32" Type="http://schemas.openxmlformats.org/officeDocument/2006/relationships/hyperlink" Target="https://doi.org/10.1287/trsc.2020.0988" TargetMode="External"/><Relationship Id="rId33" Type="http://schemas.openxmlformats.org/officeDocument/2006/relationships/hyperlink" Target="https://doi.org/10.1287/trsc.1070.0223" TargetMode="External"/><Relationship Id="rId34" Type="http://schemas.openxmlformats.org/officeDocument/2006/relationships/hyperlink" Target="https://doi.org/10.1007/978-3-031-96917-1" TargetMode="External"/><Relationship Id="rId35" Type="http://schemas.openxmlformats.org/officeDocument/2006/relationships/hyperlink" Target="https://doi.org/10.1002/net.21511" TargetMode="External"/><Relationship Id="rId36" Type="http://schemas.openxmlformats.org/officeDocument/2006/relationships/hyperlink" Target="https://doi.org/10.1109/smc58881.2025.11342939" TargetMode="External"/><Relationship Id="rId37" Type="http://schemas.openxmlformats.org/officeDocument/2006/relationships/hyperlink" Target="https://doi.org/10.1080/00207543.2026.2637778" TargetMode="External"/><Relationship Id="rId38" Type="http://schemas.openxmlformats.org/officeDocument/2006/relationships/hyperlink" Target="https://doi.org/10.1016/s0012-365x(98)00213-1" TargetMode="External"/><Relationship Id="rId39" Type="http://schemas.openxmlformats.org/officeDocument/2006/relationships/hyperlink" Target="https://arxiv.org/abs/2202.12466v1" TargetMode="External"/><Relationship Id="rId40" Type="http://schemas.openxmlformats.org/officeDocument/2006/relationships/hyperlink" Target="https://doi.org/10.3390/a14110313" TargetMode="External"/><Relationship Id="rId41" Type="http://schemas.openxmlformats.org/officeDocument/2006/relationships/hyperlink" Target="https://doi.org/10.1016/j.tre.2024.103782" TargetMode="External"/><Relationship Id="rId42" Type="http://schemas.openxmlformats.org/officeDocument/2006/relationships/hyperlink" Target="https://doi.org/10.1007/s00291-024-00766-y" TargetMode="External"/><Relationship Id="rId43" Type="http://schemas.openxmlformats.org/officeDocument/2006/relationships/hyperlink" Target="https://doi.org/10.1016/j.ejor.2025.08.029" TargetMode="External"/><Relationship Id="rId44" Type="http://schemas.openxmlformats.org/officeDocument/2006/relationships/hyperlink" Target="https://doi.org/10.1109/smc53992.2023.10393948" TargetMode="External"/><Relationship Id="rId45" Type="http://schemas.openxmlformats.org/officeDocument/2006/relationships/hyperlink" Target="https://doi.org/10.1287/opre.38.5.922" TargetMode="External"/><Relationship Id="rId46" Type="http://schemas.openxmlformats.org/officeDocument/2006/relationships/hyperlink" Target="https://doi.org/10.1007/s10288-010-0130-z" TargetMode="External"/><Relationship Id="rId47" Type="http://schemas.openxmlformats.org/officeDocument/2006/relationships/hyperlink" Target="https://doi.org/10.1002/net.20033" TargetMode="External"/><Relationship Id="rId48" Type="http://schemas.openxmlformats.org/officeDocument/2006/relationships/hyperlink" Target="https://doi.org/10.1007/s00291-020-00615-8" TargetMode="External"/><Relationship Id="rId49" Type="http://schemas.openxmlformats.org/officeDocument/2006/relationships/hyperlink" Target="https://doi.org/10.1016/j.cor.2025.107152" TargetMode="External"/><Relationship Id="rId50" Type="http://schemas.openxmlformats.org/officeDocument/2006/relationships/hyperlink" Target="https://papers.neurips.cc/paper_files/paper/2019/file/d14c2267d848abeb81fd590f371d39bd-Paper.pdf" TargetMode="External"/><Relationship Id="rId51" Type="http://schemas.openxmlformats.org/officeDocument/2006/relationships/hyperlink" Target="https://doi.org/10.1016/j.cor.2024.106848" TargetMode="External"/><Relationship Id="rId52" Type="http://schemas.openxmlformats.org/officeDocument/2006/relationships/hyperlink" Target="https://doi.org/10.1007/s10107-014-0779-8" TargetMode="External"/><Relationship Id="rId53" Type="http://schemas.openxmlformats.org/officeDocument/2006/relationships/hyperlink" Target="https://doi.org/10.1016/j.ejor.2012.07.024" TargetMode="External"/><Relationship Id="rId54" Type="http://schemas.openxmlformats.org/officeDocument/2006/relationships/hyperlink" Target="https://doi.org/10.1287/trsc.2014.0531" TargetMode="External"/><Relationship Id="rId55" Type="http://schemas.openxmlformats.org/officeDocument/2006/relationships/hyperlink" Target="https://doi.org/10.1287/ijoc.2015.0670" TargetMode="External"/><Relationship Id="rId56" Type="http://schemas.openxmlformats.org/officeDocument/2006/relationships/hyperlink" Target="https://doi.org/10.1287/ijoc.1100.0436" TargetMode="External"/><Relationship Id="rId57" Type="http://schemas.openxmlformats.org/officeDocument/2006/relationships/hyperlink" Target="https://doi.org/10.1287/ijoc.2024.1005" TargetMode="External"/><Relationship Id="rId58" Type="http://schemas.openxmlformats.org/officeDocument/2006/relationships/hyperlink" Target="https://doi.org/10.1016/j.ejor.2023.11.047" TargetMode="External"/><Relationship Id="rId59" Type="http://schemas.openxmlformats.org/officeDocument/2006/relationships/hyperlink" Target="https://arxiv.org/abs/2412.19066v1" TargetMode="External"/><Relationship Id="rId60" Type="http://schemas.openxmlformats.org/officeDocument/2006/relationships/hyperlink" Target="https://doi.org/10.1609/aaai.v39i11.33222" TargetMode="External"/><Relationship Id="rId61" Type="http://schemas.openxmlformats.org/officeDocument/2006/relationships/hyperlink" Target="https://doi.org/10.1016/j.egyr.2023.04.330" TargetMode="External"/><Relationship Id="rId62" Type="http://schemas.openxmlformats.org/officeDocument/2006/relationships/hyperlink" Target="https://doi.org/10.1287/ijoc.1090.0341" TargetMode="External"/><Relationship Id="rId63" Type="http://schemas.openxmlformats.org/officeDocument/2006/relationships/hyperlink" Target="https://doi.org/10.1287/opre.1070.0449" TargetMode="External"/><Relationship Id="rId64" Type="http://schemas.openxmlformats.org/officeDocument/2006/relationships/hyperlink" Target="https://doi.org/10.1109/SMC53992.2023.10394613" TargetMode="External"/><Relationship Id="rId65" Type="http://schemas.openxmlformats.org/officeDocument/2006/relationships/hyperlink" Target="https://doi.org/10.1609/aaai.v30i1.10080" TargetMode="External"/><Relationship Id="rId66" Type="http://schemas.openxmlformats.org/officeDocument/2006/relationships/hyperlink" Target="https://doi.org/10.1016/j.ejor.2024.07.029" TargetMode="External"/><Relationship Id="rId67" Type="http://schemas.openxmlformats.org/officeDocument/2006/relationships/hyperlink" Target="https://doi.org/10.1287/ijoc.2023.1277" TargetMode="External"/><Relationship Id="rId68" Type="http://schemas.openxmlformats.org/officeDocument/2006/relationships/hyperlink" Target="https://doi.org/10.1007/978-3-319-59776-8_16" TargetMode="External"/><Relationship Id="rId69" Type="http://schemas.openxmlformats.org/officeDocument/2006/relationships/hyperlink" Target="https://doi.org/10.2139/ssrn.7355988" TargetMode="External"/><Relationship Id="rId70" Type="http://schemas.openxmlformats.org/officeDocument/2006/relationships/hyperlink" Target="https://doi.org/10.1016/j.samod.2026.100069" TargetMode="External"/><Relationship Id="rId71" Type="http://schemas.openxmlformats.org/officeDocument/2006/relationships/hyperlink" Target="https://doi.org/10.1007/s11750-017-0451-6" TargetMode="External"/><Relationship Id="rId72" Type="http://schemas.openxmlformats.org/officeDocument/2006/relationships/hyperlink" Target="https://doi.org/10.1145/3759179.3759181" TargetMode="External"/><Relationship Id="rId73" Type="http://schemas.openxmlformats.org/officeDocument/2006/relationships/hyperlink" Target="https://doi.org/10.1016/j.tre.2025.104281" TargetMode="External"/><Relationship Id="rId74" Type="http://schemas.openxmlformats.org/officeDocument/2006/relationships/hyperlink" Target="https://doi.org/10.1287/opre.1050.0234" TargetMode="External"/><Relationship Id="rId75" Type="http://schemas.openxmlformats.org/officeDocument/2006/relationships/hyperlink" Target="https://doi.org/10.1007/s12532-023-00240-w" TargetMode="External"/><Relationship Id="rId76" Type="http://schemas.openxmlformats.org/officeDocument/2006/relationships/hyperlink" Target="https://doi.org/10.1016/j.ejor.2014.05.005" TargetMode="External"/><Relationship Id="rId77" Type="http://schemas.openxmlformats.org/officeDocument/2006/relationships/hyperlink" Target="https://doi.org/10.1111/itor.70170" TargetMode="External"/><Relationship Id="rId78" Type="http://schemas.openxmlformats.org/officeDocument/2006/relationships/hyperlink" Target="https://doi.org/10.2139/ssrn.7036722" TargetMode="External"/><Relationship Id="rId79" Type="http://schemas.openxmlformats.org/officeDocument/2006/relationships/hyperlink" Target="https://doi.org/10.1287/trsc.2021.1045" TargetMode="External"/><Relationship Id="rId80" Type="http://schemas.openxmlformats.org/officeDocument/2006/relationships/hyperlink" Target="https://doi.org/10.1287/ijoo.2022.0082" TargetMode="External"/><Relationship Id="rId81" Type="http://schemas.openxmlformats.org/officeDocument/2006/relationships/hyperlink" Target="https://doi.org/10.1080/0740817x.2014.991478" TargetMode="External"/><Relationship Id="rId82" Type="http://schemas.openxmlformats.org/officeDocument/2006/relationships/hyperlink" Target="https://doi.org/10.1016/j.ejor.2016.04.031" TargetMode="External"/><Relationship Id="rId83" Type="http://schemas.openxmlformats.org/officeDocument/2006/relationships/hyperlink" Target="https://doi.org/10.11591/ijai.v14.i4.pp2826-2838" TargetMode="External"/><Relationship Id="rId84" Type="http://schemas.openxmlformats.org/officeDocument/2006/relationships/hyperlink" Target="https://doi.org/10.1136/bmj.n71" TargetMode="External"/><Relationship Id="rId85" Type="http://schemas.openxmlformats.org/officeDocument/2006/relationships/hyperlink" Target="https://doi.org/10.1016/j.orl.2017.02.006" TargetMode="External"/><Relationship Id="rId86" Type="http://schemas.openxmlformats.org/officeDocument/2006/relationships/hyperlink" Target="https://doi.org/10.1007/978-3-642-38527-8_31" TargetMode="External"/><Relationship Id="rId87" Type="http://schemas.openxmlformats.org/officeDocument/2006/relationships/hyperlink" Target="https://doi.org/10.1287/ijoc.2017.0784" TargetMode="External"/><Relationship Id="rId88" Type="http://schemas.openxmlformats.org/officeDocument/2006/relationships/hyperlink" Target="https://doi.org/10.1007/s10107-020-01523-z" TargetMode="External"/><Relationship Id="rId89" Type="http://schemas.openxmlformats.org/officeDocument/2006/relationships/hyperlink" Target="https://doi.org/10.1007/s10288-025-00585-z" TargetMode="External"/><Relationship Id="rId90" Type="http://schemas.openxmlformats.org/officeDocument/2006/relationships/hyperlink" Target="https://doi.org/10.1287/trsc.1100.0322" TargetMode="External"/><Relationship Id="rId91" Type="http://schemas.openxmlformats.org/officeDocument/2006/relationships/hyperlink" Target="https://doi.org/10.1016/j.cor.2021.105554" TargetMode="External"/><Relationship Id="rId92" Type="http://schemas.openxmlformats.org/officeDocument/2006/relationships/hyperlink" Target="https://doi.org/10.1016/j.disopt.2006.05.007" TargetMode="External"/><Relationship Id="rId93" Type="http://schemas.openxmlformats.org/officeDocument/2006/relationships/hyperlink" Target="https://doi.org/10.1002/net.20212" TargetMode="External"/><Relationship Id="rId94" Type="http://schemas.openxmlformats.org/officeDocument/2006/relationships/hyperlink" Target="https://doi.org/10.1287/trsc.1090.0272" TargetMode="External"/><Relationship Id="rId95" Type="http://schemas.openxmlformats.org/officeDocument/2006/relationships/hyperlink" Target="https://doi.org/10.1016/j.orl.2006.11.004" TargetMode="External"/><Relationship Id="rId96" Type="http://schemas.openxmlformats.org/officeDocument/2006/relationships/hyperlink" Target="https://doi.org/10.1287/trsc.2020.0985" TargetMode="External"/><Relationship Id="rId97" Type="http://schemas.openxmlformats.org/officeDocument/2006/relationships/hyperlink" Target="https://doi.org/10.1287/ijoc.2018.0822" TargetMode="External"/><Relationship Id="rId98" Type="http://schemas.openxmlformats.org/officeDocument/2006/relationships/hyperlink" Target="https://doi.org/10.1080/10556788.2023.2296978" TargetMode="External"/><Relationship Id="rId99" Type="http://schemas.openxmlformats.org/officeDocument/2006/relationships/hyperlink" Target="https://doi.org/10.1016/j.cie.2024.110837" TargetMode="External"/><Relationship Id="rId100" Type="http://schemas.openxmlformats.org/officeDocument/2006/relationships/hyperlink" Target="https://doi.org/10.1007/s10107-024-02130-y" TargetMode="External"/><Relationship Id="rId101" Type="http://schemas.openxmlformats.org/officeDocument/2006/relationships/hyperlink" Target="https://doi.org/10.1016/j.cor.2023.106269" TargetMode="External"/><Relationship Id="rId102" Type="http://schemas.openxmlformats.org/officeDocument/2006/relationships/hyperlink" Target="https://doi.org/10.2139/ssrn.7472543" TargetMode="External"/><Relationship Id="rId103" Type="http://schemas.openxmlformats.org/officeDocument/2006/relationships/hyperlink" Target="https://proceedings.mlr.press/v235/shen24e.html" TargetMode="External"/><Relationship Id="rId104" Type="http://schemas.openxmlformats.org/officeDocument/2006/relationships/hyperlink" Target="https://doi.org/10.1609/aaai.v36i9.21230" TargetMode="External"/><Relationship Id="rId105" Type="http://schemas.openxmlformats.org/officeDocument/2006/relationships/hyperlink" Target="https://doi.org/10.1287/ijoc.2024.1036" TargetMode="External"/><Relationship Id="rId106" Type="http://schemas.openxmlformats.org/officeDocument/2006/relationships/hyperlink" Target="https://doi.org/10.1287/ijoc.2022.0140" TargetMode="External"/><Relationship Id="rId107" Type="http://schemas.openxmlformats.org/officeDocument/2006/relationships/hyperlink" Target="https://openreview.net/forum?id=JHW30A4DXtO" TargetMode="External"/><Relationship Id="rId108" Type="http://schemas.openxmlformats.org/officeDocument/2006/relationships/hyperlink" Target="https://doi.org/10.1287/trsc.2021.1084" TargetMode="External"/><Relationship Id="rId109" Type="http://schemas.openxmlformats.org/officeDocument/2006/relationships/hyperlink" Target="https://doi.org/10.3926/jiem.8741" TargetMode="External"/><Relationship Id="rId110" Type="http://schemas.openxmlformats.org/officeDocument/2006/relationships/hyperlink" Target="https://doi.org/10.1016/j.ejor.2017.03.017" TargetMode="External"/><Relationship Id="rId111" Type="http://schemas.openxmlformats.org/officeDocument/2006/relationships/hyperlink" Target="https://doi.org/10.1016/j.ejor.2018.05.046" TargetMode="External"/><Relationship Id="rId112" Type="http://schemas.openxmlformats.org/officeDocument/2006/relationships/hyperlink" Target="https://doi.org/10.1007/0-387-25486-2_12" TargetMode="External"/><Relationship Id="rId113" Type="http://schemas.openxmlformats.org/officeDocument/2006/relationships/hyperlink" Target="https://arxiv.org/abs/2604.23889v2" TargetMode="External"/><Relationship Id="rId114" Type="http://schemas.openxmlformats.org/officeDocument/2006/relationships/hyperlink" Target="https://doi.org/10.1111/j.1475-3995.1997.tb00071.x" TargetMode="External"/><Relationship Id="rId115" Type="http://schemas.openxmlformats.org/officeDocument/2006/relationships/hyperlink" Target="https://doi.org/10.1023/a:1013141227104" TargetMode="External"/><Relationship Id="rId116" Type="http://schemas.openxmlformats.org/officeDocument/2006/relationships/hyperlink" Target="https://doi.org/10.1007/s11081-005-6799-8" TargetMode="External"/><Relationship Id="rId117" Type="http://schemas.openxmlformats.org/officeDocument/2006/relationships/hyperlink" Target="https://doi.org/10.24963/ijcai.2024/218" TargetMode="External"/><Relationship Id="rId118" Type="http://schemas.openxmlformats.org/officeDocument/2006/relationships/hyperlink" Target="https://doi.org/10.1145/3638529.3654043" TargetMode="External"/><Relationship Id="rId119" Type="http://schemas.openxmlformats.org/officeDocument/2006/relationships/hyperlink" Target="https://doi.org/10.1016/j.cie.2025.111138" TargetMode="External"/><Relationship Id="rId120" Type="http://schemas.openxmlformats.org/officeDocument/2006/relationships/hyperlink" Target="https://doi.org/10.1016/j.tre.2026.104764" TargetMode="External"/><Relationship Id="rId121" Type="http://schemas.openxmlformats.org/officeDocument/2006/relationships/hyperlink" Target="https://doi.org/10.1016/j.cor.2025.107339" TargetMode="External"/><Relationship Id="rId122" Type="http://schemas.openxmlformats.org/officeDocument/2006/relationships/hyperlink" Target="https://github.com/Focusyang/literature-review/tree/e3bcb51741adb7b2f0fdea330b97a079ce525abd" TargetMode="External"/><Relationship Id="rId123" Type="http://schemas.openxmlformats.org/officeDocument/2006/relationships/hyperlink" Target="https://doi.org/10.1287/opre.2023.0398" TargetMode="External"/><Relationship Id="rId124" Type="http://schemas.openxmlformats.org/officeDocument/2006/relationships/hyperlink" Target="https://doi.org/10.1287/opre.2023.0615" TargetMode="External"/><Relationship Id="rId125" Type="http://schemas.openxmlformats.org/officeDocument/2006/relationships/hyperlink" Target="https://arxiv.org/abs/2607.13373v1" TargetMode="External"/><Relationship Id="rId126" Type="http://schemas.openxmlformats.org/officeDocument/2006/relationships/hyperlink" Target="https://doi.org/10.1609/aaai.v38i8.28661" TargetMode="External"/><Relationship Id="rId127" Type="http://schemas.openxmlformats.org/officeDocument/2006/relationships/hyperlink" Target="https://doi.org/10.1287/ijoc.2021.1110" TargetMode="External"/><Relationship Id="rId128" Type="http://schemas.openxmlformats.org/officeDocument/2006/relationships/hyperlink" Target="https://doi.org/10.1016/j.eswa.2025.126534" TargetMode="External"/><Relationship Id="rId129" Type="http://schemas.openxmlformats.org/officeDocument/2006/relationships/hyperlink" Target="https://doi.org/10.3390/a19090731" TargetMode="External"/><Relationship Id="rId130" Type="http://schemas.openxmlformats.org/officeDocument/2006/relationships/hyperlink" Target="https://doi.org/10.1016/j.cor.2026.107458" TargetMode="External"/><Relationship Id="rId131" Type="http://schemas.openxmlformats.org/officeDocument/2006/relationships/hyperlink" Target="https://doi.org/10.1016/j.tre.2025.104278" TargetMode="External"/><Relationship Id="rId132" Type="http://schemas.openxmlformats.org/officeDocument/2006/relationships/hyperlink" Target="https://doi.org/10.1016/j.cor.2004.08.003" TargetMode="External"/><Relationship Id="rId133" Type="http://schemas.openxmlformats.org/officeDocument/2006/relationships/hyperlink" Target="https://doi.org/10.1007/978-1-4615-1507-4_14" TargetMode="External"/><Relationship Id="rId134" Type="http://schemas.openxmlformats.org/officeDocument/2006/relationships/hyperlink" Target="https://doi.org/10.1287/ijoc.2022.1255" TargetMode="External"/><Relationship Id="rId135" Type="http://schemas.openxmlformats.org/officeDocument/2006/relationships/hyperlink" Target="https://doi.org/10.1080/10556788.2015.1025134" TargetMode="External"/><Relationship Id="rId136" Type="http://schemas.openxmlformats.org/officeDocument/2006/relationships/hyperlink" Target="https://doi.org/10.1016/j.ejor.2003.05.006" TargetMode="External"/><Relationship Id="rId137" Type="http://schemas.openxmlformats.org/officeDocument/2006/relationships/hyperlink" Target="https://doi.org/10.1287/ijoc.1030.00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Accelerating Column Generation and Branch-and-Price with Traditional and Learning-Guided Methods: A Critical Review</dc:title>
  <dc:subject>Computers &amp; Operations Research - Surveys in OR/MS</dc:subject>
  <dc:creator>Xinran Yang</dc:creator>
  <cp:keywords>column generation; branch-and-price; pricing; stabilization; machine learning</cp:keywords>
  <dc:description>Author-approved corrections applied 2026-10-15. Unresolved fields remain explicitly marked. No study removed.</dc:description>
  <cp:lastModifiedBy/>
  <cp:revision>1</cp:revision>
  <dcterms:created xsi:type="dcterms:W3CDTF">2013-12-23T23:15:00Z</dcterms:created>
  <dcterms:modified xsi:type="dcterms:W3CDTF">2013-12-23T23:15:00Z</dcterms:modified>
  <cp:category/>
  <cp:version>1.8 working revision</cp:version>
</cp:coreProperties>
</file>