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p>
    <w:p>
      <w:pPr>
        <w:spacing w:after="120"/>
        <w:jc w:val="center"/>
      </w:pPr>
      <w:r>
        <w:rPr>
          <w:rFonts w:ascii="Arial" w:cs="Arial" w:eastAsia="Arial" w:hAnsi="Arial"/>
          <w:b w:val="false"/>
          <w:bCs w:val="false"/>
          <w:i w:val="false"/>
          <w:iCs w:val="false"/>
          <w:color w:val="666666"/>
          <w:sz w:val="26"/>
          <w:szCs w:val="26"/>
        </w:rPr>
        <w:t xml:space="preserve">Instituto Tecnológico de las Américas (ITLA)</w:t>
      </w:r>
    </w:p>
    <w:p>
      <w:pPr>
        <w:spacing w:after="0" w:before="240"/>
      </w:pPr>
    </w:p>
    <w:p>
      <w:pPr>
        <w:spacing w:after="120"/>
        <w:jc w:val="center"/>
      </w:pPr>
      <w:r>
        <w:rPr>
          <w:rFonts w:ascii="Arial" w:cs="Arial" w:eastAsia="Arial" w:hAnsi="Arial"/>
          <w:b/>
          <w:bCs/>
          <w:i w:val="false"/>
          <w:iCs w:val="false"/>
          <w:color w:val="0F6E56"/>
          <w:sz w:val="36"/>
          <w:szCs w:val="36"/>
        </w:rPr>
        <w:t xml:space="preserve">MedSecure: Plataforma Médica Segura</w:t>
      </w:r>
    </w:p>
    <w:p>
      <w:pPr>
        <w:spacing w:after="60"/>
        <w:jc w:val="center"/>
      </w:pPr>
      <w:r>
        <w:rPr>
          <w:rFonts w:ascii="Arial" w:cs="Arial" w:eastAsia="Arial" w:hAnsi="Arial"/>
          <w:b w:val="false"/>
          <w:bCs w:val="false"/>
          <w:i w:val="false"/>
          <w:iCs w:val="false"/>
          <w:color w:val="1a1a1a"/>
          <w:sz w:val="24"/>
          <w:szCs w:val="24"/>
        </w:rPr>
        <w:t xml:space="preserve">Análisis de Relación con la Ciberseguridad y Resolución de Problemas del Sector Salud</w:t>
      </w:r>
    </w:p>
    <w:p>
      <w:pPr>
        <w:spacing w:after="400"/>
        <w:jc w:val="center"/>
      </w:pPr>
      <w:r>
        <w:rPr>
          <w:rFonts w:ascii="Arial" w:cs="Arial" w:eastAsia="Arial" w:hAnsi="Arial"/>
          <w:b w:val="false"/>
          <w:bCs w:val="false"/>
          <w:i/>
          <w:iCs/>
          <w:color w:val="666666"/>
          <w:sz w:val="22"/>
          <w:szCs w:val="22"/>
        </w:rPr>
        <w:t xml:space="preserve">Documento complementario de análisis académico</w:t>
      </w:r>
    </w:p>
    <w:p>
      <w:pPr>
        <w:spacing w:after="0" w:before="240"/>
      </w:pPr>
    </w:p>
    <w:p>
      <w:pPr>
        <w:spacing w:after="60"/>
        <w:jc w:val="center"/>
      </w:pPr>
      <w:r>
        <w:rPr>
          <w:rFonts w:ascii="Arial" w:cs="Arial" w:eastAsia="Arial" w:hAnsi="Arial"/>
          <w:b/>
          <w:bCs/>
          <w:i w:val="false"/>
          <w:iCs w:val="false"/>
          <w:color w:val="666666"/>
          <w:sz w:val="24"/>
          <w:szCs w:val="24"/>
        </w:rPr>
        <w:t xml:space="preserve">Presentado por:</w:t>
      </w:r>
    </w:p>
    <w:p>
      <w:pPr>
        <w:spacing w:after="240"/>
        <w:jc w:val="center"/>
      </w:pPr>
      <w:r>
        <w:rPr>
          <w:rFonts w:ascii="Arial" w:cs="Arial" w:eastAsia="Arial" w:hAnsi="Arial"/>
          <w:b w:val="false"/>
          <w:bCs w:val="false"/>
          <w:i w:val="false"/>
          <w:iCs w:val="false"/>
          <w:color w:val="1a1a1a"/>
          <w:sz w:val="24"/>
          <w:szCs w:val="24"/>
        </w:rPr>
        <w:t xml:space="preserve">Departamento de Tecnología en Redes de la Información</w:t>
      </w:r>
    </w:p>
    <w:p>
      <w:pPr>
        <w:spacing w:after="240"/>
        <w:jc w:val="center"/>
      </w:pPr>
      <w:r>
        <w:rPr>
          <w:rFonts w:ascii="Arial" w:cs="Arial" w:eastAsia="Arial" w:hAnsi="Arial"/>
          <w:b w:val="false"/>
          <w:bCs w:val="false"/>
          <w:i w:val="false"/>
          <w:iCs w:val="false"/>
          <w:color w:val="1a1a1a"/>
          <w:sz w:val="24"/>
          <w:szCs w:val="24"/>
        </w:rPr>
        <w:t xml:space="preserve">Tecnólogo en Redes de la Información</w:t>
      </w:r>
    </w:p>
    <w:p>
      <w:pPr>
        <w:spacing w:after="0" w:before="240"/>
      </w:pPr>
    </w:p>
    <w:p>
      <w:pPr>
        <w:spacing w:after="60"/>
        <w:jc w:val="center"/>
      </w:pPr>
      <w:r>
        <w:rPr>
          <w:rFonts w:ascii="Arial" w:cs="Arial" w:eastAsia="Arial" w:hAnsi="Arial"/>
          <w:b w:val="false"/>
          <w:bCs w:val="false"/>
          <w:i w:val="false"/>
          <w:iCs w:val="false"/>
          <w:color w:val="666666"/>
          <w:sz w:val="24"/>
          <w:szCs w:val="24"/>
        </w:rPr>
        <w:t xml:space="preserve">Mayo 2025</w:t>
      </w:r>
    </w:p>
    <w:p>
      <w:pPr>
        <w:jc w:val="center"/>
      </w:pPr>
      <w:r>
        <w:rPr>
          <w:rFonts w:ascii="Arial" w:cs="Arial" w:eastAsia="Arial" w:hAnsi="Arial"/>
          <w:b w:val="false"/>
          <w:bCs w:val="false"/>
          <w:i w:val="false"/>
          <w:iCs w:val="false"/>
          <w:color w:val="666666"/>
          <w:sz w:val="24"/>
          <w:szCs w:val="24"/>
        </w:rPr>
        <w:t xml:space="preserve">Santo Domingo, República Dominicana</w:t>
      </w:r>
    </w:p>
    <w:p>
      <w:pPr>
        <w:sectPr>
          <w:pgSz w:w="12240" w:h="15840" w:orient="portrait"/>
          <w:pgMar w:top="1440" w:right="1440" w:bottom="1440" w:left="1440" w:header="708" w:footer="708" w:gutter="0"/>
          <w:pgNumType/>
          <w:docGrid w:linePitch="360"/>
        </w:sectPr>
      </w:pPr>
    </w:p>
    <w:p>
      <w:pPr>
        <w:spacing w:after="240" w:before="240" w:line="360" w:lineRule="auto"/>
        <w:jc w:val="center"/>
      </w:pPr>
      <w:r>
        <w:rPr>
          <w:rFonts w:ascii="Arial" w:cs="Arial" w:eastAsia="Arial" w:hAnsi="Arial"/>
          <w:b/>
          <w:bCs/>
          <w:i w:val="false"/>
          <w:iCs w:val="false"/>
          <w:color w:val="1a1a1a"/>
          <w:sz w:val="28"/>
          <w:szCs w:val="28"/>
        </w:rPr>
        <w:t xml:space="preserve">TABLA DE CONTENIDO</w:t>
      </w:r>
    </w:p>
    <w:p>
      <w:pPr>
        <w:spacing w:after="0" w:before="60"/>
      </w:pPr>
    </w:p>
    <w:p>
      <w:pPr>
        <w:spacing w:after="30" w:before="80" w:line="320" w:lineRule="auto"/>
        <w:ind/>
        <w:jc w:val="left"/>
      </w:pPr>
      <w:r>
        <w:rPr>
          <w:rFonts w:ascii="Arial" w:cs="Arial" w:eastAsia="Arial" w:hAnsi="Arial"/>
          <w:b/>
          <w:bCs/>
          <w:i w:val="false"/>
          <w:iCs w:val="false"/>
          <w:color w:val="1a1a1a"/>
          <w:sz w:val="22"/>
          <w:szCs w:val="22"/>
        </w:rPr>
        <w:t xml:space="preserve">CAPÍTULO 1: INTRODUCCIÓN Y CONTEXTO</w:t>
      </w:r>
    </w:p>
    <w:p>
      <w:pPr>
        <w:spacing w:after="30" w:before="30" w:line="320" w:lineRule="auto"/>
        <w:ind w:left="360"/>
        <w:jc w:val="left"/>
      </w:pPr>
      <w:r>
        <w:rPr>
          <w:rFonts w:ascii="Arial" w:cs="Arial" w:eastAsia="Arial" w:hAnsi="Arial"/>
          <w:b w:val="false"/>
          <w:bCs w:val="false"/>
          <w:i w:val="false"/>
          <w:iCs w:val="false"/>
          <w:color w:val="1a1a1a"/>
          <w:sz w:val="22"/>
          <w:szCs w:val="22"/>
        </w:rPr>
        <w:t xml:space="preserve">1.1 Introducción</w:t>
      </w:r>
    </w:p>
    <w:p>
      <w:pPr>
        <w:spacing w:after="30" w:before="30" w:line="320" w:lineRule="auto"/>
        <w:ind w:left="360"/>
        <w:jc w:val="left"/>
      </w:pPr>
      <w:r>
        <w:rPr>
          <w:rFonts w:ascii="Arial" w:cs="Arial" w:eastAsia="Arial" w:hAnsi="Arial"/>
          <w:b w:val="false"/>
          <w:bCs w:val="false"/>
          <w:i w:val="false"/>
          <w:iCs w:val="false"/>
          <w:color w:val="1a1a1a"/>
          <w:sz w:val="22"/>
          <w:szCs w:val="22"/>
        </w:rPr>
        <w:t xml:space="preserve">1.2 Justificación</w:t>
      </w:r>
    </w:p>
    <w:p>
      <w:pPr>
        <w:spacing w:after="30" w:before="30" w:line="320" w:lineRule="auto"/>
        <w:ind w:left="360"/>
        <w:jc w:val="left"/>
      </w:pPr>
      <w:r>
        <w:rPr>
          <w:rFonts w:ascii="Arial" w:cs="Arial" w:eastAsia="Arial" w:hAnsi="Arial"/>
          <w:b w:val="false"/>
          <w:bCs w:val="false"/>
          <w:i w:val="false"/>
          <w:iCs w:val="false"/>
          <w:color w:val="1a1a1a"/>
          <w:sz w:val="22"/>
          <w:szCs w:val="22"/>
        </w:rPr>
        <w:t xml:space="preserve">1.3 Planteamiento del problema</w:t>
      </w:r>
    </w:p>
    <w:p>
      <w:pPr>
        <w:spacing w:after="30" w:before="30" w:line="320" w:lineRule="auto"/>
        <w:ind w:left="360"/>
        <w:jc w:val="left"/>
      </w:pPr>
      <w:r>
        <w:rPr>
          <w:rFonts w:ascii="Arial" w:cs="Arial" w:eastAsia="Arial" w:hAnsi="Arial"/>
          <w:b w:val="false"/>
          <w:bCs w:val="false"/>
          <w:i w:val="false"/>
          <w:iCs w:val="false"/>
          <w:color w:val="1a1a1a"/>
          <w:sz w:val="22"/>
          <w:szCs w:val="22"/>
        </w:rPr>
        <w:t xml:space="preserve">1.4 Objetivos de la investigación</w:t>
      </w:r>
    </w:p>
    <w:p>
      <w:pPr>
        <w:spacing w:after="30" w:before="80" w:line="320" w:lineRule="auto"/>
        <w:ind/>
        <w:jc w:val="left"/>
      </w:pPr>
      <w:r>
        <w:rPr>
          <w:rFonts w:ascii="Arial" w:cs="Arial" w:eastAsia="Arial" w:hAnsi="Arial"/>
          <w:b/>
          <w:bCs/>
          <w:i w:val="false"/>
          <w:iCs w:val="false"/>
          <w:color w:val="1a1a1a"/>
          <w:sz w:val="22"/>
          <w:szCs w:val="22"/>
        </w:rPr>
        <w:t xml:space="preserve">CAPÍTULO 2: FUNDAMENTOS TEÓRICOS</w:t>
      </w:r>
    </w:p>
    <w:p>
      <w:pPr>
        <w:spacing w:after="30" w:before="30" w:line="320" w:lineRule="auto"/>
        <w:ind w:left="360"/>
        <w:jc w:val="left"/>
      </w:pPr>
      <w:r>
        <w:rPr>
          <w:rFonts w:ascii="Arial" w:cs="Arial" w:eastAsia="Arial" w:hAnsi="Arial"/>
          <w:b w:val="false"/>
          <w:bCs w:val="false"/>
          <w:i w:val="false"/>
          <w:iCs w:val="false"/>
          <w:color w:val="1a1a1a"/>
          <w:sz w:val="22"/>
          <w:szCs w:val="22"/>
        </w:rPr>
        <w:t xml:space="preserve">2.1 Antecedentes</w:t>
      </w:r>
    </w:p>
    <w:p>
      <w:pPr>
        <w:spacing w:after="30" w:before="30" w:line="320" w:lineRule="auto"/>
        <w:ind w:left="360"/>
        <w:jc w:val="left"/>
      </w:pPr>
      <w:r>
        <w:rPr>
          <w:rFonts w:ascii="Arial" w:cs="Arial" w:eastAsia="Arial" w:hAnsi="Arial"/>
          <w:b w:val="false"/>
          <w:bCs w:val="false"/>
          <w:i w:val="false"/>
          <w:iCs w:val="false"/>
          <w:color w:val="1a1a1a"/>
          <w:sz w:val="22"/>
          <w:szCs w:val="22"/>
        </w:rPr>
        <w:t xml:space="preserve">2.2 Bases teóricas</w:t>
      </w:r>
    </w:p>
    <w:p>
      <w:pPr>
        <w:spacing w:after="30" w:before="80" w:line="320" w:lineRule="auto"/>
        <w:ind/>
        <w:jc w:val="left"/>
      </w:pPr>
      <w:r>
        <w:rPr>
          <w:rFonts w:ascii="Arial" w:cs="Arial" w:eastAsia="Arial" w:hAnsi="Arial"/>
          <w:b/>
          <w:bCs/>
          <w:i w:val="false"/>
          <w:iCs w:val="false"/>
          <w:color w:val="1a1a1a"/>
          <w:sz w:val="22"/>
          <w:szCs w:val="22"/>
        </w:rPr>
        <w:t xml:space="preserve">CAPÍTULO 3: METODOLOGÍA</w:t>
      </w:r>
    </w:p>
    <w:p>
      <w:pPr>
        <w:spacing w:after="30" w:before="80" w:line="320" w:lineRule="auto"/>
        <w:ind/>
        <w:jc w:val="left"/>
      </w:pPr>
      <w:r>
        <w:rPr>
          <w:rFonts w:ascii="Arial" w:cs="Arial" w:eastAsia="Arial" w:hAnsi="Arial"/>
          <w:b/>
          <w:bCs/>
          <w:i w:val="false"/>
          <w:iCs w:val="false"/>
          <w:color w:val="1a1a1a"/>
          <w:sz w:val="22"/>
          <w:szCs w:val="22"/>
        </w:rPr>
        <w:t xml:space="preserve">CAPÍTULO 4: ANÁLISIS DE RESULTADOS</w:t>
      </w:r>
    </w:p>
    <w:p>
      <w:pPr>
        <w:spacing w:after="30" w:before="80" w:line="320" w:lineRule="auto"/>
        <w:ind/>
        <w:jc w:val="left"/>
      </w:pPr>
      <w:r>
        <w:rPr>
          <w:rFonts w:ascii="Arial" w:cs="Arial" w:eastAsia="Arial" w:hAnsi="Arial"/>
          <w:b/>
          <w:bCs/>
          <w:i w:val="false"/>
          <w:iCs w:val="false"/>
          <w:color w:val="1a1a1a"/>
          <w:sz w:val="22"/>
          <w:szCs w:val="22"/>
        </w:rPr>
        <w:t xml:space="preserve">CAPÍTULO 5: PROPUESTA E IMPLEMENTACIÓN</w:t>
      </w:r>
    </w:p>
    <w:p>
      <w:pPr>
        <w:spacing w:after="30" w:before="80" w:line="320" w:lineRule="auto"/>
        <w:ind/>
        <w:jc w:val="left"/>
      </w:pPr>
      <w:r>
        <w:rPr>
          <w:rFonts w:ascii="Arial" w:cs="Arial" w:eastAsia="Arial" w:hAnsi="Arial"/>
          <w:b/>
          <w:bCs/>
          <w:i w:val="false"/>
          <w:iCs w:val="false"/>
          <w:color w:val="1a1a1a"/>
          <w:sz w:val="22"/>
          <w:szCs w:val="22"/>
        </w:rPr>
        <w:t xml:space="preserve">CAPÍTULO 6: CONCLUSIONES</w:t>
      </w:r>
    </w:p>
    <w:p>
      <w:pPr>
        <w:spacing w:after="30" w:before="80" w:line="320" w:lineRule="auto"/>
        <w:ind/>
        <w:jc w:val="left"/>
      </w:pPr>
      <w:r>
        <w:rPr>
          <w:rFonts w:ascii="Arial" w:cs="Arial" w:eastAsia="Arial" w:hAnsi="Arial"/>
          <w:b/>
          <w:bCs/>
          <w:i w:val="false"/>
          <w:iCs w:val="false"/>
          <w:color w:val="1a1a1a"/>
          <w:sz w:val="22"/>
          <w:szCs w:val="22"/>
        </w:rPr>
        <w:t xml:space="preserve">CAPÍTULO 7: RECOMENDACIONES</w:t>
      </w:r>
    </w:p>
    <w:p>
      <w:pPr>
        <w:spacing w:after="30" w:before="30" w:line="320" w:lineRule="auto"/>
        <w:ind w:left="360"/>
        <w:jc w:val="left"/>
      </w:pPr>
      <w:r>
        <w:rPr>
          <w:rFonts w:ascii="Arial" w:cs="Arial" w:eastAsia="Arial" w:hAnsi="Arial"/>
          <w:b w:val="false"/>
          <w:bCs w:val="false"/>
          <w:i w:val="false"/>
          <w:iCs w:val="false"/>
          <w:color w:val="1a1a1a"/>
          <w:sz w:val="22"/>
          <w:szCs w:val="22"/>
        </w:rPr>
        <w:t xml:space="preserve">REFERENCIAS</w:t>
      </w:r>
    </w:p>
    <w:p>
      <w:pPr>
        <w:spacing w:after="30" w:before="30" w:line="320" w:lineRule="auto"/>
        <w:ind w:left="360"/>
        <w:jc w:val="left"/>
      </w:pPr>
      <w:r>
        <w:rPr>
          <w:rFonts w:ascii="Arial" w:cs="Arial" w:eastAsia="Arial" w:hAnsi="Arial"/>
          <w:b w:val="false"/>
          <w:bCs w:val="false"/>
          <w:i w:val="false"/>
          <w:iCs w:val="false"/>
          <w:color w:val="1a1a1a"/>
          <w:sz w:val="22"/>
          <w:szCs w:val="22"/>
        </w:rPr>
        <w:t xml:space="preserve">GLOSARIO</w:t>
      </w:r>
    </w:p>
    <w:p>
      <w:pPr>
        <w:sectPr>
          <w:headerReference w:type="default" r:id="rId7"/>
          <w:footerReference w:type="default" r:id="rId8"/>
          <w:pgSz w:w="12240" w:h="15840" w:orient="portrait"/>
          <w:pgMar w:top="1440" w:right="1440" w:bottom="1440" w:left="1440" w:header="708" w:footer="708" w:gutter="0"/>
          <w:pgNumType/>
          <w:docGrid w:linePitch="360"/>
        </w:sectPr>
      </w:pPr>
    </w:p>
    <w:p>
      <w:pPr>
        <w:spacing w:after="240" w:before="240" w:line="360" w:lineRule="auto"/>
        <w:jc w:val="center"/>
      </w:pPr>
      <w:r>
        <w:rPr>
          <w:rFonts w:ascii="Arial" w:cs="Arial" w:eastAsia="Arial" w:hAnsi="Arial"/>
          <w:b/>
          <w:bCs/>
          <w:i w:val="false"/>
          <w:iCs w:val="false"/>
          <w:color w:val="1a1a1a"/>
          <w:sz w:val="28"/>
          <w:szCs w:val="28"/>
        </w:rPr>
        <w:t xml:space="preserve">CAPÍTULO 1: INTRODUCCIÓN Y CONTEXTO</w:t>
      </w:r>
    </w:p>
    <w:p>
      <w:pPr>
        <w:spacing w:after="120" w:before="180" w:line="360" w:lineRule="auto"/>
        <w:jc w:val="left"/>
      </w:pPr>
      <w:r>
        <w:rPr>
          <w:rFonts w:ascii="Arial" w:cs="Arial" w:eastAsia="Arial" w:hAnsi="Arial"/>
          <w:b/>
          <w:bCs/>
          <w:i w:val="false"/>
          <w:iCs w:val="false"/>
          <w:color w:val="1a1a1a"/>
          <w:sz w:val="24"/>
          <w:szCs w:val="24"/>
        </w:rPr>
        <w:t xml:space="preserve">1.1 Introducción</w:t>
      </w:r>
    </w:p>
    <w:p>
      <w:pPr>
        <w:spacing w:line="360" w:lineRule="auto"/>
        <w:jc w:val="both"/>
      </w:pPr>
      <w:r>
        <w:rPr>
          <w:rFonts w:ascii="Arial" w:cs="Arial" w:eastAsia="Arial" w:hAnsi="Arial"/>
          <w:b w:val="false"/>
          <w:bCs w:val="false"/>
          <w:i w:val="false"/>
          <w:iCs w:val="false"/>
          <w:color w:val="1a1a1a"/>
          <w:sz w:val="24"/>
          <w:szCs w:val="24"/>
        </w:rPr>
        <w:t xml:space="preserve">MedSecure es una plataforma médica web segura diseñada para proteger la información de salud protegida (PHI) mediante la integración de 14 capas de ciberseguridad. El proyecto surge como respuesta a una realidad alarmante: el sector salud es el objetivo número uno de ciberataques a nivel mundial. Según el IBM Cost of Data Breach Report 2024, el costo promedio de una violación de datos en el sector salud alcanzó los USD 11 millones por incidente, la cifra más alta entre todas las industrias (IBM Security, 2024).</w:t>
      </w:r>
    </w:p>
    <w:p>
      <w:pPr>
        <w:spacing w:line="360" w:lineRule="auto"/>
        <w:jc w:val="both"/>
      </w:pPr>
      <w:r>
        <w:rPr>
          <w:rFonts w:ascii="Arial" w:cs="Arial" w:eastAsia="Arial" w:hAnsi="Arial"/>
          <w:b w:val="false"/>
          <w:bCs w:val="false"/>
          <w:i w:val="false"/>
          <w:iCs w:val="false"/>
          <w:color w:val="1a1a1a"/>
          <w:sz w:val="24"/>
          <w:szCs w:val="24"/>
        </w:rPr>
        <w:t xml:space="preserve">Los registros médicos tienen un valor en el mercado negro hasta diez veces superior al de una tarjeta de crédito. Mientras que un número de tarjeta de crédito se cotiza entre 5 y 10 dólares, un expediente médico completo puede alcanzar los 1,000 dólares (HIPAA Journal, 2024). Este valor se debe a que los datos médicos contienen información personal exhaustiva: nombre, dirección, fecha de nacimiento, número de seguro social, historial clínico, diagnósticos y resultados de laboratorio.</w:t>
      </w:r>
    </w:p>
    <w:p>
      <w:pPr>
        <w:spacing w:line="360" w:lineRule="auto"/>
        <w:jc w:val="both"/>
      </w:pPr>
      <w:r>
        <w:rPr>
          <w:rFonts w:ascii="Arial" w:cs="Arial" w:eastAsia="Arial" w:hAnsi="Arial"/>
          <w:b w:val="false"/>
          <w:bCs w:val="false"/>
          <w:i w:val="false"/>
          <w:iCs w:val="false"/>
          <w:color w:val="1a1a1a"/>
          <w:sz w:val="24"/>
          <w:szCs w:val="24"/>
        </w:rPr>
        <w:t xml:space="preserve">El presente documento analiza la relación entre MedSecure y la tesina "Propuesta de implementación y migración de sistema de telefonía IP en el laboratorio Patria Rivas", presentada ante el Instituto Tecnológico de las Américas (ITLA) para la carrera de Tecnólogo en Redes de la Información. Aunque ambos proyectos abordan dominios tecnológicos distintos — VoIP y seguridad en aplicaciones médicas —, comparten fundamentos esenciales de ciberseguridad en redes que los convierten en trabajos complementarios dentro del campo de las Redes de la Información.</w:t>
      </w:r>
    </w:p>
    <w:p>
      <w:pPr>
        <w:spacing w:after="120" w:before="180" w:line="360" w:lineRule="auto"/>
        <w:jc w:val="left"/>
      </w:pPr>
      <w:r>
        <w:rPr>
          <w:rFonts w:ascii="Arial" w:cs="Arial" w:eastAsia="Arial" w:hAnsi="Arial"/>
          <w:b/>
          <w:bCs/>
          <w:i w:val="false"/>
          <w:iCs w:val="false"/>
          <w:color w:val="1a1a1a"/>
          <w:sz w:val="24"/>
          <w:szCs w:val="24"/>
        </w:rPr>
        <w:t xml:space="preserve">1.2 Justificación</w:t>
      </w:r>
    </w:p>
    <w:p>
      <w:pPr>
        <w:spacing w:line="360" w:lineRule="auto"/>
        <w:jc w:val="both"/>
      </w:pPr>
      <w:r>
        <w:rPr>
          <w:rFonts w:ascii="Arial" w:cs="Arial" w:eastAsia="Arial" w:hAnsi="Arial"/>
          <w:b w:val="false"/>
          <w:bCs w:val="false"/>
          <w:i w:val="false"/>
          <w:iCs w:val="false"/>
          <w:color w:val="1a1a1a"/>
          <w:sz w:val="24"/>
          <w:szCs w:val="24"/>
        </w:rPr>
        <w:t xml:space="preserve">La necesidad de sistemas médicos con ciberseguridad robusta queda demostrada por las estadísticas de brechas de datos en hospitales. El HIPAA Journal reportó que solo en 2024 se registraron más de 725 violaciones de datos en el sector salud en Estados Unidos, afectando a más de 100 millones de personas (HIPAA Journal, 2024). Casos como el ransomware WannaCry en el NHS del Reino Unido (2017), que paralizó 80,000 dispositivos médicos, y el ataque al Hospital Universitario de Düsseldorf (2020), que resultó en la primera muerte documentada relacionada con ransomware en un hospital, evidencian que las consecuencias van más allá de lo financiero: afectan directamente la vida de los pacientes.</w:t>
      </w:r>
    </w:p>
    <w:p>
      <w:pPr>
        <w:spacing w:line="360" w:lineRule="auto"/>
        <w:jc w:val="both"/>
      </w:pPr>
      <w:r>
        <w:rPr>
          <w:rFonts w:ascii="Arial" w:cs="Arial" w:eastAsia="Arial" w:hAnsi="Arial"/>
          <w:b w:val="false"/>
          <w:bCs w:val="false"/>
          <w:i w:val="false"/>
          <w:iCs w:val="false"/>
          <w:color w:val="1a1a1a"/>
          <w:sz w:val="24"/>
          <w:szCs w:val="24"/>
        </w:rPr>
        <w:t xml:space="preserve">En República Dominicana, la Ley 172-13 sobre Protección de Datos de Carácter Personal establece el marco legal para la protección de datos. Sin embargo, la adopción de medidas de ciberseguridad en el sector salud local aún es incipiente. MedSecure propone un modelo replicable que cualquier institución de salud dominicana pueda implementar para cumplir con estándares internacionales como HIPAA, GDPR y OWASP sin incurrir en costos de licenciamiento prohibitivos.</w:t>
      </w:r>
    </w:p>
    <w:p>
      <w:pPr>
        <w:spacing w:after="120" w:before="180" w:line="360" w:lineRule="auto"/>
        <w:jc w:val="left"/>
      </w:pPr>
      <w:r>
        <w:rPr>
          <w:rFonts w:ascii="Arial" w:cs="Arial" w:eastAsia="Arial" w:hAnsi="Arial"/>
          <w:b/>
          <w:bCs/>
          <w:i w:val="false"/>
          <w:iCs w:val="false"/>
          <w:color w:val="1a1a1a"/>
          <w:sz w:val="24"/>
          <w:szCs w:val="24"/>
        </w:rPr>
        <w:t xml:space="preserve">1.3 Planteamiento del problema</w:t>
      </w:r>
    </w:p>
    <w:p>
      <w:pPr>
        <w:spacing w:line="360" w:lineRule="auto"/>
        <w:jc w:val="both"/>
      </w:pPr>
      <w:r>
        <w:rPr>
          <w:rFonts w:ascii="Arial" w:cs="Arial" w:eastAsia="Arial" w:hAnsi="Arial"/>
          <w:b w:val="false"/>
          <w:bCs w:val="false"/>
          <w:i w:val="false"/>
          <w:iCs w:val="false"/>
          <w:color w:val="1a1a1a"/>
          <w:sz w:val="24"/>
          <w:szCs w:val="24"/>
        </w:rPr>
        <w:t xml:space="preserve">Los sistemas médicos actuales carecen de capas de seguridad suficientes para proteger datos PHI. La mayoría de las plataformas de gestión de expedientes médicos en el mercado fueron diseñadas sin considerar la seguridad desde sus etapas iniciales, lo que resulta en vulnerabilidades arquitectónicas difíciles de corregir posteriormente. Este problema expone a pacientes y proveedores a riesgos legales (multas por incumplimiento normativo), financieros (costos de remediación de brechas) y de privacidad (exposición de datos sensibles).</w:t>
      </w:r>
    </w:p>
    <w:p>
      <w:pPr>
        <w:spacing w:line="360" w:lineRule="auto"/>
        <w:jc w:val="both"/>
      </w:pPr>
      <w:r>
        <w:rPr>
          <w:rFonts w:ascii="Arial" w:cs="Arial" w:eastAsia="Arial" w:hAnsi="Arial"/>
          <w:b w:val="false"/>
          <w:bCs w:val="false"/>
          <w:i w:val="false"/>
          <w:iCs w:val="false"/>
          <w:color w:val="1a1a1a"/>
          <w:sz w:val="24"/>
          <w:szCs w:val="24"/>
        </w:rPr>
        <w:t xml:space="preserve">MedSecure aborda este problema desde su génesis, aplicando el principio de "security by design" mediante 14 capas de ciberseguridad que cubren desde la autenticación multifactor hasta el cumplimiento normativo.</w:t>
      </w:r>
    </w:p>
    <w:p>
      <w:pPr>
        <w:spacing w:after="120" w:before="180" w:line="360" w:lineRule="auto"/>
        <w:jc w:val="left"/>
      </w:pPr>
      <w:r>
        <w:rPr>
          <w:rFonts w:ascii="Arial" w:cs="Arial" w:eastAsia="Arial" w:hAnsi="Arial"/>
          <w:b/>
          <w:bCs/>
          <w:i w:val="false"/>
          <w:iCs w:val="false"/>
          <w:color w:val="1a1a1a"/>
          <w:sz w:val="24"/>
          <w:szCs w:val="24"/>
        </w:rPr>
        <w:t xml:space="preserve">1.4 Objetivos de la investigación</w:t>
      </w:r>
    </w:p>
    <w:p>
      <w:pPr>
        <w:spacing w:after="80" w:before="120" w:line="360" w:lineRule="auto"/>
        <w:jc w:val="left"/>
      </w:pPr>
      <w:r>
        <w:rPr>
          <w:rFonts w:ascii="Arial" w:cs="Arial" w:eastAsia="Arial" w:hAnsi="Arial"/>
          <w:b/>
          <w:bCs/>
          <w:i w:val="false"/>
          <w:iCs w:val="false"/>
          <w:color w:val="1a1a1a"/>
          <w:sz w:val="24"/>
          <w:szCs w:val="24"/>
        </w:rPr>
        <w:t xml:space="preserve">1.4.1 Objetivo general</w:t>
      </w:r>
    </w:p>
    <w:p>
      <w:pPr>
        <w:spacing w:line="360" w:lineRule="auto"/>
        <w:jc w:val="both"/>
      </w:pPr>
      <w:r>
        <w:rPr>
          <w:rFonts w:ascii="Arial" w:cs="Arial" w:eastAsia="Arial" w:hAnsi="Arial"/>
          <w:b w:val="false"/>
          <w:bCs w:val="false"/>
          <w:i w:val="false"/>
          <w:iCs w:val="false"/>
          <w:color w:val="1a1a1a"/>
          <w:sz w:val="24"/>
          <w:szCs w:val="24"/>
        </w:rPr>
        <w:t xml:space="preserve">Demostrar mediante implementación práctica cómo una plataforma médica puede integrar 14 capas de ciberseguridad siguiendo estándares internacionales (HIPAA, GDPR, OWASP, ISO 27001), sirviendo como modelo replicable para instituciones de salud en República Dominicana.</w:t>
      </w:r>
    </w:p>
    <w:p>
      <w:pPr>
        <w:spacing w:after="80" w:before="120" w:line="360" w:lineRule="auto"/>
        <w:jc w:val="left"/>
      </w:pPr>
      <w:r>
        <w:rPr>
          <w:rFonts w:ascii="Arial" w:cs="Arial" w:eastAsia="Arial" w:hAnsi="Arial"/>
          <w:b/>
          <w:bCs/>
          <w:i w:val="false"/>
          <w:iCs w:val="false"/>
          <w:color w:val="1a1a1a"/>
          <w:sz w:val="24"/>
          <w:szCs w:val="24"/>
        </w:rPr>
        <w:t xml:space="preserve">1.4.2 Objetivos específicos</w:t>
      </w:r>
    </w:p>
    <w:p>
      <w:pPr>
        <w:spacing w:line="360" w:lineRule="auto"/>
        <w:jc w:val="both"/>
      </w:pPr>
      <w:r>
        <w:rPr>
          <w:rFonts w:ascii="Arial" w:cs="Arial" w:eastAsia="Arial" w:hAnsi="Arial"/>
          <w:b w:val="false"/>
          <w:bCs w:val="false"/>
          <w:i w:val="false"/>
          <w:iCs w:val="false"/>
          <w:color w:val="1a1a1a"/>
          <w:sz w:val="24"/>
          <w:szCs w:val="24"/>
        </w:rPr>
        <w:t xml:space="preserve">Identificar las principales amenazas a sistemas médicos digitales mediante el análisis de casos reales de brechas de datos en el sector salud.</w:t>
      </w:r>
    </w:p>
    <w:p>
      <w:pPr>
        <w:spacing w:line="360" w:lineRule="auto"/>
        <w:jc w:val="both"/>
      </w:pPr>
      <w:r>
        <w:rPr>
          <w:rFonts w:ascii="Arial" w:cs="Arial" w:eastAsia="Arial" w:hAnsi="Arial"/>
          <w:b w:val="false"/>
          <w:bCs w:val="false"/>
          <w:i w:val="false"/>
          <w:iCs w:val="false"/>
          <w:color w:val="1a1a1a"/>
          <w:sz w:val="24"/>
          <w:szCs w:val="24"/>
        </w:rPr>
        <w:t xml:space="preserve">Implementar autenticación multifactor (MFA) en un entorno clínico utilizando TOTP y JWT con RS256, garantizando que solo usuarios autorizados accedan a datos PHI.</w:t>
      </w:r>
    </w:p>
    <w:p>
      <w:pPr>
        <w:spacing w:line="360" w:lineRule="auto"/>
        <w:jc w:val="both"/>
      </w:pPr>
      <w:r>
        <w:rPr>
          <w:rFonts w:ascii="Arial" w:cs="Arial" w:eastAsia="Arial" w:hAnsi="Arial"/>
          <w:b w:val="false"/>
          <w:bCs w:val="false"/>
          <w:i w:val="false"/>
          <w:iCs w:val="false"/>
          <w:color w:val="1a1a1a"/>
          <w:sz w:val="24"/>
          <w:szCs w:val="24"/>
        </w:rPr>
        <w:t xml:space="preserve">Aplicar cifrado AES-256-GCM a datos PHI en reposo con un vector de inicialización único por campo, asegurando la confidencialidad incluso si la base de datos es comprometida.</w:t>
      </w:r>
    </w:p>
    <w:p>
      <w:pPr>
        <w:spacing w:line="360" w:lineRule="auto"/>
        <w:jc w:val="both"/>
      </w:pPr>
      <w:r>
        <w:rPr>
          <w:rFonts w:ascii="Arial" w:cs="Arial" w:eastAsia="Arial" w:hAnsi="Arial"/>
          <w:b w:val="false"/>
          <w:bCs w:val="false"/>
          <w:i w:val="false"/>
          <w:iCs w:val="false"/>
          <w:color w:val="1a1a1a"/>
          <w:sz w:val="24"/>
          <w:szCs w:val="24"/>
        </w:rPr>
        <w:t xml:space="preserve">Desarrollar un sistema de auditoría inmutable que garantice trazabilidad completa de todos los accesos a datos médicos, cumpliendo con los requisitos de HIPAA Security Rule y GDPR Artículo 5(2).</w:t>
      </w:r>
    </w:p>
    <w:p>
      <w:pPr>
        <w:spacing w:line="360" w:lineRule="auto"/>
        <w:jc w:val="both"/>
      </w:pPr>
      <w:r>
        <w:rPr>
          <w:rFonts w:ascii="Arial" w:cs="Arial" w:eastAsia="Arial" w:hAnsi="Arial"/>
          <w:b w:val="false"/>
          <w:bCs w:val="false"/>
          <w:i w:val="false"/>
          <w:iCs w:val="false"/>
          <w:color w:val="1a1a1a"/>
          <w:sz w:val="24"/>
          <w:szCs w:val="24"/>
        </w:rPr>
        <w:t xml:space="preserve">Garantizar cumplimiento con HIPAA y GDPR Artículo 17 (derecho al olvido) mediante endpoints específicos de anonimización de datos.</w:t>
      </w:r>
    </w:p>
    <w:p>
      <w:pPr>
        <w:spacing w:after="240" w:before="240" w:line="360" w:lineRule="auto"/>
        <w:jc w:val="center"/>
      </w:pPr>
      <w:r>
        <w:rPr>
          <w:rFonts w:ascii="Arial" w:cs="Arial" w:eastAsia="Arial" w:hAnsi="Arial"/>
          <w:b/>
          <w:bCs/>
          <w:i w:val="false"/>
          <w:iCs w:val="false"/>
          <w:color w:val="1a1a1a"/>
          <w:sz w:val="28"/>
          <w:szCs w:val="28"/>
        </w:rPr>
        <w:t xml:space="preserve">CAPÍTULO 2: FUNDAMENTOS TEÓRICOS</w:t>
      </w:r>
    </w:p>
    <w:p>
      <w:pPr>
        <w:spacing w:after="120" w:before="180" w:line="360" w:lineRule="auto"/>
        <w:jc w:val="left"/>
      </w:pPr>
      <w:r>
        <w:rPr>
          <w:rFonts w:ascii="Arial" w:cs="Arial" w:eastAsia="Arial" w:hAnsi="Arial"/>
          <w:b/>
          <w:bCs/>
          <w:i w:val="false"/>
          <w:iCs w:val="false"/>
          <w:color w:val="1a1a1a"/>
          <w:sz w:val="24"/>
          <w:szCs w:val="24"/>
        </w:rPr>
        <w:t xml:space="preserve">2.1 Antecedentes</w:t>
      </w:r>
    </w:p>
    <w:p>
      <w:pPr>
        <w:spacing w:after="80" w:before="120" w:line="360" w:lineRule="auto"/>
        <w:jc w:val="left"/>
      </w:pPr>
      <w:r>
        <w:rPr>
          <w:rFonts w:ascii="Arial" w:cs="Arial" w:eastAsia="Arial" w:hAnsi="Arial"/>
          <w:b/>
          <w:bCs/>
          <w:i w:val="false"/>
          <w:iCs w:val="false"/>
          <w:color w:val="1a1a1a"/>
          <w:sz w:val="24"/>
          <w:szCs w:val="24"/>
        </w:rPr>
        <w:t xml:space="preserve">2.1.1 Antecedentes internacionales</w:t>
      </w:r>
    </w:p>
    <w:p>
      <w:pPr>
        <w:spacing w:line="360" w:lineRule="auto"/>
        <w:jc w:val="both"/>
      </w:pPr>
      <w:r>
        <w:rPr>
          <w:rFonts w:ascii="Arial" w:cs="Arial" w:eastAsia="Arial" w:hAnsi="Arial"/>
          <w:b w:val="false"/>
          <w:bCs w:val="false"/>
          <w:i w:val="false"/>
          <w:iCs w:val="false"/>
          <w:color w:val="1a1a1a"/>
          <w:sz w:val="24"/>
          <w:szCs w:val="24"/>
        </w:rPr>
        <w:t xml:space="preserve">El sector salud ha sido blanco de ataques cibernéticos de gran escala en la última década. Algunos de los casos más significativos incluyen:</w:t>
      </w:r>
    </w:p>
    <w:p>
      <w:pPr>
        <w:spacing w:line="360" w:lineRule="auto"/>
        <w:jc w:val="both"/>
      </w:pPr>
      <w:r>
        <w:rPr>
          <w:rFonts w:ascii="Arial" w:cs="Arial" w:eastAsia="Arial" w:hAnsi="Arial"/>
          <w:b w:val="false"/>
          <w:bCs w:val="false"/>
          <w:i w:val="false"/>
          <w:iCs w:val="false"/>
          <w:color w:val="1a1a1a"/>
          <w:sz w:val="24"/>
          <w:szCs w:val="24"/>
        </w:rPr>
        <w:t xml:space="preserve">Ransomware WannaCry en el NHS del Reino Unido (2017): Este ataque afectó al 80% de los trusts del National Health Service, cifrando más de 700,000 dispositivos y obligando a cancelar 19,000 citas médicas. El ataque explotó la vulnerabilidad EternalBlue en sistemas Windows sin parchear, demostrando la importancia de la gestión de vulnerabilidades en entornos médicos (National Audit Office, 2018).</w:t>
      </w:r>
    </w:p>
    <w:p>
      <w:pPr>
        <w:spacing w:line="360" w:lineRule="auto"/>
        <w:jc w:val="both"/>
      </w:pPr>
      <w:r>
        <w:rPr>
          <w:rFonts w:ascii="Arial" w:cs="Arial" w:eastAsia="Arial" w:hAnsi="Arial"/>
          <w:b w:val="false"/>
          <w:bCs w:val="false"/>
          <w:i w:val="false"/>
          <w:iCs w:val="false"/>
          <w:color w:val="1a1a1a"/>
          <w:sz w:val="24"/>
          <w:szCs w:val="24"/>
        </w:rPr>
        <w:t xml:space="preserve">Brecha de Anthem Healthcare (2015): El mayor asegurador de salud de Estados Unidos sufrió una violación que expuso 78.8 millones de registros médicos. Los atacantes obtuvieron acceso mediante un spear phishing a un empleado con privilegios administrativos. El costo total de la brecha superó los 115 millones de dólares (Anthem Inc., 2015).</w:t>
      </w:r>
    </w:p>
    <w:p>
      <w:pPr>
        <w:spacing w:line="360" w:lineRule="auto"/>
        <w:jc w:val="both"/>
      </w:pPr>
      <w:r>
        <w:rPr>
          <w:rFonts w:ascii="Arial" w:cs="Arial" w:eastAsia="Arial" w:hAnsi="Arial"/>
          <w:b w:val="false"/>
          <w:bCs w:val="false"/>
          <w:i w:val="false"/>
          <w:iCs w:val="false"/>
          <w:color w:val="1a1a1a"/>
          <w:sz w:val="24"/>
          <w:szCs w:val="24"/>
        </w:rPr>
        <w:t xml:space="preserve">Ataque al Hospital Universitario de Düsseldorf (2020): Un ataque ransomware al sistema informático del hospital obligó a desviar pacientes de emergencia a otros centros. Una paciente que requería atención urgente falleció durante el traslado. Este caso constituye la primera muerte documentada directamente relacionada con un ciberataque hospitalario (Coventry &amp; Branley, 2018).</w:t>
      </w:r>
    </w:p>
    <w:p>
      <w:pPr>
        <w:spacing w:line="360" w:lineRule="auto"/>
        <w:jc w:val="both"/>
      </w:pPr>
      <w:r>
        <w:rPr>
          <w:rFonts w:ascii="Arial" w:cs="Arial" w:eastAsia="Arial" w:hAnsi="Arial"/>
          <w:b w:val="false"/>
          <w:bCs w:val="false"/>
          <w:i w:val="false"/>
          <w:iCs w:val="false"/>
          <w:color w:val="1a1a1a"/>
          <w:sz w:val="24"/>
          <w:szCs w:val="24"/>
        </w:rPr>
        <w:t xml:space="preserve">Brecha en el sistema de salud de Singapur (2018): El SingHealth HealthShield experimentó una violación que expuso los datos médicos personales de 1.5 millones de pacientes, incluyendo al primer ministro Lee Hsien Loong. El ataque demostró que incluso sistemas altamente regulados pueden ser comprometidos mediante técnicas avanzadas de APT (Advanced Persistent Threat) (Cheng et al., 2019).</w:t>
      </w:r>
    </w:p>
    <w:p>
      <w:pPr>
        <w:spacing w:after="80" w:before="120" w:line="360" w:lineRule="auto"/>
        <w:jc w:val="left"/>
      </w:pPr>
      <w:r>
        <w:rPr>
          <w:rFonts w:ascii="Arial" w:cs="Arial" w:eastAsia="Arial" w:hAnsi="Arial"/>
          <w:b/>
          <w:bCs/>
          <w:i w:val="false"/>
          <w:iCs w:val="false"/>
          <w:color w:val="1a1a1a"/>
          <w:sz w:val="24"/>
          <w:szCs w:val="24"/>
        </w:rPr>
        <w:t xml:space="preserve">2.1.2 Antecedentes nacionales (República Dominicana)</w:t>
      </w:r>
    </w:p>
    <w:p>
      <w:pPr>
        <w:spacing w:line="360" w:lineRule="auto"/>
        <w:jc w:val="both"/>
      </w:pPr>
      <w:r>
        <w:rPr>
          <w:rFonts w:ascii="Arial" w:cs="Arial" w:eastAsia="Arial" w:hAnsi="Arial"/>
          <w:b w:val="false"/>
          <w:bCs w:val="false"/>
          <w:i w:val="false"/>
          <w:iCs w:val="false"/>
          <w:color w:val="1a1a1a"/>
          <w:sz w:val="24"/>
          <w:szCs w:val="24"/>
        </w:rPr>
        <w:t xml:space="preserve">República Dominicana ha avanzado en la digitalización del sector salud, pero la ciberseguridad sigue siendo un desafío. La implementación del Sistema Nacional de Salud y la historia clínica única digital han creado nuevas superficies de ataque. La Ley 172-13 sobre Protección de Datos de Carácter Personal, promulgada en 2013, establece principios de consentimiento informado, minimización de datos y seguridad en el tratamiento. Sin embargo, la falta de regulaciones sectoriales específicas para salud dificulta la estandarización de medidas de seguridad.</w:t>
      </w:r>
    </w:p>
    <w:p>
      <w:pPr>
        <w:spacing w:line="360" w:lineRule="auto"/>
        <w:jc w:val="both"/>
      </w:pPr>
      <w:r>
        <w:rPr>
          <w:rFonts w:ascii="Arial" w:cs="Arial" w:eastAsia="Arial" w:hAnsi="Arial"/>
          <w:b w:val="false"/>
          <w:bCs w:val="false"/>
          <w:i w:val="false"/>
          <w:iCs w:val="false"/>
          <w:color w:val="1a1a1a"/>
          <w:sz w:val="24"/>
          <w:szCs w:val="24"/>
        </w:rPr>
        <w:t xml:space="preserve">MedSecure se posiciona como una solución que no solo cumple con la normativa dominicana, sino que anticipa los requisitos que probablemente serán exigidos en el futuro, alineándose con estándares internacionales como HIPAA y GDPR.</w:t>
      </w:r>
    </w:p>
    <w:p>
      <w:pPr>
        <w:spacing w:after="120" w:before="180" w:line="360" w:lineRule="auto"/>
        <w:jc w:val="left"/>
      </w:pPr>
      <w:r>
        <w:rPr>
          <w:rFonts w:ascii="Arial" w:cs="Arial" w:eastAsia="Arial" w:hAnsi="Arial"/>
          <w:b/>
          <w:bCs/>
          <w:i w:val="false"/>
          <w:iCs w:val="false"/>
          <w:color w:val="1a1a1a"/>
          <w:sz w:val="24"/>
          <w:szCs w:val="24"/>
        </w:rPr>
        <w:t xml:space="preserve">2.2 Bases teóricas</w:t>
      </w:r>
    </w:p>
    <w:p>
      <w:pPr>
        <w:spacing w:after="80" w:before="120" w:line="360" w:lineRule="auto"/>
        <w:jc w:val="left"/>
      </w:pPr>
      <w:r>
        <w:rPr>
          <w:rFonts w:ascii="Arial" w:cs="Arial" w:eastAsia="Arial" w:hAnsi="Arial"/>
          <w:b/>
          <w:bCs/>
          <w:i w:val="false"/>
          <w:iCs w:val="false"/>
          <w:color w:val="1a1a1a"/>
          <w:sz w:val="24"/>
          <w:szCs w:val="24"/>
        </w:rPr>
        <w:t xml:space="preserve">2.2.1 Ciberseguridad en el sector salud</w:t>
      </w:r>
    </w:p>
    <w:p>
      <w:pPr>
        <w:spacing w:line="360" w:lineRule="auto"/>
        <w:jc w:val="both"/>
      </w:pPr>
      <w:r>
        <w:rPr>
          <w:rFonts w:ascii="Arial" w:cs="Arial" w:eastAsia="Arial" w:hAnsi="Arial"/>
          <w:b w:val="false"/>
          <w:bCs w:val="false"/>
          <w:i w:val="false"/>
          <w:iCs w:val="false"/>
          <w:color w:val="1a1a1a"/>
          <w:sz w:val="24"/>
          <w:szCs w:val="24"/>
        </w:rPr>
        <w:t xml:space="preserve">La Protected Health Information (PHI) es cualquier información de salud creada, recibida, almacenada o transmitida por entidades cubiertas por HIPAA. Esto incluye registros médicos, historiales de tratamientos, resultados de pruebas, datos de facturación y cualquier información que pueda identificar al paciente (NIST, 2020). La PHI es particularmente valiosa porque, a diferencia de los números de tarjeta de crédito que pueden ser cancelados, los datos médicos son permanentes y tienen múltiples usos ilícitos: fraude de seguros, extorsión, obtención de medicamentos controlados y robo de identidad.</w:t>
      </w:r>
    </w:p>
    <w:p>
      <w:pPr>
        <w:spacing w:line="360" w:lineRule="auto"/>
        <w:jc w:val="both"/>
      </w:pPr>
      <w:r>
        <w:rPr>
          <w:rFonts w:ascii="Arial" w:cs="Arial" w:eastAsia="Arial" w:hAnsi="Arial"/>
          <w:b w:val="false"/>
          <w:bCs w:val="false"/>
          <w:i w:val="false"/>
          <w:iCs w:val="false"/>
          <w:color w:val="1a1a1a"/>
          <w:sz w:val="24"/>
          <w:szCs w:val="24"/>
        </w:rPr>
        <w:t xml:space="preserve">La seguridad en el sector salud requiere un enfoque de defensa en profundidad que aborde no solo las amenazas técnicas sino también los factores humanos y procesales. MedSecure implementa este enfoque mediante múltiples capas de seguridad que se refuerzan mutuamente.</w:t>
      </w:r>
    </w:p>
    <w:p>
      <w:pPr>
        <w:spacing w:after="80" w:before="120" w:line="360" w:lineRule="auto"/>
        <w:jc w:val="left"/>
      </w:pPr>
      <w:r>
        <w:rPr>
          <w:rFonts w:ascii="Arial" w:cs="Arial" w:eastAsia="Arial" w:hAnsi="Arial"/>
          <w:b/>
          <w:bCs/>
          <w:i w:val="false"/>
          <w:iCs w:val="false"/>
          <w:color w:val="1a1a1a"/>
          <w:sz w:val="24"/>
          <w:szCs w:val="24"/>
        </w:rPr>
        <w:t xml:space="preserve">2.2.2 HIPAA (Health Insurance Portability and Accountability Act)</w:t>
      </w:r>
    </w:p>
    <w:p>
      <w:pPr>
        <w:spacing w:line="360" w:lineRule="auto"/>
        <w:jc w:val="both"/>
      </w:pPr>
      <w:r>
        <w:rPr>
          <w:rFonts w:ascii="Arial" w:cs="Arial" w:eastAsia="Arial" w:hAnsi="Arial"/>
          <w:b w:val="false"/>
          <w:bCs w:val="false"/>
          <w:i w:val="false"/>
          <w:iCs w:val="false"/>
          <w:color w:val="1a1a1a"/>
          <w:sz w:val="24"/>
          <w:szCs w:val="24"/>
        </w:rPr>
        <w:t xml:space="preserve">HIPAA establece tres reglas principales que rigen la protección de datos médicos en Estados Unidos. Aunque es una ley estadounidense, sus principios han sido adoptados como estándar internacional para la seguridad de datos de salud:</w:t>
      </w:r>
    </w:p>
    <w:p>
      <w:pPr>
        <w:spacing w:line="360" w:lineRule="auto"/>
        <w:jc w:val="both"/>
      </w:pPr>
      <w:r>
        <w:rPr>
          <w:rFonts w:ascii="Arial" w:cs="Arial" w:eastAsia="Arial" w:hAnsi="Arial"/>
          <w:b w:val="false"/>
          <w:bCs w:val="false"/>
          <w:i w:val="false"/>
          <w:iCs w:val="false"/>
          <w:color w:val="1a1a1a"/>
          <w:sz w:val="24"/>
          <w:szCs w:val="24"/>
        </w:rPr>
        <w:t xml:space="preserve">Privacy Rule: Establece los estándares nacionales para la protección de información médica individual. MedSecure implementa esta regla mediante el control de acceso basado en roles (RBAC), la tokenización de identidades (patient_token UUID) y el cifrado de datos PHI a nivel de campo.</w:t>
      </w:r>
    </w:p>
    <w:p>
      <w:pPr>
        <w:spacing w:line="360" w:lineRule="auto"/>
        <w:jc w:val="both"/>
      </w:pPr>
      <w:r>
        <w:rPr>
          <w:rFonts w:ascii="Arial" w:cs="Arial" w:eastAsia="Arial" w:hAnsi="Arial"/>
          <w:b w:val="false"/>
          <w:bCs w:val="false"/>
          <w:i w:val="false"/>
          <w:iCs w:val="false"/>
          <w:color w:val="1a1a1a"/>
          <w:sz w:val="24"/>
          <w:szCs w:val="24"/>
        </w:rPr>
        <w:t xml:space="preserve">Security Rule: Especifica las salvaguardas administrativas, físicas y técnicas para proteger la PHI electrónica. MedSecure cumple con las salvaguardas técnicas requeridas: control de acceso (intersección única), auditoría de accesos (audit_logs inmutables), integridad de datos (AES-256-GCM), seguridad en transmisión (TLS 1.3) y autenticación de entidades (MFA con TOTP).</w:t>
      </w:r>
    </w:p>
    <w:p>
      <w:pPr>
        <w:spacing w:line="360" w:lineRule="auto"/>
        <w:jc w:val="both"/>
      </w:pPr>
      <w:r>
        <w:rPr>
          <w:rFonts w:ascii="Arial" w:cs="Arial" w:eastAsia="Arial" w:hAnsi="Arial"/>
          <w:b w:val="false"/>
          <w:bCs w:val="false"/>
          <w:i w:val="false"/>
          <w:iCs w:val="false"/>
          <w:color w:val="1a1a1a"/>
          <w:sz w:val="24"/>
          <w:szCs w:val="24"/>
        </w:rPr>
        <w:t xml:space="preserve">Breach Notification Rule: Exige notificar a los pacientes afectados, al Secretario de HHS y a los medios de comunicación en caso de brechas que afecten a más de 500 individuos. MedSecure facilita el cumplimiento de esta regla mediante logs de auditoría detallados que permiten determinar el alcance de cualquier acceso no autorizado.</w:t>
      </w:r>
    </w:p>
    <w:p>
      <w:pPr>
        <w:spacing w:after="80" w:before="120" w:line="360" w:lineRule="auto"/>
        <w:jc w:val="left"/>
      </w:pPr>
      <w:r>
        <w:rPr>
          <w:rFonts w:ascii="Arial" w:cs="Arial" w:eastAsia="Arial" w:hAnsi="Arial"/>
          <w:b/>
          <w:bCs/>
          <w:i w:val="false"/>
          <w:iCs w:val="false"/>
          <w:color w:val="1a1a1a"/>
          <w:sz w:val="24"/>
          <w:szCs w:val="24"/>
        </w:rPr>
        <w:t xml:space="preserve">2.2.3 GDPR (General Data Protection Regulation)</w:t>
      </w:r>
    </w:p>
    <w:p>
      <w:pPr>
        <w:spacing w:line="360" w:lineRule="auto"/>
        <w:jc w:val="both"/>
      </w:pPr>
      <w:r>
        <w:rPr>
          <w:rFonts w:ascii="Arial" w:cs="Arial" w:eastAsia="Arial" w:hAnsi="Arial"/>
          <w:b w:val="false"/>
          <w:bCs w:val="false"/>
          <w:i w:val="false"/>
          <w:iCs w:val="false"/>
          <w:color w:val="1a1a1a"/>
          <w:sz w:val="24"/>
          <w:szCs w:val="24"/>
        </w:rPr>
        <w:t xml:space="preserve">El Reglamento General de Protección de Datos de la Unión Europea establece principios aplicables a cualquier organización que procese datos de ciudadanos europeos. Los artículos más relevantes para MedSecure son:</w:t>
      </w:r>
    </w:p>
    <w:p>
      <w:pPr>
        <w:spacing w:line="360" w:lineRule="auto"/>
        <w:jc w:val="both"/>
      </w:pPr>
      <w:r>
        <w:rPr>
          <w:rFonts w:ascii="Arial" w:cs="Arial" w:eastAsia="Arial" w:hAnsi="Arial"/>
          <w:b w:val="false"/>
          <w:bCs w:val="false"/>
          <w:i w:val="false"/>
          <w:iCs w:val="false"/>
          <w:color w:val="1a1a1a"/>
          <w:sz w:val="24"/>
          <w:szCs w:val="24"/>
        </w:rPr>
        <w:t xml:space="preserve">Artículo 5: Principios relativos al tratamiento de datos. MedSecure implementa los principios de licitud, lealtad y transparencia (consentimiento informado), minimización de datos (solo datos esenciales), exactitud, limitación del plazo de conservación (GDPR-delete) e integridad y confidencialidad (cifrado).</w:t>
      </w:r>
    </w:p>
    <w:p>
      <w:pPr>
        <w:spacing w:line="360" w:lineRule="auto"/>
        <w:jc w:val="both"/>
      </w:pPr>
      <w:r>
        <w:rPr>
          <w:rFonts w:ascii="Arial" w:cs="Arial" w:eastAsia="Arial" w:hAnsi="Arial"/>
          <w:b w:val="false"/>
          <w:bCs w:val="false"/>
          <w:i w:val="false"/>
          <w:iCs w:val="false"/>
          <w:color w:val="1a1a1a"/>
          <w:sz w:val="24"/>
          <w:szCs w:val="24"/>
        </w:rPr>
        <w:t xml:space="preserve">Artículo 17: Derecho al olvido. MedSecure implementa un endpoint específico de anonimización (GDPR-delete) que permite a los pacientes solicitar la eliminación de sus datos personales, cumpliendo con los requisitos del artículo que establece el derecho a obtener la supresión de datos cuando ya no sean necesarios para los fines para los que fueron recogidos.</w:t>
      </w:r>
    </w:p>
    <w:p>
      <w:pPr>
        <w:spacing w:line="360" w:lineRule="auto"/>
        <w:jc w:val="both"/>
      </w:pPr>
      <w:r>
        <w:rPr>
          <w:rFonts w:ascii="Arial" w:cs="Arial" w:eastAsia="Arial" w:hAnsi="Arial"/>
          <w:b w:val="false"/>
          <w:bCs w:val="false"/>
          <w:i w:val="false"/>
          <w:iCs w:val="false"/>
          <w:color w:val="1a1a1a"/>
          <w:sz w:val="24"/>
          <w:szCs w:val="24"/>
        </w:rPr>
        <w:t xml:space="preserve">Artículo 25: Protección de datos desde el diseño y por defecto (privacy by design). MedSecure incorpora la protección de datos en cada etapa del desarrollo, no como una capa añadida posteriormente.</w:t>
      </w:r>
    </w:p>
    <w:p>
      <w:pPr>
        <w:spacing w:line="360" w:lineRule="auto"/>
        <w:jc w:val="both"/>
      </w:pPr>
      <w:r>
        <w:rPr>
          <w:rFonts w:ascii="Arial" w:cs="Arial" w:eastAsia="Arial" w:hAnsi="Arial"/>
          <w:b w:val="false"/>
          <w:bCs w:val="false"/>
          <w:i w:val="false"/>
          <w:iCs w:val="false"/>
          <w:color w:val="1a1a1a"/>
          <w:sz w:val="24"/>
          <w:szCs w:val="24"/>
        </w:rPr>
        <w:t xml:space="preserve">Artículo 32: Seguridad del tratamiento. MedSecure implementa medidas técnicas y organizativas apropiadas para garantizar un nivel de seguridad adecuado, incluyendo la seudonimización (tokenización) y el cifrado de datos personales.</w:t>
      </w:r>
    </w:p>
    <w:p>
      <w:pPr>
        <w:spacing w:after="80" w:before="120" w:line="360" w:lineRule="auto"/>
        <w:jc w:val="left"/>
      </w:pPr>
      <w:r>
        <w:rPr>
          <w:rFonts w:ascii="Arial" w:cs="Arial" w:eastAsia="Arial" w:hAnsi="Arial"/>
          <w:b/>
          <w:bCs/>
          <w:i w:val="false"/>
          <w:iCs w:val="false"/>
          <w:color w:val="1a1a1a"/>
          <w:sz w:val="24"/>
          <w:szCs w:val="24"/>
        </w:rPr>
        <w:t xml:space="preserve">2.2.4 OWASP Top 10 y su aplicación en MedSecure</w:t>
      </w:r>
    </w:p>
    <w:p>
      <w:pPr>
        <w:spacing w:line="360" w:lineRule="auto"/>
        <w:jc w:val="both"/>
      </w:pPr>
      <w:r>
        <w:rPr>
          <w:rFonts w:ascii="Arial" w:cs="Arial" w:eastAsia="Arial" w:hAnsi="Arial"/>
          <w:b w:val="false"/>
          <w:bCs w:val="false"/>
          <w:i w:val="false"/>
          <w:iCs w:val="false"/>
          <w:color w:val="1a1a1a"/>
          <w:sz w:val="24"/>
          <w:szCs w:val="24"/>
        </w:rPr>
        <w:t xml:space="preserve">El OWASP Top 10 es un documento de concienciación que representa un amplio consenso sobre los riesgos de seguridad más críticos para las aplicaciones web (OWASP Foundation, 2021). MedSecure implementa contramedidas específicas para cada una de estas categorías: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800"/>
            <w:shd w:fill="0F6E56" w:val="clear"/>
            <w:vAlign w:val="center"/>
          </w:tcPr>
          <w:p>
            <w:pPr>
              <w:spacing w:after="60" w:before="60"/>
              <w:jc w:val="center"/>
            </w:pPr>
            <w:r>
              <w:rPr>
                <w:rFonts w:ascii="Arial" w:cs="Arial" w:eastAsia="Arial" w:hAnsi="Arial"/>
                <w:b/>
                <w:bCs/>
                <w:i w:val="false"/>
                <w:iCs w:val="false"/>
                <w:color w:val="FFFFFF"/>
                <w:sz w:val="20"/>
                <w:szCs w:val="20"/>
              </w:rPr>
              <w:t xml:space="preserve">Vulnerabilidad OWASP</w:t>
            </w:r>
          </w:p>
        </w:tc>
        <w:tc>
          <w:tcPr>
            <w:tcW w:type="dxa" w:w="2600"/>
            <w:shd w:fill="0F6E56" w:val="clear"/>
            <w:vAlign w:val="center"/>
          </w:tcPr>
          <w:p>
            <w:pPr>
              <w:spacing w:after="60" w:before="60"/>
              <w:jc w:val="center"/>
            </w:pPr>
            <w:r>
              <w:rPr>
                <w:rFonts w:ascii="Arial" w:cs="Arial" w:eastAsia="Arial" w:hAnsi="Arial"/>
                <w:b/>
                <w:bCs/>
                <w:i w:val="false"/>
                <w:iCs w:val="false"/>
                <w:color w:val="FFFFFF"/>
                <w:sz w:val="20"/>
                <w:szCs w:val="20"/>
              </w:rPr>
              <w:t xml:space="preserve">Capa MedSecure</w:t>
            </w:r>
          </w:p>
        </w:tc>
        <w:tc>
          <w:tcPr>
            <w:tcW w:type="dxa" w:w="3960"/>
            <w:shd w:fill="0F6E56" w:val="clear"/>
            <w:vAlign w:val="center"/>
          </w:tcPr>
          <w:p>
            <w:pPr>
              <w:spacing w:after="60" w:before="60"/>
              <w:jc w:val="center"/>
            </w:pPr>
            <w:r>
              <w:rPr>
                <w:rFonts w:ascii="Arial" w:cs="Arial" w:eastAsia="Arial" w:hAnsi="Arial"/>
                <w:b/>
                <w:bCs/>
                <w:i w:val="false"/>
                <w:iCs w:val="false"/>
                <w:color w:val="FFFFFF"/>
                <w:sz w:val="20"/>
                <w:szCs w:val="20"/>
              </w:rPr>
              <w:t xml:space="preserve">Implementación</w:t>
            </w:r>
          </w:p>
        </w:tc>
      </w:tr>
      <w:tr>
        <w:tc>
          <w:tcPr>
            <w:tcW w:type="dxa" w:w="2800"/>
            <w:vAlign w:val="center"/>
          </w:tcPr>
          <w:p>
            <w:pPr>
              <w:spacing w:after="40" w:before="40"/>
              <w:jc w:val="left"/>
            </w:pPr>
            <w:r>
              <w:rPr>
                <w:rFonts w:ascii="Arial" w:cs="Arial" w:eastAsia="Arial" w:hAnsi="Arial"/>
                <w:b w:val="false"/>
                <w:bCs w:val="false"/>
                <w:i w:val="false"/>
                <w:iCs w:val="false"/>
                <w:color w:val="1a1a1a"/>
                <w:sz w:val="20"/>
                <w:szCs w:val="20"/>
              </w:rPr>
              <w:t xml:space="preserve">A01: Broken Access Control</w:t>
            </w:r>
          </w:p>
        </w:tc>
        <w:tc>
          <w:tcPr>
            <w:tcW w:type="dxa" w:w="2600"/>
            <w:vAlign w:val="center"/>
          </w:tcPr>
          <w:p>
            <w:pPr>
              <w:spacing w:after="40" w:before="40"/>
              <w:jc w:val="left"/>
            </w:pPr>
            <w:r>
              <w:rPr>
                <w:rFonts w:ascii="Arial" w:cs="Arial" w:eastAsia="Arial" w:hAnsi="Arial"/>
                <w:b w:val="false"/>
                <w:bCs w:val="false"/>
                <w:i w:val="false"/>
                <w:iCs w:val="false"/>
                <w:color w:val="1a1a1a"/>
                <w:sz w:val="20"/>
                <w:szCs w:val="20"/>
              </w:rPr>
              <w:t xml:space="preserve">Capa 4 — RBAC/ABAC</w:t>
            </w:r>
          </w:p>
        </w:tc>
        <w:tc>
          <w:tcPr>
            <w:tcW w:type="dxa" w:w="3960"/>
            <w:vAlign w:val="center"/>
          </w:tcPr>
          <w:p>
            <w:pPr>
              <w:spacing w:after="40" w:before="40"/>
              <w:jc w:val="left"/>
            </w:pPr>
            <w:r>
              <w:rPr>
                <w:rFonts w:ascii="Arial" w:cs="Arial" w:eastAsia="Arial" w:hAnsi="Arial"/>
                <w:b w:val="false"/>
                <w:bCs w:val="false"/>
                <w:i w:val="false"/>
                <w:iCs w:val="false"/>
                <w:color w:val="1a1a1a"/>
                <w:sz w:val="20"/>
                <w:szCs w:val="20"/>
              </w:rPr>
              <w:t xml:space="preserve">Validación de roles en cada endpoint, checkRole middleware</w:t>
            </w:r>
          </w:p>
        </w:tc>
      </w:tr>
      <w:tr>
        <w:tc>
          <w:tcPr>
            <w:tcW w:type="dxa" w:w="2800"/>
            <w:shd w:fill="f0f7f4" w:val="clear"/>
            <w:vAlign w:val="center"/>
          </w:tcPr>
          <w:p>
            <w:pPr>
              <w:spacing w:after="40" w:before="40"/>
              <w:jc w:val="left"/>
            </w:pPr>
            <w:r>
              <w:rPr>
                <w:rFonts w:ascii="Arial" w:cs="Arial" w:eastAsia="Arial" w:hAnsi="Arial"/>
                <w:b w:val="false"/>
                <w:bCs w:val="false"/>
                <w:i w:val="false"/>
                <w:iCs w:val="false"/>
                <w:color w:val="1a1a1a"/>
                <w:sz w:val="20"/>
                <w:szCs w:val="20"/>
              </w:rPr>
              <w:t xml:space="preserve">A02: Cryptographic Failures</w:t>
            </w:r>
          </w:p>
        </w:tc>
        <w:tc>
          <w:tcPr>
            <w:tcW w:type="dxa" w:w="2600"/>
            <w:shd w:fill="f0f7f4" w:val="clear"/>
            <w:vAlign w:val="center"/>
          </w:tcPr>
          <w:p>
            <w:pPr>
              <w:spacing w:after="40" w:before="40"/>
              <w:jc w:val="left"/>
            </w:pPr>
            <w:r>
              <w:rPr>
                <w:rFonts w:ascii="Arial" w:cs="Arial" w:eastAsia="Arial" w:hAnsi="Arial"/>
                <w:b w:val="false"/>
                <w:bCs w:val="false"/>
                <w:i w:val="false"/>
                <w:iCs w:val="false"/>
                <w:color w:val="1a1a1a"/>
                <w:sz w:val="20"/>
                <w:szCs w:val="20"/>
              </w:rPr>
              <w:t xml:space="preserve">Capa 6 — Cifrado en reposo</w:t>
            </w:r>
          </w:p>
        </w:tc>
        <w:tc>
          <w:tcPr>
            <w:tcW w:type="dxa" w:w="3960"/>
            <w:shd w:fill="f0f7f4" w:val="clear"/>
            <w:vAlign w:val="center"/>
          </w:tcPr>
          <w:p>
            <w:pPr>
              <w:spacing w:after="40" w:before="40"/>
              <w:jc w:val="left"/>
            </w:pPr>
            <w:r>
              <w:rPr>
                <w:rFonts w:ascii="Arial" w:cs="Arial" w:eastAsia="Arial" w:hAnsi="Arial"/>
                <w:b w:val="false"/>
                <w:bCs w:val="false"/>
                <w:i w:val="false"/>
                <w:iCs w:val="false"/>
                <w:color w:val="1a1a1a"/>
                <w:sz w:val="20"/>
                <w:szCs w:val="20"/>
              </w:rPr>
              <w:t xml:space="preserve">AES-256-GCM con IV único por campo PHI</w:t>
            </w:r>
          </w:p>
        </w:tc>
      </w:tr>
      <w:tr>
        <w:tc>
          <w:tcPr>
            <w:tcW w:type="dxa" w:w="2800"/>
            <w:vAlign w:val="center"/>
          </w:tcPr>
          <w:p>
            <w:pPr>
              <w:spacing w:after="40" w:before="40"/>
              <w:jc w:val="left"/>
            </w:pPr>
            <w:r>
              <w:rPr>
                <w:rFonts w:ascii="Arial" w:cs="Arial" w:eastAsia="Arial" w:hAnsi="Arial"/>
                <w:b w:val="false"/>
                <w:bCs w:val="false"/>
                <w:i w:val="false"/>
                <w:iCs w:val="false"/>
                <w:color w:val="1a1a1a"/>
                <w:sz w:val="20"/>
                <w:szCs w:val="20"/>
              </w:rPr>
              <w:t xml:space="preserve">A03: Injection</w:t>
            </w:r>
          </w:p>
        </w:tc>
        <w:tc>
          <w:tcPr>
            <w:tcW w:type="dxa" w:w="2600"/>
            <w:vAlign w:val="center"/>
          </w:tcPr>
          <w:p>
            <w:pPr>
              <w:spacing w:after="40" w:before="40"/>
              <w:jc w:val="left"/>
            </w:pPr>
            <w:r>
              <w:rPr>
                <w:rFonts w:ascii="Arial" w:cs="Arial" w:eastAsia="Arial" w:hAnsi="Arial"/>
                <w:b w:val="false"/>
                <w:bCs w:val="false"/>
                <w:i w:val="false"/>
                <w:iCs w:val="false"/>
                <w:color w:val="1a1a1a"/>
                <w:sz w:val="20"/>
                <w:szCs w:val="20"/>
              </w:rPr>
              <w:t xml:space="preserve">Capa 3 — WAF</w:t>
            </w:r>
          </w:p>
        </w:tc>
        <w:tc>
          <w:tcPr>
            <w:tcW w:type="dxa" w:w="3960"/>
            <w:vAlign w:val="center"/>
          </w:tcPr>
          <w:p>
            <w:pPr>
              <w:spacing w:after="40" w:before="40"/>
              <w:jc w:val="left"/>
            </w:pPr>
            <w:r>
              <w:rPr>
                <w:rFonts w:ascii="Arial" w:cs="Arial" w:eastAsia="Arial" w:hAnsi="Arial"/>
                <w:b w:val="false"/>
                <w:bCs w:val="false"/>
                <w:i w:val="false"/>
                <w:iCs w:val="false"/>
                <w:color w:val="1a1a1a"/>
                <w:sz w:val="20"/>
                <w:szCs w:val="20"/>
              </w:rPr>
              <w:t xml:space="preserve">Parameterized queries, sanitizeInput middleware, express-validator</w:t>
            </w:r>
          </w:p>
        </w:tc>
      </w:tr>
      <w:tr>
        <w:tc>
          <w:tcPr>
            <w:tcW w:type="dxa" w:w="2800"/>
            <w:shd w:fill="f0f7f4" w:val="clear"/>
            <w:vAlign w:val="center"/>
          </w:tcPr>
          <w:p>
            <w:pPr>
              <w:spacing w:after="40" w:before="40"/>
              <w:jc w:val="left"/>
            </w:pPr>
            <w:r>
              <w:rPr>
                <w:rFonts w:ascii="Arial" w:cs="Arial" w:eastAsia="Arial" w:hAnsi="Arial"/>
                <w:b w:val="false"/>
                <w:bCs w:val="false"/>
                <w:i w:val="false"/>
                <w:iCs w:val="false"/>
                <w:color w:val="1a1a1a"/>
                <w:sz w:val="20"/>
                <w:szCs w:val="20"/>
              </w:rPr>
              <w:t xml:space="preserve">A04: Insecure Design</w:t>
            </w:r>
          </w:p>
        </w:tc>
        <w:tc>
          <w:tcPr>
            <w:tcW w:type="dxa" w:w="2600"/>
            <w:shd w:fill="f0f7f4" w:val="clear"/>
            <w:vAlign w:val="center"/>
          </w:tcPr>
          <w:p>
            <w:pPr>
              <w:spacing w:after="40" w:before="40"/>
              <w:jc w:val="left"/>
            </w:pPr>
            <w:r>
              <w:rPr>
                <w:rFonts w:ascii="Arial" w:cs="Arial" w:eastAsia="Arial" w:hAnsi="Arial"/>
                <w:b w:val="false"/>
                <w:bCs w:val="false"/>
                <w:i w:val="false"/>
                <w:iCs w:val="false"/>
                <w:color w:val="1a1a1a"/>
                <w:sz w:val="20"/>
                <w:szCs w:val="20"/>
              </w:rPr>
              <w:t xml:space="preserve">Capas 1-14 — Security by Design</w:t>
            </w:r>
          </w:p>
        </w:tc>
        <w:tc>
          <w:tcPr>
            <w:tcW w:type="dxa" w:w="3960"/>
            <w:shd w:fill="f0f7f4" w:val="clear"/>
            <w:vAlign w:val="center"/>
          </w:tcPr>
          <w:p>
            <w:pPr>
              <w:spacing w:after="40" w:before="40"/>
              <w:jc w:val="left"/>
            </w:pPr>
            <w:r>
              <w:rPr>
                <w:rFonts w:ascii="Arial" w:cs="Arial" w:eastAsia="Arial" w:hAnsi="Arial"/>
                <w:b w:val="false"/>
                <w:bCs w:val="false"/>
                <w:i w:val="false"/>
                <w:iCs w:val="false"/>
                <w:color w:val="1a1a1a"/>
                <w:sz w:val="20"/>
                <w:szCs w:val="20"/>
              </w:rPr>
              <w:t xml:space="preserve">14 capas integradas desde el diseño arquitectónico</w:t>
            </w:r>
          </w:p>
        </w:tc>
      </w:tr>
      <w:tr>
        <w:tc>
          <w:tcPr>
            <w:tcW w:type="dxa" w:w="2800"/>
            <w:vAlign w:val="center"/>
          </w:tcPr>
          <w:p>
            <w:pPr>
              <w:spacing w:after="40" w:before="40"/>
              <w:jc w:val="left"/>
            </w:pPr>
            <w:r>
              <w:rPr>
                <w:rFonts w:ascii="Arial" w:cs="Arial" w:eastAsia="Arial" w:hAnsi="Arial"/>
                <w:b w:val="false"/>
                <w:bCs w:val="false"/>
                <w:i w:val="false"/>
                <w:iCs w:val="false"/>
                <w:color w:val="1a1a1a"/>
                <w:sz w:val="20"/>
                <w:szCs w:val="20"/>
              </w:rPr>
              <w:t xml:space="preserve">A05: Security Misconfiguration</w:t>
            </w:r>
          </w:p>
        </w:tc>
        <w:tc>
          <w:tcPr>
            <w:tcW w:type="dxa" w:w="2600"/>
            <w:vAlign w:val="center"/>
          </w:tcPr>
          <w:p>
            <w:pPr>
              <w:spacing w:after="40" w:before="40"/>
              <w:jc w:val="left"/>
            </w:pPr>
            <w:r>
              <w:rPr>
                <w:rFonts w:ascii="Arial" w:cs="Arial" w:eastAsia="Arial" w:hAnsi="Arial"/>
                <w:b w:val="false"/>
                <w:bCs w:val="false"/>
                <w:i w:val="false"/>
                <w:iCs w:val="false"/>
                <w:color w:val="1a1a1a"/>
                <w:sz w:val="20"/>
                <w:szCs w:val="20"/>
              </w:rPr>
              <w:t xml:space="preserve">Capa 10 — Hardening</w:t>
            </w:r>
          </w:p>
        </w:tc>
        <w:tc>
          <w:tcPr>
            <w:tcW w:type="dxa" w:w="3960"/>
            <w:vAlign w:val="center"/>
          </w:tcPr>
          <w:p>
            <w:pPr>
              <w:spacing w:after="40" w:before="40"/>
              <w:jc w:val="left"/>
            </w:pPr>
            <w:r>
              <w:rPr>
                <w:rFonts w:ascii="Arial" w:cs="Arial" w:eastAsia="Arial" w:hAnsi="Arial"/>
                <w:b w:val="false"/>
                <w:bCs w:val="false"/>
                <w:i w:val="false"/>
                <w:iCs w:val="false"/>
                <w:color w:val="1a1a1a"/>
                <w:sz w:val="20"/>
                <w:szCs w:val="20"/>
              </w:rPr>
              <w:t xml:space="preserve">Contenedores Alpine, usuario no-root, helmet.js</w:t>
            </w:r>
          </w:p>
        </w:tc>
      </w:tr>
      <w:tr>
        <w:tc>
          <w:tcPr>
            <w:tcW w:type="dxa" w:w="2800"/>
            <w:shd w:fill="f0f7f4" w:val="clear"/>
            <w:vAlign w:val="center"/>
          </w:tcPr>
          <w:p>
            <w:pPr>
              <w:spacing w:after="40" w:before="40"/>
              <w:jc w:val="left"/>
            </w:pPr>
            <w:r>
              <w:rPr>
                <w:rFonts w:ascii="Arial" w:cs="Arial" w:eastAsia="Arial" w:hAnsi="Arial"/>
                <w:b w:val="false"/>
                <w:bCs w:val="false"/>
                <w:i w:val="false"/>
                <w:iCs w:val="false"/>
                <w:color w:val="1a1a1a"/>
                <w:sz w:val="20"/>
                <w:szCs w:val="20"/>
              </w:rPr>
              <w:t xml:space="preserve">A06: Vulnerable Components</w:t>
            </w:r>
          </w:p>
        </w:tc>
        <w:tc>
          <w:tcPr>
            <w:tcW w:type="dxa" w:w="2600"/>
            <w:shd w:fill="f0f7f4" w:val="clear"/>
            <w:vAlign w:val="center"/>
          </w:tcPr>
          <w:p>
            <w:pPr>
              <w:spacing w:after="40" w:before="40"/>
              <w:jc w:val="left"/>
            </w:pPr>
            <w:r>
              <w:rPr>
                <w:rFonts w:ascii="Arial" w:cs="Arial" w:eastAsia="Arial" w:hAnsi="Arial"/>
                <w:b w:val="false"/>
                <w:bCs w:val="false"/>
                <w:i w:val="false"/>
                <w:iCs w:val="false"/>
                <w:color w:val="1a1a1a"/>
                <w:sz w:val="20"/>
                <w:szCs w:val="20"/>
              </w:rPr>
              <w:t xml:space="preserve">Capa 10 — Hardening</w:t>
            </w:r>
          </w:p>
        </w:tc>
        <w:tc>
          <w:tcPr>
            <w:tcW w:type="dxa" w:w="3960"/>
            <w:shd w:fill="f0f7f4" w:val="clear"/>
            <w:vAlign w:val="center"/>
          </w:tcPr>
          <w:p>
            <w:pPr>
              <w:spacing w:after="40" w:before="40"/>
              <w:jc w:val="left"/>
            </w:pPr>
            <w:r>
              <w:rPr>
                <w:rFonts w:ascii="Arial" w:cs="Arial" w:eastAsia="Arial" w:hAnsi="Arial"/>
                <w:b w:val="false"/>
                <w:bCs w:val="false"/>
                <w:i w:val="false"/>
                <w:iCs w:val="false"/>
                <w:color w:val="1a1a1a"/>
                <w:sz w:val="20"/>
                <w:szCs w:val="20"/>
              </w:rPr>
              <w:t xml:space="preserve">npm ci con dependencias auditadas, Alpine minimal</w:t>
            </w:r>
          </w:p>
        </w:tc>
      </w:tr>
      <w:tr>
        <w:tc>
          <w:tcPr>
            <w:tcW w:type="dxa" w:w="2800"/>
            <w:vAlign w:val="center"/>
          </w:tcPr>
          <w:p>
            <w:pPr>
              <w:spacing w:after="40" w:before="40"/>
              <w:jc w:val="left"/>
            </w:pPr>
            <w:r>
              <w:rPr>
                <w:rFonts w:ascii="Arial" w:cs="Arial" w:eastAsia="Arial" w:hAnsi="Arial"/>
                <w:b w:val="false"/>
                <w:bCs w:val="false"/>
                <w:i w:val="false"/>
                <w:iCs w:val="false"/>
                <w:color w:val="1a1a1a"/>
                <w:sz w:val="20"/>
                <w:szCs w:val="20"/>
              </w:rPr>
              <w:t xml:space="preserve">A07: Auth Failures</w:t>
            </w:r>
          </w:p>
        </w:tc>
        <w:tc>
          <w:tcPr>
            <w:tcW w:type="dxa" w:w="2600"/>
            <w:vAlign w:val="center"/>
          </w:tcPr>
          <w:p>
            <w:pPr>
              <w:spacing w:after="40" w:before="40"/>
              <w:jc w:val="left"/>
            </w:pPr>
            <w:r>
              <w:rPr>
                <w:rFonts w:ascii="Arial" w:cs="Arial" w:eastAsia="Arial" w:hAnsi="Arial"/>
                <w:b w:val="false"/>
                <w:bCs w:val="false"/>
                <w:i w:val="false"/>
                <w:iCs w:val="false"/>
                <w:color w:val="1a1a1a"/>
                <w:sz w:val="20"/>
                <w:szCs w:val="20"/>
              </w:rPr>
              <w:t xml:space="preserve">Capa 1 — MFA</w:t>
            </w:r>
          </w:p>
        </w:tc>
        <w:tc>
          <w:tcPr>
            <w:tcW w:type="dxa" w:w="3960"/>
            <w:vAlign w:val="center"/>
          </w:tcPr>
          <w:p>
            <w:pPr>
              <w:spacing w:after="40" w:before="40"/>
              <w:jc w:val="left"/>
            </w:pPr>
            <w:r>
              <w:rPr>
                <w:rFonts w:ascii="Arial" w:cs="Arial" w:eastAsia="Arial" w:hAnsi="Arial"/>
                <w:b w:val="false"/>
                <w:bCs w:val="false"/>
                <w:i w:val="false"/>
                <w:iCs w:val="false"/>
                <w:color w:val="1a1a1a"/>
                <w:sz w:val="20"/>
                <w:szCs w:val="20"/>
              </w:rPr>
              <w:t xml:space="preserve">JWT RS256 + TOTP, account lockout, refresh rotation</w:t>
            </w:r>
          </w:p>
        </w:tc>
      </w:tr>
      <w:tr>
        <w:tc>
          <w:tcPr>
            <w:tcW w:type="dxa" w:w="2800"/>
            <w:shd w:fill="f0f7f4" w:val="clear"/>
            <w:vAlign w:val="center"/>
          </w:tcPr>
          <w:p>
            <w:pPr>
              <w:spacing w:after="40" w:before="40"/>
              <w:jc w:val="left"/>
            </w:pPr>
            <w:r>
              <w:rPr>
                <w:rFonts w:ascii="Arial" w:cs="Arial" w:eastAsia="Arial" w:hAnsi="Arial"/>
                <w:b w:val="false"/>
                <w:bCs w:val="false"/>
                <w:i w:val="false"/>
                <w:iCs w:val="false"/>
                <w:color w:val="1a1a1a"/>
                <w:sz w:val="20"/>
                <w:szCs w:val="20"/>
              </w:rPr>
              <w:t xml:space="preserve">A08: Data Integrity Failures</w:t>
            </w:r>
          </w:p>
        </w:tc>
        <w:tc>
          <w:tcPr>
            <w:tcW w:type="dxa" w:w="2600"/>
            <w:shd w:fill="f0f7f4" w:val="clear"/>
            <w:vAlign w:val="center"/>
          </w:tcPr>
          <w:p>
            <w:pPr>
              <w:spacing w:after="40" w:before="40"/>
              <w:jc w:val="left"/>
            </w:pPr>
            <w:r>
              <w:rPr>
                <w:rFonts w:ascii="Arial" w:cs="Arial" w:eastAsia="Arial" w:hAnsi="Arial"/>
                <w:b w:val="false"/>
                <w:bCs w:val="false"/>
                <w:i w:val="false"/>
                <w:iCs w:val="false"/>
                <w:color w:val="1a1a1a"/>
                <w:sz w:val="20"/>
                <w:szCs w:val="20"/>
              </w:rPr>
              <w:t xml:space="preserve">Capa 12 — Auditoría</w:t>
            </w:r>
          </w:p>
        </w:tc>
        <w:tc>
          <w:tcPr>
            <w:tcW w:type="dxa" w:w="3960"/>
            <w:shd w:fill="f0f7f4" w:val="clear"/>
            <w:vAlign w:val="center"/>
          </w:tcPr>
          <w:p>
            <w:pPr>
              <w:spacing w:after="40" w:before="40"/>
              <w:jc w:val="left"/>
            </w:pPr>
            <w:r>
              <w:rPr>
                <w:rFonts w:ascii="Arial" w:cs="Arial" w:eastAsia="Arial" w:hAnsi="Arial"/>
                <w:b w:val="false"/>
                <w:bCs w:val="false"/>
                <w:i w:val="false"/>
                <w:iCs w:val="false"/>
                <w:color w:val="1a1a1a"/>
                <w:sz w:val="20"/>
                <w:szCs w:val="20"/>
              </w:rPr>
              <w:t xml:space="preserve">audit_logs inmutables solo INSERT</w:t>
            </w:r>
          </w:p>
        </w:tc>
      </w:tr>
      <w:tr>
        <w:tc>
          <w:tcPr>
            <w:tcW w:type="dxa" w:w="2800"/>
            <w:vAlign w:val="center"/>
          </w:tcPr>
          <w:p>
            <w:pPr>
              <w:spacing w:after="40" w:before="40"/>
              <w:jc w:val="left"/>
            </w:pPr>
            <w:r>
              <w:rPr>
                <w:rFonts w:ascii="Arial" w:cs="Arial" w:eastAsia="Arial" w:hAnsi="Arial"/>
                <w:b w:val="false"/>
                <w:bCs w:val="false"/>
                <w:i w:val="false"/>
                <w:iCs w:val="false"/>
                <w:color w:val="1a1a1a"/>
                <w:sz w:val="20"/>
                <w:szCs w:val="20"/>
              </w:rPr>
              <w:t xml:space="preserve">A09: Logging Failures</w:t>
            </w:r>
          </w:p>
        </w:tc>
        <w:tc>
          <w:tcPr>
            <w:tcW w:type="dxa" w:w="2600"/>
            <w:vAlign w:val="center"/>
          </w:tcPr>
          <w:p>
            <w:pPr>
              <w:spacing w:after="40" w:before="40"/>
              <w:jc w:val="left"/>
            </w:pPr>
            <w:r>
              <w:rPr>
                <w:rFonts w:ascii="Arial" w:cs="Arial" w:eastAsia="Arial" w:hAnsi="Arial"/>
                <w:b w:val="false"/>
                <w:bCs w:val="false"/>
                <w:i w:val="false"/>
                <w:iCs w:val="false"/>
                <w:color w:val="1a1a1a"/>
                <w:sz w:val="20"/>
                <w:szCs w:val="20"/>
              </w:rPr>
              <w:t xml:space="preserve">Capa 12 — Logging</w:t>
            </w:r>
          </w:p>
        </w:tc>
        <w:tc>
          <w:tcPr>
            <w:tcW w:type="dxa" w:w="3960"/>
            <w:vAlign w:val="center"/>
          </w:tcPr>
          <w:p>
            <w:pPr>
              <w:spacing w:after="40" w:before="40"/>
              <w:jc w:val="left"/>
            </w:pPr>
            <w:r>
              <w:rPr>
                <w:rFonts w:ascii="Arial" w:cs="Arial" w:eastAsia="Arial" w:hAnsi="Arial"/>
                <w:b w:val="false"/>
                <w:bCs w:val="false"/>
                <w:i w:val="false"/>
                <w:iCs w:val="false"/>
                <w:color w:val="1a1a1a"/>
                <w:sz w:val="20"/>
                <w:szCs w:val="20"/>
              </w:rPr>
              <w:t xml:space="preserve">Winston con niveles, audit_logs inmutables</w:t>
            </w:r>
          </w:p>
        </w:tc>
      </w:tr>
      <w:tr>
        <w:tc>
          <w:tcPr>
            <w:tcW w:type="dxa" w:w="2800"/>
            <w:shd w:fill="f0f7f4" w:val="clear"/>
            <w:vAlign w:val="center"/>
          </w:tcPr>
          <w:p>
            <w:pPr>
              <w:spacing w:after="40" w:before="40"/>
              <w:jc w:val="left"/>
            </w:pPr>
            <w:r>
              <w:rPr>
                <w:rFonts w:ascii="Arial" w:cs="Arial" w:eastAsia="Arial" w:hAnsi="Arial"/>
                <w:b w:val="false"/>
                <w:bCs w:val="false"/>
                <w:i w:val="false"/>
                <w:iCs w:val="false"/>
                <w:color w:val="1a1a1a"/>
                <w:sz w:val="20"/>
                <w:szCs w:val="20"/>
              </w:rPr>
              <w:t xml:space="preserve">A10: SSRF</w:t>
            </w:r>
          </w:p>
        </w:tc>
        <w:tc>
          <w:tcPr>
            <w:tcW w:type="dxa" w:w="2600"/>
            <w:shd w:fill="f0f7f4" w:val="clear"/>
            <w:vAlign w:val="center"/>
          </w:tcPr>
          <w:p>
            <w:pPr>
              <w:spacing w:after="40" w:before="40"/>
              <w:jc w:val="left"/>
            </w:pPr>
            <w:r>
              <w:rPr>
                <w:rFonts w:ascii="Arial" w:cs="Arial" w:eastAsia="Arial" w:hAnsi="Arial"/>
                <w:b w:val="false"/>
                <w:bCs w:val="false"/>
                <w:i w:val="false"/>
                <w:iCs w:val="false"/>
                <w:color w:val="1a1a1a"/>
                <w:sz w:val="20"/>
                <w:szCs w:val="20"/>
              </w:rPr>
              <w:t xml:space="preserve">Capa 9 — Red segmentada</w:t>
            </w:r>
          </w:p>
        </w:tc>
        <w:tc>
          <w:tcPr>
            <w:tcW w:type="dxa" w:w="3960"/>
            <w:shd w:fill="f0f7f4" w:val="clear"/>
            <w:vAlign w:val="center"/>
          </w:tcPr>
          <w:p>
            <w:pPr>
              <w:spacing w:after="40" w:before="40"/>
              <w:jc w:val="left"/>
            </w:pPr>
            <w:r>
              <w:rPr>
                <w:rFonts w:ascii="Arial" w:cs="Arial" w:eastAsia="Arial" w:hAnsi="Arial"/>
                <w:b w:val="false"/>
                <w:bCs w:val="false"/>
                <w:i w:val="false"/>
                <w:iCs w:val="false"/>
                <w:color w:val="1a1a1a"/>
                <w:sz w:val="20"/>
                <w:szCs w:val="20"/>
              </w:rPr>
              <w:t xml:space="preserve">Zero Trust, redes Docker internas aisladas</w:t>
            </w:r>
          </w:p>
        </w:tc>
      </w:tr>
    </w:tbl>
    <w:p>
      <w:pPr>
        <w:spacing w:after="0" w:before="120"/>
      </w:pPr>
    </w:p>
    <w:p>
      <w:pPr>
        <w:spacing w:line="360" w:lineRule="auto"/>
        <w:jc w:val="both"/>
      </w:pPr>
      <w:r>
        <w:rPr>
          <w:rFonts w:ascii="Arial" w:cs="Arial" w:eastAsia="Arial" w:hAnsi="Arial"/>
          <w:b w:val="false"/>
          <w:bCs w:val="false"/>
          <w:i w:val="false"/>
          <w:iCs w:val="false"/>
          <w:color w:val="1a1a1a"/>
          <w:sz w:val="24"/>
          <w:szCs w:val="24"/>
        </w:rPr>
        <w:t xml:space="preserve">Esta tabla evidencia que MedSecure no aborda la seguridad de manera aislada, sino que implementa un enfoque integral que cubre sistemáticamente todo el espectro de vulnerabilidades web identificadas por OWASP.</w:t>
      </w:r>
    </w:p>
    <w:p>
      <w:pPr>
        <w:spacing w:after="80" w:before="120" w:line="360" w:lineRule="auto"/>
        <w:jc w:val="left"/>
      </w:pPr>
      <w:r>
        <w:rPr>
          <w:rFonts w:ascii="Arial" w:cs="Arial" w:eastAsia="Arial" w:hAnsi="Arial"/>
          <w:b/>
          <w:bCs/>
          <w:i w:val="false"/>
          <w:iCs w:val="false"/>
          <w:color w:val="1a1a1a"/>
          <w:sz w:val="24"/>
          <w:szCs w:val="24"/>
        </w:rPr>
        <w:t xml:space="preserve">2.2.5 Criptografía aplicada</w:t>
      </w:r>
    </w:p>
    <w:p>
      <w:pPr>
        <w:spacing w:line="360" w:lineRule="auto"/>
        <w:jc w:val="both"/>
      </w:pPr>
      <w:r>
        <w:rPr>
          <w:rFonts w:ascii="Arial" w:cs="Arial" w:eastAsia="Arial" w:hAnsi="Arial"/>
          <w:b w:val="false"/>
          <w:bCs w:val="false"/>
          <w:i w:val="false"/>
          <w:iCs w:val="false"/>
          <w:color w:val="1a1a1a"/>
          <w:sz w:val="24"/>
          <w:szCs w:val="24"/>
        </w:rPr>
        <w:t xml:space="preserve">AES-256-GCM: El Advanced Encryption Standard con clave de 256 bits en modo Galois/Counter (GCM) es un cifrado autenticado que proporciona confidencialidad e integridad de datos simultáneamente (NIST, 2007). En MedSecure, cada campo PHI se cifra con un vector de inicialización (IV) único de 96 bits, garantizando que incluso campos idénticos produzcan textos cifrados distintos. Esto evita ataques de análisis de frecuencia y cumple con los requisitos de HIPAA Security Rule para cifrado en reposo.</w:t>
      </w:r>
    </w:p>
    <w:p>
      <w:pPr>
        <w:spacing w:line="360" w:lineRule="auto"/>
        <w:jc w:val="both"/>
      </w:pPr>
      <w:r>
        <w:rPr>
          <w:rFonts w:ascii="Arial" w:cs="Arial" w:eastAsia="Arial" w:hAnsi="Arial"/>
          <w:b w:val="false"/>
          <w:bCs w:val="false"/>
          <w:i w:val="false"/>
          <w:iCs w:val="false"/>
          <w:color w:val="1a1a1a"/>
          <w:sz w:val="24"/>
          <w:szCs w:val="24"/>
        </w:rPr>
        <w:t xml:space="preserve">JWT con RS256: Los JSON Web Tokens firmados con RSA de 2048 bits (RS256) proporcionan autenticación sin estado, eliminando la necesidad de almacenar sesiones en servidor. MedSecure implementa rotación de tokens: los access tokens expiran cada 15 minutos y los refresh tokens (UUID v4 opacos) se almacenan en Redis con expiración de 7 días, invalidándose cada vez que se usan (rotación) (Jones et al., 2015).</w:t>
      </w:r>
    </w:p>
    <w:p>
      <w:pPr>
        <w:spacing w:line="360" w:lineRule="auto"/>
        <w:jc w:val="both"/>
      </w:pPr>
      <w:r>
        <w:rPr>
          <w:rFonts w:ascii="Arial" w:cs="Arial" w:eastAsia="Arial" w:hAnsi="Arial"/>
          <w:b w:val="false"/>
          <w:bCs w:val="false"/>
          <w:i w:val="false"/>
          <w:iCs w:val="false"/>
          <w:color w:val="1a1a1a"/>
          <w:sz w:val="24"/>
          <w:szCs w:val="24"/>
        </w:rPr>
        <w:t xml:space="preserve">TOTP: Time-based One-Time Password según RFC 6238 genera códigos de 6 dígitos válidos por 30 segundos, utilizando HMAC-SHA1. MedSecure integra TOTP mediante la librería speakeasy, permitiendo a los usuarios configurar MFA escaneando un código QR con Google Authenticator. Los secretos TOTP se almacenan cifrados con AES-256-GCM en la base de datos.</w:t>
      </w:r>
    </w:p>
    <w:p>
      <w:pPr>
        <w:spacing w:after="80" w:before="120" w:line="360" w:lineRule="auto"/>
        <w:jc w:val="left"/>
      </w:pPr>
      <w:r>
        <w:rPr>
          <w:rFonts w:ascii="Arial" w:cs="Arial" w:eastAsia="Arial" w:hAnsi="Arial"/>
          <w:b/>
          <w:bCs/>
          <w:i w:val="false"/>
          <w:iCs w:val="false"/>
          <w:color w:val="1a1a1a"/>
          <w:sz w:val="24"/>
          <w:szCs w:val="24"/>
        </w:rPr>
        <w:t xml:space="preserve">2.2.6 Zero Trust Architecture</w:t>
      </w:r>
    </w:p>
    <w:p>
      <w:pPr>
        <w:spacing w:line="360" w:lineRule="auto"/>
        <w:jc w:val="both"/>
      </w:pPr>
      <w:r>
        <w:rPr>
          <w:rFonts w:ascii="Arial" w:cs="Arial" w:eastAsia="Arial" w:hAnsi="Arial"/>
          <w:b w:val="false"/>
          <w:bCs w:val="false"/>
          <w:i w:val="false"/>
          <w:iCs w:val="false"/>
          <w:color w:val="1a1a1a"/>
          <w:sz w:val="24"/>
          <w:szCs w:val="24"/>
        </w:rPr>
        <w:t xml:space="preserve">El modelo Zero Trust se fundamenta en el principio "Never trust, always verify". En MedSecure, este principio se implementa mediante: segmentación de red en Docker (frontend-net, backend-net, db-net) donde cada capa solo puede comunicarse con la inmediatamente contigua; autenticación en cada solicitud (cada petición API requiere JWT válido); y verificación continua mediante logs de auditoría y detección de anomalías (Kindervag, 2010). La red interna de base de datos (db-net) no es accesible desde el exterior, ni siquiera desde la red del frontend, implementando el aislamiento más restrictivo.</w:t>
      </w:r>
    </w:p>
    <w:p>
      <w:pPr>
        <w:spacing w:after="80" w:before="120" w:line="360" w:lineRule="auto"/>
        <w:jc w:val="left"/>
      </w:pPr>
      <w:r>
        <w:rPr>
          <w:rFonts w:ascii="Arial" w:cs="Arial" w:eastAsia="Arial" w:hAnsi="Arial"/>
          <w:b/>
          <w:bCs/>
          <w:i w:val="false"/>
          <w:iCs w:val="false"/>
          <w:color w:val="1a1a1a"/>
          <w:sz w:val="24"/>
          <w:szCs w:val="24"/>
        </w:rPr>
        <w:t xml:space="preserve">2.2.7 Relación con la Tesina de Referencia (VoIP)</w:t>
      </w:r>
    </w:p>
    <w:p>
      <w:pPr>
        <w:spacing w:line="360" w:lineRule="auto"/>
        <w:jc w:val="both"/>
      </w:pPr>
      <w:r>
        <w:rPr>
          <w:rFonts w:ascii="Arial" w:cs="Arial" w:eastAsia="Arial" w:hAnsi="Arial"/>
          <w:b w:val="false"/>
          <w:bCs w:val="false"/>
          <w:i w:val="false"/>
          <w:iCs w:val="false"/>
          <w:color w:val="1a1a1a"/>
          <w:sz w:val="24"/>
          <w:szCs w:val="24"/>
        </w:rPr>
        <w:t xml:space="preserve">Aunque la tesina de referencia aborda la implementación de telefonía IP con IssabelPBX y MedSecure trata sobre seguridad en sistemas médicos web, ambos proyectos comparten fundamentos esenciales de ciberseguridad en redes, lo que los convierte en trabajos complementarios dentro del dominio de Redes de la Información.</w:t>
      </w:r>
    </w:p>
    <w:p>
      <w:pPr>
        <w:spacing w:line="360" w:lineRule="auto"/>
        <w:jc w:val="both"/>
      </w:pPr>
      <w:r>
        <w:rPr>
          <w:rFonts w:ascii="Arial" w:cs="Arial" w:eastAsia="Arial" w:hAnsi="Arial"/>
          <w:b w:val="false"/>
          <w:bCs w:val="false"/>
          <w:i w:val="false"/>
          <w:iCs w:val="false"/>
          <w:color w:val="1a1a1a"/>
          <w:sz w:val="24"/>
          <w:szCs w:val="24"/>
        </w:rPr>
        <w:t xml:space="preserve">Punto de conexión 1 — Seguridad en comunicaciones: La tesina implementa seguridad en los protocolos SIP/RTP (secciones 2.2.13 y 5.2) mediante firewalls y segmentación de red. MedSecure implementa TLS 1.3 para todas las comunicaciones y mTLS entre microservicios. Ambos proyectos protegen la confidencialidad e integridad de las comunicaciones en red, aunque en diferentes capas del modelo OSI: VoIP en las capas 5-7, MedSecure en las capas 4-7.</w:t>
      </w:r>
    </w:p>
    <w:p>
      <w:pPr>
        <w:spacing w:line="360" w:lineRule="auto"/>
        <w:jc w:val="both"/>
      </w:pPr>
      <w:r>
        <w:rPr>
          <w:rFonts w:ascii="Arial" w:cs="Arial" w:eastAsia="Arial" w:hAnsi="Arial"/>
          <w:b w:val="false"/>
          <w:bCs w:val="false"/>
          <w:i w:val="false"/>
          <w:iCs w:val="false"/>
          <w:color w:val="1a1a1a"/>
          <w:sz w:val="24"/>
          <w:szCs w:val="24"/>
        </w:rPr>
        <w:t xml:space="preserve">Punto de conexión 2 — Autenticación y control de acceso: La tesina configura extensiones telefónicas con autenticación en IssabelPBX, asignando permisos específicos a cada extensión. MedSecure implementa RBAC con 4 roles (admin, médico, enfermero, paciente) y autenticación multifactor TOTP. Ambos proyectos aplican el principio de mínimo privilegio, garantizando que cada usuario solo tenga acceso a los recursos necesarios para su función.</w:t>
      </w:r>
    </w:p>
    <w:p>
      <w:pPr>
        <w:spacing w:line="360" w:lineRule="auto"/>
        <w:jc w:val="both"/>
      </w:pPr>
      <w:r>
        <w:rPr>
          <w:rFonts w:ascii="Arial" w:cs="Arial" w:eastAsia="Arial" w:hAnsi="Arial"/>
          <w:b w:val="false"/>
          <w:bCs w:val="false"/>
          <w:i w:val="false"/>
          <w:iCs w:val="false"/>
          <w:color w:val="1a1a1a"/>
          <w:sz w:val="24"/>
          <w:szCs w:val="24"/>
        </w:rPr>
        <w:t xml:space="preserve">Punto de conexión 3 — Protección con firewall: La tesina dedica la sección 5.2.1 a la configuración de reglas de firewall para proteger el servidor VoIP, incluyendo el bloqueo de puertos no utilizados y la restricción de tráfico SIP. MedSecure implementa un WAF (Web Application Firewall) con rate limiting, bloqueo de ataques OWASP Top 10 y sanitización de entradas. Ambos proyectos reconocen el firewall como primera línea de defensa perimetral.</w:t>
      </w:r>
    </w:p>
    <w:p>
      <w:pPr>
        <w:spacing w:line="360" w:lineRule="auto"/>
        <w:jc w:val="both"/>
      </w:pPr>
      <w:r>
        <w:rPr>
          <w:rFonts w:ascii="Arial" w:cs="Arial" w:eastAsia="Arial" w:hAnsi="Arial"/>
          <w:b w:val="false"/>
          <w:bCs w:val="false"/>
          <w:i w:val="false"/>
          <w:iCs w:val="false"/>
          <w:color w:val="1a1a1a"/>
          <w:sz w:val="24"/>
          <w:szCs w:val="24"/>
        </w:rPr>
        <w:t xml:space="preserve">Punto de conexión 4 — Segmentación de red: La tesina propone una arquitectura de red segregada para el tráfico VoIP, separándolo de la red de datos. MedSecure implementa segmentación mediante Docker networks (frontend-net, backend-net, db-net), creando tres zonas de seguridad con diferentes niveles de confianza. El mismo principio de segregación, aplicado en diferentes contextos.</w:t>
      </w:r>
    </w:p>
    <w:p>
      <w:pPr>
        <w:spacing w:line="360" w:lineRule="auto"/>
        <w:jc w:val="both"/>
      </w:pPr>
      <w:r>
        <w:rPr>
          <w:rFonts w:ascii="Arial" w:cs="Arial" w:eastAsia="Arial" w:hAnsi="Arial"/>
          <w:b w:val="false"/>
          <w:bCs w:val="false"/>
          <w:i w:val="false"/>
          <w:iCs w:val="false"/>
          <w:color w:val="1a1a1a"/>
          <w:sz w:val="24"/>
          <w:szCs w:val="24"/>
        </w:rPr>
        <w:t xml:space="preserve">Punto de conexión 5 — Auditoría y monitoreo: La tesina incluye herramientas de monitoreo de calidad de servicio (QoS) para VoIP (sección 2.2.12.6), como el monitoreo de latencia, jitter y pérdida de paquetes. MedSecure implementa audit_logs inmutables con Winston y detección de anomalías en tiempo real. Ambos proyectos reconocen que la seguridad no está completa sin observabilidad del sistema.</w:t>
      </w:r>
    </w:p>
    <w:p>
      <w:pPr>
        <w:spacing w:line="360" w:lineRule="auto"/>
        <w:jc w:val="both"/>
      </w:pPr>
      <w:r>
        <w:rPr>
          <w:rFonts w:ascii="Arial" w:cs="Arial" w:eastAsia="Arial" w:hAnsi="Arial"/>
          <w:b w:val="false"/>
          <w:bCs w:val="false"/>
          <w:i w:val="false"/>
          <w:iCs w:val="false"/>
          <w:color w:val="1a1a1a"/>
          <w:sz w:val="24"/>
          <w:szCs w:val="24"/>
        </w:rPr>
        <w:t xml:space="preserve">Conclusión de la relación: Ambos proyectos son complementarios dentro del dominio de Redes de la Información del ITLA. Mientras la tesina asegura la capa de comunicación de voz (VoIP), MedSecure asegura la capa de datos y aplicaciones médicas. En un entorno hospitalario real, ambos sistemas coexistirían: el hospital necesita tanto telefonía IP segura para la comunicación entre departamentos como un sistema de expedientes médicos con ciberseguridad robusta. La formación recibida en el Tecnólogo en Redes de la Información proporciona los fundamentos necesarios para abordar ambos desafíos: protocolos de red, seguridad perimetral, segmentación y monitoreo.</w:t>
      </w:r>
    </w:p>
    <w:p>
      <w:pPr>
        <w:spacing w:after="240" w:before="240" w:line="360" w:lineRule="auto"/>
        <w:jc w:val="center"/>
      </w:pPr>
      <w:r>
        <w:rPr>
          <w:rFonts w:ascii="Arial" w:cs="Arial" w:eastAsia="Arial" w:hAnsi="Arial"/>
          <w:b/>
          <w:bCs/>
          <w:i w:val="false"/>
          <w:iCs w:val="false"/>
          <w:color w:val="1a1a1a"/>
          <w:sz w:val="28"/>
          <w:szCs w:val="28"/>
        </w:rPr>
        <w:t xml:space="preserve">CAPÍTULO 3: METODOLOGÍA</w:t>
      </w:r>
    </w:p>
    <w:p>
      <w:pPr>
        <w:spacing w:after="120" w:before="180" w:line="360" w:lineRule="auto"/>
        <w:jc w:val="left"/>
      </w:pPr>
      <w:r>
        <w:rPr>
          <w:rFonts w:ascii="Arial" w:cs="Arial" w:eastAsia="Arial" w:hAnsi="Arial"/>
          <w:b/>
          <w:bCs/>
          <w:i w:val="false"/>
          <w:iCs w:val="false"/>
          <w:color w:val="1a1a1a"/>
          <w:sz w:val="24"/>
          <w:szCs w:val="24"/>
        </w:rPr>
        <w:t xml:space="preserve">3.1 Tipo de estudio</w:t>
      </w:r>
    </w:p>
    <w:p>
      <w:pPr>
        <w:spacing w:line="360" w:lineRule="auto"/>
        <w:jc w:val="both"/>
      </w:pPr>
      <w:r>
        <w:rPr>
          <w:rFonts w:ascii="Arial" w:cs="Arial" w:eastAsia="Arial" w:hAnsi="Arial"/>
          <w:b w:val="false"/>
          <w:bCs w:val="false"/>
          <w:i w:val="false"/>
          <w:iCs w:val="false"/>
          <w:color w:val="1a1a1a"/>
          <w:sz w:val="24"/>
          <w:szCs w:val="24"/>
        </w:rPr>
        <w:t xml:space="preserve">El presente estudio es de tipo descriptivo-aplicativo. Se describe el problema de seguridad en sistemas médicos mediante análisis de literatura académica y casos documentados, y se aplica una solución práctica mediante el desarrollo de una plataforma de software segura. La investigación no se limita al marco teórico, sino que implementa y valida una solución concreta.</w:t>
      </w:r>
    </w:p>
    <w:p>
      <w:pPr>
        <w:spacing w:after="120" w:before="180" w:line="360" w:lineRule="auto"/>
        <w:jc w:val="left"/>
      </w:pPr>
      <w:r>
        <w:rPr>
          <w:rFonts w:ascii="Arial" w:cs="Arial" w:eastAsia="Arial" w:hAnsi="Arial"/>
          <w:b/>
          <w:bCs/>
          <w:i w:val="false"/>
          <w:iCs w:val="false"/>
          <w:color w:val="1a1a1a"/>
          <w:sz w:val="24"/>
          <w:szCs w:val="24"/>
        </w:rPr>
        <w:t xml:space="preserve">3.2 Enfoque del estudio</w:t>
      </w:r>
    </w:p>
    <w:p>
      <w:pPr>
        <w:spacing w:line="360" w:lineRule="auto"/>
        <w:jc w:val="both"/>
      </w:pPr>
      <w:r>
        <w:rPr>
          <w:rFonts w:ascii="Arial" w:cs="Arial" w:eastAsia="Arial" w:hAnsi="Arial"/>
          <w:b w:val="false"/>
          <w:bCs w:val="false"/>
          <w:i w:val="false"/>
          <w:iCs w:val="false"/>
          <w:color w:val="1a1a1a"/>
          <w:sz w:val="24"/>
          <w:szCs w:val="24"/>
        </w:rPr>
        <w:t xml:space="preserve">El enfoque es mixto, combinando métodos cuantitativos y cualitativos:</w:t>
      </w:r>
    </w:p>
    <w:p>
      <w:pPr>
        <w:spacing w:line="360" w:lineRule="auto"/>
        <w:jc w:val="both"/>
      </w:pPr>
      <w:r>
        <w:rPr>
          <w:rFonts w:ascii="Arial" w:cs="Arial" w:eastAsia="Arial" w:hAnsi="Arial"/>
          <w:b w:val="false"/>
          <w:bCs w:val="false"/>
          <w:i w:val="false"/>
          <w:iCs w:val="false"/>
          <w:color w:val="1a1a1a"/>
          <w:sz w:val="24"/>
          <w:szCs w:val="24"/>
        </w:rPr>
        <w:t xml:space="preserve">Cuantitativo: Se realizaron pruebas de seguridad automatizadas que generan métricas objetivas, como la detección de vulnerabilidades SQL Injection, XSS y CSRF. Se midió el tiempo de respuesta del sistema bajo diferentes configuraciones de seguridad y se evaluó la efectividad del rate limiting.</w:t>
      </w:r>
    </w:p>
    <w:p>
      <w:pPr>
        <w:spacing w:line="360" w:lineRule="auto"/>
        <w:jc w:val="both"/>
      </w:pPr>
      <w:r>
        <w:rPr>
          <w:rFonts w:ascii="Arial" w:cs="Arial" w:eastAsia="Arial" w:hAnsi="Arial"/>
          <w:b w:val="false"/>
          <w:bCs w:val="false"/>
          <w:i w:val="false"/>
          <w:iCs w:val="false"/>
          <w:color w:val="1a1a1a"/>
          <w:sz w:val="24"/>
          <w:szCs w:val="24"/>
        </w:rPr>
        <w:t xml:space="preserve">Cualitativo: Se analizó el cumplimiento normativo con HIPAA, GDPR y OWASP mediante listas de verificación (checklists) basadas en los requisitos documentados de cada estándar.</w:t>
      </w:r>
    </w:p>
    <w:p>
      <w:pPr>
        <w:spacing w:after="120" w:before="180" w:line="360" w:lineRule="auto"/>
        <w:jc w:val="left"/>
      </w:pPr>
      <w:r>
        <w:rPr>
          <w:rFonts w:ascii="Arial" w:cs="Arial" w:eastAsia="Arial" w:hAnsi="Arial"/>
          <w:b/>
          <w:bCs/>
          <w:i w:val="false"/>
          <w:iCs w:val="false"/>
          <w:color w:val="1a1a1a"/>
          <w:sz w:val="24"/>
          <w:szCs w:val="24"/>
        </w:rPr>
        <w:t xml:space="preserve">3.3 Herramientas y tecnologías utilizadas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600"/>
            <w:shd w:fill="0F6E56" w:val="clear"/>
            <w:vAlign w:val="center"/>
          </w:tcPr>
          <w:p>
            <w:pPr>
              <w:spacing w:after="60" w:before="60"/>
              <w:jc w:val="center"/>
            </w:pPr>
            <w:r>
              <w:rPr>
                <w:rFonts w:ascii="Arial" w:cs="Arial" w:eastAsia="Arial" w:hAnsi="Arial"/>
                <w:b/>
                <w:bCs/>
                <w:i w:val="false"/>
                <w:iCs w:val="false"/>
                <w:color w:val="FFFFFF"/>
                <w:sz w:val="20"/>
                <w:szCs w:val="20"/>
              </w:rPr>
              <w:t xml:space="preserve">Tecnología</w:t>
            </w:r>
          </w:p>
        </w:tc>
        <w:tc>
          <w:tcPr>
            <w:tcW w:type="dxa" w:w="2600"/>
            <w:shd w:fill="0F6E56" w:val="clear"/>
            <w:vAlign w:val="center"/>
          </w:tcPr>
          <w:p>
            <w:pPr>
              <w:spacing w:after="60" w:before="60"/>
              <w:jc w:val="center"/>
            </w:pPr>
            <w:r>
              <w:rPr>
                <w:rFonts w:ascii="Arial" w:cs="Arial" w:eastAsia="Arial" w:hAnsi="Arial"/>
                <w:b/>
                <w:bCs/>
                <w:i w:val="false"/>
                <w:iCs w:val="false"/>
                <w:color w:val="FFFFFF"/>
                <w:sz w:val="20"/>
                <w:szCs w:val="20"/>
              </w:rPr>
              <w:t xml:space="preserve">Propósito</w:t>
            </w:r>
          </w:p>
        </w:tc>
        <w:tc>
          <w:tcPr>
            <w:tcW w:type="dxa" w:w="4160"/>
            <w:shd w:fill="0F6E56" w:val="clear"/>
            <w:vAlign w:val="center"/>
          </w:tcPr>
          <w:p>
            <w:pPr>
              <w:spacing w:after="60" w:before="60"/>
              <w:jc w:val="center"/>
            </w:pPr>
            <w:r>
              <w:rPr>
                <w:rFonts w:ascii="Arial" w:cs="Arial" w:eastAsia="Arial" w:hAnsi="Arial"/>
                <w:b/>
                <w:bCs/>
                <w:i w:val="false"/>
                <w:iCs w:val="false"/>
                <w:color w:val="FFFFFF"/>
                <w:sz w:val="20"/>
                <w:szCs w:val="20"/>
              </w:rPr>
              <w:t xml:space="preserve">Capa de seguridad</w:t>
            </w:r>
          </w:p>
        </w:tc>
      </w:tr>
      <w:tr>
        <w:tc>
          <w:tcPr>
            <w:tcW w:type="dxa" w:w="2600"/>
            <w:vAlign w:val="center"/>
          </w:tcPr>
          <w:p>
            <w:pPr>
              <w:spacing w:after="40" w:before="40"/>
              <w:jc w:val="left"/>
            </w:pPr>
            <w:r>
              <w:rPr>
                <w:rFonts w:ascii="Arial" w:cs="Arial" w:eastAsia="Arial" w:hAnsi="Arial"/>
                <w:b w:val="false"/>
                <w:bCs w:val="false"/>
                <w:i w:val="false"/>
                <w:iCs w:val="false"/>
                <w:color w:val="1a1a1a"/>
                <w:sz w:val="20"/>
                <w:szCs w:val="20"/>
              </w:rPr>
              <w:t xml:space="preserve">Node.js / Express</w:t>
            </w:r>
          </w:p>
        </w:tc>
        <w:tc>
          <w:tcPr>
            <w:tcW w:type="dxa" w:w="2600"/>
            <w:vAlign w:val="center"/>
          </w:tcPr>
          <w:p>
            <w:pPr>
              <w:spacing w:after="40" w:before="40"/>
              <w:jc w:val="left"/>
            </w:pPr>
            <w:r>
              <w:rPr>
                <w:rFonts w:ascii="Arial" w:cs="Arial" w:eastAsia="Arial" w:hAnsi="Arial"/>
                <w:b w:val="false"/>
                <w:bCs w:val="false"/>
                <w:i w:val="false"/>
                <w:iCs w:val="false"/>
                <w:color w:val="1a1a1a"/>
                <w:sz w:val="20"/>
                <w:szCs w:val="20"/>
              </w:rPr>
              <w:t xml:space="preserve">Backend API REST</w:t>
            </w:r>
          </w:p>
        </w:tc>
        <w:tc>
          <w:tcPr>
            <w:tcW w:type="dxa" w:w="4160"/>
            <w:vAlign w:val="center"/>
          </w:tcPr>
          <w:p>
            <w:pPr>
              <w:spacing w:after="40" w:before="40"/>
              <w:jc w:val="left"/>
            </w:pPr>
            <w:r>
              <w:rPr>
                <w:rFonts w:ascii="Arial" w:cs="Arial" w:eastAsia="Arial" w:hAnsi="Arial"/>
                <w:b w:val="false"/>
                <w:bCs w:val="false"/>
                <w:i w:val="false"/>
                <w:iCs w:val="false"/>
                <w:color w:val="1a1a1a"/>
                <w:sz w:val="20"/>
                <w:szCs w:val="20"/>
              </w:rPr>
              <w:t xml:space="preserve">Capas 1-14 (plataforma base)</w:t>
            </w:r>
          </w:p>
        </w:tc>
      </w:tr>
      <w:tr>
        <w:tc>
          <w:tcPr>
            <w:tcW w:type="dxa" w:w="2600"/>
            <w:shd w:fill="f0f7f4" w:val="clear"/>
            <w:vAlign w:val="center"/>
          </w:tcPr>
          <w:p>
            <w:pPr>
              <w:spacing w:after="40" w:before="40"/>
              <w:jc w:val="left"/>
            </w:pPr>
            <w:r>
              <w:rPr>
                <w:rFonts w:ascii="Arial" w:cs="Arial" w:eastAsia="Arial" w:hAnsi="Arial"/>
                <w:b w:val="false"/>
                <w:bCs w:val="false"/>
                <w:i w:val="false"/>
                <w:iCs w:val="false"/>
                <w:color w:val="1a1a1a"/>
                <w:sz w:val="20"/>
                <w:szCs w:val="20"/>
              </w:rPr>
              <w:t xml:space="preserve">React + Vite</w:t>
            </w:r>
          </w:p>
        </w:tc>
        <w:tc>
          <w:tcPr>
            <w:tcW w:type="dxa" w:w="2600"/>
            <w:shd w:fill="f0f7f4" w:val="clear"/>
            <w:vAlign w:val="center"/>
          </w:tcPr>
          <w:p>
            <w:pPr>
              <w:spacing w:after="40" w:before="40"/>
              <w:jc w:val="left"/>
            </w:pPr>
            <w:r>
              <w:rPr>
                <w:rFonts w:ascii="Arial" w:cs="Arial" w:eastAsia="Arial" w:hAnsi="Arial"/>
                <w:b w:val="false"/>
                <w:bCs w:val="false"/>
                <w:i w:val="false"/>
                <w:iCs w:val="false"/>
                <w:color w:val="1a1a1a"/>
                <w:sz w:val="20"/>
                <w:szCs w:val="20"/>
              </w:rPr>
              <w:t xml:space="preserve">Frontend SPA</w:t>
            </w:r>
          </w:p>
        </w:tc>
        <w:tc>
          <w:tcPr>
            <w:tcW w:type="dxa" w:w="4160"/>
            <w:shd w:fill="f0f7f4" w:val="clear"/>
            <w:vAlign w:val="center"/>
          </w:tcPr>
          <w:p>
            <w:pPr>
              <w:spacing w:after="40" w:before="40"/>
              <w:jc w:val="left"/>
            </w:pPr>
            <w:r>
              <w:rPr>
                <w:rFonts w:ascii="Arial" w:cs="Arial" w:eastAsia="Arial" w:hAnsi="Arial"/>
                <w:b w:val="false"/>
                <w:bCs w:val="false"/>
                <w:i w:val="false"/>
                <w:iCs w:val="false"/>
                <w:color w:val="1a1a1a"/>
                <w:sz w:val="20"/>
                <w:szCs w:val="20"/>
              </w:rPr>
              <w:t xml:space="preserve">Capa 5 (HTTPS, headers)</w:t>
            </w:r>
          </w:p>
        </w:tc>
      </w:tr>
      <w:tr>
        <w:tc>
          <w:tcPr>
            <w:tcW w:type="dxa" w:w="2600"/>
            <w:vAlign w:val="center"/>
          </w:tcPr>
          <w:p>
            <w:pPr>
              <w:spacing w:after="40" w:before="40"/>
              <w:jc w:val="left"/>
            </w:pPr>
            <w:r>
              <w:rPr>
                <w:rFonts w:ascii="Arial" w:cs="Arial" w:eastAsia="Arial" w:hAnsi="Arial"/>
                <w:b w:val="false"/>
                <w:bCs w:val="false"/>
                <w:i w:val="false"/>
                <w:iCs w:val="false"/>
                <w:color w:val="1a1a1a"/>
                <w:sz w:val="20"/>
                <w:szCs w:val="20"/>
              </w:rPr>
              <w:t xml:space="preserve">PostgreSQL 16</w:t>
            </w:r>
          </w:p>
        </w:tc>
        <w:tc>
          <w:tcPr>
            <w:tcW w:type="dxa" w:w="2600"/>
            <w:vAlign w:val="center"/>
          </w:tcPr>
          <w:p>
            <w:pPr>
              <w:spacing w:after="40" w:before="40"/>
              <w:jc w:val="left"/>
            </w:pPr>
            <w:r>
              <w:rPr>
                <w:rFonts w:ascii="Arial" w:cs="Arial" w:eastAsia="Arial" w:hAnsi="Arial"/>
                <w:b w:val="false"/>
                <w:bCs w:val="false"/>
                <w:i w:val="false"/>
                <w:iCs w:val="false"/>
                <w:color w:val="1a1a1a"/>
                <w:sz w:val="20"/>
                <w:szCs w:val="20"/>
              </w:rPr>
              <w:t xml:space="preserve">Base de datos</w:t>
            </w:r>
          </w:p>
        </w:tc>
        <w:tc>
          <w:tcPr>
            <w:tcW w:type="dxa" w:w="4160"/>
            <w:vAlign w:val="center"/>
          </w:tcPr>
          <w:p>
            <w:pPr>
              <w:spacing w:after="40" w:before="40"/>
              <w:jc w:val="left"/>
            </w:pPr>
            <w:r>
              <w:rPr>
                <w:rFonts w:ascii="Arial" w:cs="Arial" w:eastAsia="Arial" w:hAnsi="Arial"/>
                <w:b w:val="false"/>
                <w:bCs w:val="false"/>
                <w:i w:val="false"/>
                <w:iCs w:val="false"/>
                <w:color w:val="1a1a1a"/>
                <w:sz w:val="20"/>
                <w:szCs w:val="20"/>
              </w:rPr>
              <w:t xml:space="preserve">Capa 6 (cifrado en reposo)</w:t>
            </w:r>
          </w:p>
        </w:tc>
      </w:tr>
      <w:tr>
        <w:tc>
          <w:tcPr>
            <w:tcW w:type="dxa" w:w="2600"/>
            <w:shd w:fill="f0f7f4" w:val="clear"/>
            <w:vAlign w:val="center"/>
          </w:tcPr>
          <w:p>
            <w:pPr>
              <w:spacing w:after="40" w:before="40"/>
              <w:jc w:val="left"/>
            </w:pPr>
            <w:r>
              <w:rPr>
                <w:rFonts w:ascii="Arial" w:cs="Arial" w:eastAsia="Arial" w:hAnsi="Arial"/>
                <w:b w:val="false"/>
                <w:bCs w:val="false"/>
                <w:i w:val="false"/>
                <w:iCs w:val="false"/>
                <w:color w:val="1a1a1a"/>
                <w:sz w:val="20"/>
                <w:szCs w:val="20"/>
              </w:rPr>
              <w:t xml:space="preserve">Redis 7</w:t>
            </w:r>
          </w:p>
        </w:tc>
        <w:tc>
          <w:tcPr>
            <w:tcW w:type="dxa" w:w="2600"/>
            <w:shd w:fill="f0f7f4" w:val="clear"/>
            <w:vAlign w:val="center"/>
          </w:tcPr>
          <w:p>
            <w:pPr>
              <w:spacing w:after="40" w:before="40"/>
              <w:jc w:val="left"/>
            </w:pPr>
            <w:r>
              <w:rPr>
                <w:rFonts w:ascii="Arial" w:cs="Arial" w:eastAsia="Arial" w:hAnsi="Arial"/>
                <w:b w:val="false"/>
                <w:bCs w:val="false"/>
                <w:i w:val="false"/>
                <w:iCs w:val="false"/>
                <w:color w:val="1a1a1a"/>
                <w:sz w:val="20"/>
                <w:szCs w:val="20"/>
              </w:rPr>
              <w:t xml:space="preserve">Gestión de sesiones</w:t>
            </w:r>
          </w:p>
        </w:tc>
        <w:tc>
          <w:tcPr>
            <w:tcW w:type="dxa" w:w="4160"/>
            <w:shd w:fill="f0f7f4" w:val="clear"/>
            <w:vAlign w:val="center"/>
          </w:tcPr>
          <w:p>
            <w:pPr>
              <w:spacing w:after="40" w:before="40"/>
              <w:jc w:val="left"/>
            </w:pPr>
            <w:r>
              <w:rPr>
                <w:rFonts w:ascii="Arial" w:cs="Arial" w:eastAsia="Arial" w:hAnsi="Arial"/>
                <w:b w:val="false"/>
                <w:bCs w:val="false"/>
                <w:i w:val="false"/>
                <w:iCs w:val="false"/>
                <w:color w:val="1a1a1a"/>
                <w:sz w:val="20"/>
                <w:szCs w:val="20"/>
              </w:rPr>
              <w:t xml:space="preserve">Capa 2 (blacklist, refresh tokens)</w:t>
            </w:r>
          </w:p>
        </w:tc>
      </w:tr>
      <w:tr>
        <w:tc>
          <w:tcPr>
            <w:tcW w:type="dxa" w:w="2600"/>
            <w:vAlign w:val="center"/>
          </w:tcPr>
          <w:p>
            <w:pPr>
              <w:spacing w:after="40" w:before="40"/>
              <w:jc w:val="left"/>
            </w:pPr>
            <w:r>
              <w:rPr>
                <w:rFonts w:ascii="Arial" w:cs="Arial" w:eastAsia="Arial" w:hAnsi="Arial"/>
                <w:b w:val="false"/>
                <w:bCs w:val="false"/>
                <w:i w:val="false"/>
                <w:iCs w:val="false"/>
                <w:color w:val="1a1a1a"/>
                <w:sz w:val="20"/>
                <w:szCs w:val="20"/>
              </w:rPr>
              <w:t xml:space="preserve">Docker + Compose</w:t>
            </w:r>
          </w:p>
        </w:tc>
        <w:tc>
          <w:tcPr>
            <w:tcW w:type="dxa" w:w="2600"/>
            <w:vAlign w:val="center"/>
          </w:tcPr>
          <w:p>
            <w:pPr>
              <w:spacing w:after="40" w:before="40"/>
              <w:jc w:val="left"/>
            </w:pPr>
            <w:r>
              <w:rPr>
                <w:rFonts w:ascii="Arial" w:cs="Arial" w:eastAsia="Arial" w:hAnsi="Arial"/>
                <w:b w:val="false"/>
                <w:bCs w:val="false"/>
                <w:i w:val="false"/>
                <w:iCs w:val="false"/>
                <w:color w:val="1a1a1a"/>
                <w:sz w:val="20"/>
                <w:szCs w:val="20"/>
              </w:rPr>
              <w:t xml:space="preserve">Contenedores y redes</w:t>
            </w:r>
          </w:p>
        </w:tc>
        <w:tc>
          <w:tcPr>
            <w:tcW w:type="dxa" w:w="4160"/>
            <w:vAlign w:val="center"/>
          </w:tcPr>
          <w:p>
            <w:pPr>
              <w:spacing w:after="40" w:before="40"/>
              <w:jc w:val="left"/>
            </w:pPr>
            <w:r>
              <w:rPr>
                <w:rFonts w:ascii="Arial" w:cs="Arial" w:eastAsia="Arial" w:hAnsi="Arial"/>
                <w:b w:val="false"/>
                <w:bCs w:val="false"/>
                <w:i w:val="false"/>
                <w:iCs w:val="false"/>
                <w:color w:val="1a1a1a"/>
                <w:sz w:val="20"/>
                <w:szCs w:val="20"/>
              </w:rPr>
              <w:t xml:space="preserve">Capas 9-10 (segmentación, hardening)</w:t>
            </w:r>
          </w:p>
        </w:tc>
      </w:tr>
      <w:tr>
        <w:tc>
          <w:tcPr>
            <w:tcW w:type="dxa" w:w="2600"/>
            <w:shd w:fill="f0f7f4" w:val="clear"/>
            <w:vAlign w:val="center"/>
          </w:tcPr>
          <w:p>
            <w:pPr>
              <w:spacing w:after="40" w:before="40"/>
              <w:jc w:val="left"/>
            </w:pPr>
            <w:r>
              <w:rPr>
                <w:rFonts w:ascii="Arial" w:cs="Arial" w:eastAsia="Arial" w:hAnsi="Arial"/>
                <w:b w:val="false"/>
                <w:bCs w:val="false"/>
                <w:i w:val="false"/>
                <w:iCs w:val="false"/>
                <w:color w:val="1a1a1a"/>
                <w:sz w:val="20"/>
                <w:szCs w:val="20"/>
              </w:rPr>
              <w:t xml:space="preserve">bcrypt</w:t>
            </w:r>
          </w:p>
        </w:tc>
        <w:tc>
          <w:tcPr>
            <w:tcW w:type="dxa" w:w="2600"/>
            <w:shd w:fill="f0f7f4" w:val="clear"/>
            <w:vAlign w:val="center"/>
          </w:tcPr>
          <w:p>
            <w:pPr>
              <w:spacing w:after="40" w:before="40"/>
              <w:jc w:val="left"/>
            </w:pPr>
            <w:r>
              <w:rPr>
                <w:rFonts w:ascii="Arial" w:cs="Arial" w:eastAsia="Arial" w:hAnsi="Arial"/>
                <w:b w:val="false"/>
                <w:bCs w:val="false"/>
                <w:i w:val="false"/>
                <w:iCs w:val="false"/>
                <w:color w:val="1a1a1a"/>
                <w:sz w:val="20"/>
                <w:szCs w:val="20"/>
              </w:rPr>
              <w:t xml:space="preserve">Hashing de contraseñas</w:t>
            </w:r>
          </w:p>
        </w:tc>
        <w:tc>
          <w:tcPr>
            <w:tcW w:type="dxa" w:w="4160"/>
            <w:shd w:fill="f0f7f4" w:val="clear"/>
            <w:vAlign w:val="center"/>
          </w:tcPr>
          <w:p>
            <w:pPr>
              <w:spacing w:after="40" w:before="40"/>
              <w:jc w:val="left"/>
            </w:pPr>
            <w:r>
              <w:rPr>
                <w:rFonts w:ascii="Arial" w:cs="Arial" w:eastAsia="Arial" w:hAnsi="Arial"/>
                <w:b w:val="false"/>
                <w:bCs w:val="false"/>
                <w:i w:val="false"/>
                <w:iCs w:val="false"/>
                <w:color w:val="1a1a1a"/>
                <w:sz w:val="20"/>
                <w:szCs w:val="20"/>
              </w:rPr>
              <w:t xml:space="preserve">Capa 1 (autenticación)</w:t>
            </w:r>
          </w:p>
        </w:tc>
      </w:tr>
      <w:tr>
        <w:tc>
          <w:tcPr>
            <w:tcW w:type="dxa" w:w="2600"/>
            <w:vAlign w:val="center"/>
          </w:tcPr>
          <w:p>
            <w:pPr>
              <w:spacing w:after="40" w:before="40"/>
              <w:jc w:val="left"/>
            </w:pPr>
            <w:r>
              <w:rPr>
                <w:rFonts w:ascii="Arial" w:cs="Arial" w:eastAsia="Arial" w:hAnsi="Arial"/>
                <w:b w:val="false"/>
                <w:bCs w:val="false"/>
                <w:i w:val="false"/>
                <w:iCs w:val="false"/>
                <w:color w:val="1a1a1a"/>
                <w:sz w:val="20"/>
                <w:szCs w:val="20"/>
              </w:rPr>
              <w:t xml:space="preserve">jsonwebtoken</w:t>
            </w:r>
          </w:p>
        </w:tc>
        <w:tc>
          <w:tcPr>
            <w:tcW w:type="dxa" w:w="2600"/>
            <w:vAlign w:val="center"/>
          </w:tcPr>
          <w:p>
            <w:pPr>
              <w:spacing w:after="40" w:before="40"/>
              <w:jc w:val="left"/>
            </w:pPr>
            <w:r>
              <w:rPr>
                <w:rFonts w:ascii="Arial" w:cs="Arial" w:eastAsia="Arial" w:hAnsi="Arial"/>
                <w:b w:val="false"/>
                <w:bCs w:val="false"/>
                <w:i w:val="false"/>
                <w:iCs w:val="false"/>
                <w:color w:val="1a1a1a"/>
                <w:sz w:val="20"/>
                <w:szCs w:val="20"/>
              </w:rPr>
              <w:t xml:space="preserve">JWT RS256</w:t>
            </w:r>
          </w:p>
        </w:tc>
        <w:tc>
          <w:tcPr>
            <w:tcW w:type="dxa" w:w="4160"/>
            <w:vAlign w:val="center"/>
          </w:tcPr>
          <w:p>
            <w:pPr>
              <w:spacing w:after="40" w:before="40"/>
              <w:jc w:val="left"/>
            </w:pPr>
            <w:r>
              <w:rPr>
                <w:rFonts w:ascii="Arial" w:cs="Arial" w:eastAsia="Arial" w:hAnsi="Arial"/>
                <w:b w:val="false"/>
                <w:bCs w:val="false"/>
                <w:i w:val="false"/>
                <w:iCs w:val="false"/>
                <w:color w:val="1a1a1a"/>
                <w:sz w:val="20"/>
                <w:szCs w:val="20"/>
              </w:rPr>
              <w:t xml:space="preserve">Capa 1 (tokens de acceso)</w:t>
            </w:r>
          </w:p>
        </w:tc>
      </w:tr>
      <w:tr>
        <w:tc>
          <w:tcPr>
            <w:tcW w:type="dxa" w:w="2600"/>
            <w:shd w:fill="f0f7f4" w:val="clear"/>
            <w:vAlign w:val="center"/>
          </w:tcPr>
          <w:p>
            <w:pPr>
              <w:spacing w:after="40" w:before="40"/>
              <w:jc w:val="left"/>
            </w:pPr>
            <w:r>
              <w:rPr>
                <w:rFonts w:ascii="Arial" w:cs="Arial" w:eastAsia="Arial" w:hAnsi="Arial"/>
                <w:b w:val="false"/>
                <w:bCs w:val="false"/>
                <w:i w:val="false"/>
                <w:iCs w:val="false"/>
                <w:color w:val="1a1a1a"/>
                <w:sz w:val="20"/>
                <w:szCs w:val="20"/>
              </w:rPr>
              <w:t xml:space="preserve">speakeasy</w:t>
            </w:r>
          </w:p>
        </w:tc>
        <w:tc>
          <w:tcPr>
            <w:tcW w:type="dxa" w:w="2600"/>
            <w:shd w:fill="f0f7f4" w:val="clear"/>
            <w:vAlign w:val="center"/>
          </w:tcPr>
          <w:p>
            <w:pPr>
              <w:spacing w:after="40" w:before="40"/>
              <w:jc w:val="left"/>
            </w:pPr>
            <w:r>
              <w:rPr>
                <w:rFonts w:ascii="Arial" w:cs="Arial" w:eastAsia="Arial" w:hAnsi="Arial"/>
                <w:b w:val="false"/>
                <w:bCs w:val="false"/>
                <w:i w:val="false"/>
                <w:iCs w:val="false"/>
                <w:color w:val="1a1a1a"/>
                <w:sz w:val="20"/>
                <w:szCs w:val="20"/>
              </w:rPr>
              <w:t xml:space="preserve">TOTP / MFA</w:t>
            </w:r>
          </w:p>
        </w:tc>
        <w:tc>
          <w:tcPr>
            <w:tcW w:type="dxa" w:w="4160"/>
            <w:shd w:fill="f0f7f4" w:val="clear"/>
            <w:vAlign w:val="center"/>
          </w:tcPr>
          <w:p>
            <w:pPr>
              <w:spacing w:after="40" w:before="40"/>
              <w:jc w:val="left"/>
            </w:pPr>
            <w:r>
              <w:rPr>
                <w:rFonts w:ascii="Arial" w:cs="Arial" w:eastAsia="Arial" w:hAnsi="Arial"/>
                <w:b w:val="false"/>
                <w:bCs w:val="false"/>
                <w:i w:val="false"/>
                <w:iCs w:val="false"/>
                <w:color w:val="1a1a1a"/>
                <w:sz w:val="20"/>
                <w:szCs w:val="20"/>
              </w:rPr>
              <w:t xml:space="preserve">Capa 1 (doble factor)</w:t>
            </w:r>
          </w:p>
        </w:tc>
      </w:tr>
      <w:tr>
        <w:tc>
          <w:tcPr>
            <w:tcW w:type="dxa" w:w="2600"/>
            <w:vAlign w:val="center"/>
          </w:tcPr>
          <w:p>
            <w:pPr>
              <w:spacing w:after="40" w:before="40"/>
              <w:jc w:val="left"/>
            </w:pPr>
            <w:r>
              <w:rPr>
                <w:rFonts w:ascii="Arial" w:cs="Arial" w:eastAsia="Arial" w:hAnsi="Arial"/>
                <w:b w:val="false"/>
                <w:bCs w:val="false"/>
                <w:i w:val="false"/>
                <w:iCs w:val="false"/>
                <w:color w:val="1a1a1a"/>
                <w:sz w:val="20"/>
                <w:szCs w:val="20"/>
              </w:rPr>
              <w:t xml:space="preserve">Winston</w:t>
            </w:r>
          </w:p>
        </w:tc>
        <w:tc>
          <w:tcPr>
            <w:tcW w:type="dxa" w:w="2600"/>
            <w:vAlign w:val="center"/>
          </w:tcPr>
          <w:p>
            <w:pPr>
              <w:spacing w:after="40" w:before="40"/>
              <w:jc w:val="left"/>
            </w:pPr>
            <w:r>
              <w:rPr>
                <w:rFonts w:ascii="Arial" w:cs="Arial" w:eastAsia="Arial" w:hAnsi="Arial"/>
                <w:b w:val="false"/>
                <w:bCs w:val="false"/>
                <w:i w:val="false"/>
                <w:iCs w:val="false"/>
                <w:color w:val="1a1a1a"/>
                <w:sz w:val="20"/>
                <w:szCs w:val="20"/>
              </w:rPr>
              <w:t xml:space="preserve">Logging estructurado</w:t>
            </w:r>
          </w:p>
        </w:tc>
        <w:tc>
          <w:tcPr>
            <w:tcW w:type="dxa" w:w="4160"/>
            <w:vAlign w:val="center"/>
          </w:tcPr>
          <w:p>
            <w:pPr>
              <w:spacing w:after="40" w:before="40"/>
              <w:jc w:val="left"/>
            </w:pPr>
            <w:r>
              <w:rPr>
                <w:rFonts w:ascii="Arial" w:cs="Arial" w:eastAsia="Arial" w:hAnsi="Arial"/>
                <w:b w:val="false"/>
                <w:bCs w:val="false"/>
                <w:i w:val="false"/>
                <w:iCs w:val="false"/>
                <w:color w:val="1a1a1a"/>
                <w:sz w:val="20"/>
                <w:szCs w:val="20"/>
              </w:rPr>
              <w:t xml:space="preserve">Capa 12 (auditoría)</w:t>
            </w:r>
          </w:p>
        </w:tc>
      </w:tr>
      <w:tr>
        <w:tc>
          <w:tcPr>
            <w:tcW w:type="dxa" w:w="2600"/>
            <w:shd w:fill="f0f7f4" w:val="clear"/>
            <w:vAlign w:val="center"/>
          </w:tcPr>
          <w:p>
            <w:pPr>
              <w:spacing w:after="40" w:before="40"/>
              <w:jc w:val="left"/>
            </w:pPr>
            <w:r>
              <w:rPr>
                <w:rFonts w:ascii="Arial" w:cs="Arial" w:eastAsia="Arial" w:hAnsi="Arial"/>
                <w:b w:val="false"/>
                <w:bCs w:val="false"/>
                <w:i w:val="false"/>
                <w:iCs w:val="false"/>
                <w:color w:val="1a1a1a"/>
                <w:sz w:val="20"/>
                <w:szCs w:val="20"/>
              </w:rPr>
              <w:t xml:space="preserve">nodemailer</w:t>
            </w:r>
          </w:p>
        </w:tc>
        <w:tc>
          <w:tcPr>
            <w:tcW w:type="dxa" w:w="2600"/>
            <w:shd w:fill="f0f7f4" w:val="clear"/>
            <w:vAlign w:val="center"/>
          </w:tcPr>
          <w:p>
            <w:pPr>
              <w:spacing w:after="40" w:before="40"/>
              <w:jc w:val="left"/>
            </w:pPr>
            <w:r>
              <w:rPr>
                <w:rFonts w:ascii="Arial" w:cs="Arial" w:eastAsia="Arial" w:hAnsi="Arial"/>
                <w:b w:val="false"/>
                <w:bCs w:val="false"/>
                <w:i w:val="false"/>
                <w:iCs w:val="false"/>
                <w:color w:val="1a1a1a"/>
                <w:sz w:val="20"/>
                <w:szCs w:val="20"/>
              </w:rPr>
              <w:t xml:space="preserve">Correo electrónico</w:t>
            </w:r>
          </w:p>
        </w:tc>
        <w:tc>
          <w:tcPr>
            <w:tcW w:type="dxa" w:w="4160"/>
            <w:shd w:fill="f0f7f4" w:val="clear"/>
            <w:vAlign w:val="center"/>
          </w:tcPr>
          <w:p>
            <w:pPr>
              <w:spacing w:after="40" w:before="40"/>
              <w:jc w:val="left"/>
            </w:pPr>
            <w:r>
              <w:rPr>
                <w:rFonts w:ascii="Arial" w:cs="Arial" w:eastAsia="Arial" w:hAnsi="Arial"/>
                <w:b w:val="false"/>
                <w:bCs w:val="false"/>
                <w:i w:val="false"/>
                <w:iCs w:val="false"/>
                <w:color w:val="1a1a1a"/>
                <w:sz w:val="20"/>
                <w:szCs w:val="20"/>
              </w:rPr>
              <w:t xml:space="preserve">Capa 14 (notificaciones)</w:t>
            </w:r>
          </w:p>
        </w:tc>
      </w:tr>
      <w:tr>
        <w:tc>
          <w:tcPr>
            <w:tcW w:type="dxa" w:w="2600"/>
            <w:vAlign w:val="center"/>
          </w:tcPr>
          <w:p>
            <w:pPr>
              <w:spacing w:after="40" w:before="40"/>
              <w:jc w:val="left"/>
            </w:pPr>
            <w:r>
              <w:rPr>
                <w:rFonts w:ascii="Arial" w:cs="Arial" w:eastAsia="Arial" w:hAnsi="Arial"/>
                <w:b w:val="false"/>
                <w:bCs w:val="false"/>
                <w:i w:val="false"/>
                <w:iCs w:val="false"/>
                <w:color w:val="1a1a1a"/>
                <w:sz w:val="20"/>
                <w:szCs w:val="20"/>
              </w:rPr>
              <w:t xml:space="preserve">helmet</w:t>
            </w:r>
          </w:p>
        </w:tc>
        <w:tc>
          <w:tcPr>
            <w:tcW w:type="dxa" w:w="2600"/>
            <w:vAlign w:val="center"/>
          </w:tcPr>
          <w:p>
            <w:pPr>
              <w:spacing w:after="40" w:before="40"/>
              <w:jc w:val="left"/>
            </w:pPr>
            <w:r>
              <w:rPr>
                <w:rFonts w:ascii="Arial" w:cs="Arial" w:eastAsia="Arial" w:hAnsi="Arial"/>
                <w:b w:val="false"/>
                <w:bCs w:val="false"/>
                <w:i w:val="false"/>
                <w:iCs w:val="false"/>
                <w:color w:val="1a1a1a"/>
                <w:sz w:val="20"/>
                <w:szCs w:val="20"/>
              </w:rPr>
              <w:t xml:space="preserve">Headers de seguridad</w:t>
            </w:r>
          </w:p>
        </w:tc>
        <w:tc>
          <w:tcPr>
            <w:tcW w:type="dxa" w:w="4160"/>
            <w:vAlign w:val="center"/>
          </w:tcPr>
          <w:p>
            <w:pPr>
              <w:spacing w:after="40" w:before="40"/>
              <w:jc w:val="left"/>
            </w:pPr>
            <w:r>
              <w:rPr>
                <w:rFonts w:ascii="Arial" w:cs="Arial" w:eastAsia="Arial" w:hAnsi="Arial"/>
                <w:b w:val="false"/>
                <w:bCs w:val="false"/>
                <w:i w:val="false"/>
                <w:iCs w:val="false"/>
                <w:color w:val="1a1a1a"/>
                <w:sz w:val="20"/>
                <w:szCs w:val="20"/>
              </w:rPr>
              <w:t xml:space="preserve">Capa 3 (WAF)</w:t>
            </w:r>
          </w:p>
        </w:tc>
      </w:tr>
      <w:tr>
        <w:tc>
          <w:tcPr>
            <w:tcW w:type="dxa" w:w="2600"/>
            <w:shd w:fill="f0f7f4" w:val="clear"/>
            <w:vAlign w:val="center"/>
          </w:tcPr>
          <w:p>
            <w:pPr>
              <w:spacing w:after="40" w:before="40"/>
              <w:jc w:val="left"/>
            </w:pPr>
            <w:r>
              <w:rPr>
                <w:rFonts w:ascii="Arial" w:cs="Arial" w:eastAsia="Arial" w:hAnsi="Arial"/>
                <w:b w:val="false"/>
                <w:bCs w:val="false"/>
                <w:i w:val="false"/>
                <w:iCs w:val="false"/>
                <w:color w:val="1a1a1a"/>
                <w:sz w:val="20"/>
                <w:szCs w:val="20"/>
              </w:rPr>
              <w:t xml:space="preserve">Jest / Supertest</w:t>
            </w:r>
          </w:p>
        </w:tc>
        <w:tc>
          <w:tcPr>
            <w:tcW w:type="dxa" w:w="2600"/>
            <w:shd w:fill="f0f7f4" w:val="clear"/>
            <w:vAlign w:val="center"/>
          </w:tcPr>
          <w:p>
            <w:pPr>
              <w:spacing w:after="40" w:before="40"/>
              <w:jc w:val="left"/>
            </w:pPr>
            <w:r>
              <w:rPr>
                <w:rFonts w:ascii="Arial" w:cs="Arial" w:eastAsia="Arial" w:hAnsi="Arial"/>
                <w:b w:val="false"/>
                <w:bCs w:val="false"/>
                <w:i w:val="false"/>
                <w:iCs w:val="false"/>
                <w:color w:val="1a1a1a"/>
                <w:sz w:val="20"/>
                <w:szCs w:val="20"/>
              </w:rPr>
              <w:t xml:space="preserve">Pruebas de seguridad</w:t>
            </w:r>
          </w:p>
        </w:tc>
        <w:tc>
          <w:tcPr>
            <w:tcW w:type="dxa" w:w="4160"/>
            <w:shd w:fill="f0f7f4" w:val="clear"/>
            <w:vAlign w:val="center"/>
          </w:tcPr>
          <w:p>
            <w:pPr>
              <w:spacing w:after="40" w:before="40"/>
              <w:jc w:val="left"/>
            </w:pPr>
            <w:r>
              <w:rPr>
                <w:rFonts w:ascii="Arial" w:cs="Arial" w:eastAsia="Arial" w:hAnsi="Arial"/>
                <w:b w:val="false"/>
                <w:bCs w:val="false"/>
                <w:i w:val="false"/>
                <w:iCs w:val="false"/>
                <w:color w:val="1a1a1a"/>
                <w:sz w:val="20"/>
                <w:szCs w:val="20"/>
              </w:rPr>
              <w:t xml:space="preserve">Validación de capas</w:t>
            </w:r>
          </w:p>
        </w:tc>
      </w:tr>
    </w:tbl>
    <w:p>
      <w:pPr>
        <w:spacing w:after="0" w:before="120"/>
      </w:pPr>
    </w:p>
    <w:p>
      <w:pPr>
        <w:spacing w:after="240" w:before="240" w:line="360" w:lineRule="auto"/>
        <w:jc w:val="center"/>
      </w:pPr>
      <w:r>
        <w:rPr>
          <w:rFonts w:ascii="Arial" w:cs="Arial" w:eastAsia="Arial" w:hAnsi="Arial"/>
          <w:b/>
          <w:bCs/>
          <w:i w:val="false"/>
          <w:iCs w:val="false"/>
          <w:color w:val="1a1a1a"/>
          <w:sz w:val="28"/>
          <w:szCs w:val="28"/>
        </w:rPr>
        <w:t xml:space="preserve">CAPÍTULO 4: ANÁLISIS DE RESULTADOS</w:t>
      </w:r>
    </w:p>
    <w:p>
      <w:pPr>
        <w:spacing w:after="120" w:before="180" w:line="360" w:lineRule="auto"/>
        <w:jc w:val="left"/>
      </w:pPr>
      <w:r>
        <w:rPr>
          <w:rFonts w:ascii="Arial" w:cs="Arial" w:eastAsia="Arial" w:hAnsi="Arial"/>
          <w:b/>
          <w:bCs/>
          <w:i w:val="false"/>
          <w:iCs w:val="false"/>
          <w:color w:val="1a1a1a"/>
          <w:sz w:val="24"/>
          <w:szCs w:val="24"/>
        </w:rPr>
        <w:t xml:space="preserve">4.1 Las 14 capas de seguridad implementadas</w:t>
      </w:r>
    </w:p>
    <w:p>
      <w:pPr>
        <w:spacing w:line="360" w:lineRule="auto"/>
        <w:jc w:val="both"/>
      </w:pPr>
      <w:r>
        <w:rPr>
          <w:rFonts w:ascii="Arial" w:cs="Arial" w:eastAsia="Arial" w:hAnsi="Arial"/>
          <w:b w:val="false"/>
          <w:bCs w:val="false"/>
          <w:i w:val="false"/>
          <w:iCs w:val="false"/>
          <w:color w:val="1a1a1a"/>
          <w:sz w:val="24"/>
          <w:szCs w:val="24"/>
        </w:rPr>
        <w:t xml:space="preserve">A continuación se presenta la tabla detallada de cada capa de seguridad implementada en MedSecure: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600"/>
            <w:shd w:fill="0F6E56" w:val="clear"/>
            <w:vAlign w:val="center"/>
          </w:tcPr>
          <w:p>
            <w:pPr>
              <w:spacing w:after="60" w:before="60"/>
              <w:jc w:val="center"/>
            </w:pPr>
            <w:r>
              <w:rPr>
                <w:rFonts w:ascii="Arial" w:cs="Arial" w:eastAsia="Arial" w:hAnsi="Arial"/>
                <w:b/>
                <w:bCs/>
                <w:i w:val="false"/>
                <w:iCs w:val="false"/>
                <w:color w:val="FFFFFF"/>
                <w:sz w:val="20"/>
                <w:szCs w:val="20"/>
              </w:rPr>
              <w:t xml:space="preserve">Capa</w:t>
            </w:r>
          </w:p>
        </w:tc>
        <w:tc>
          <w:tcPr>
            <w:tcW w:type="dxa" w:w="2200"/>
            <w:shd w:fill="0F6E56" w:val="clear"/>
            <w:vAlign w:val="center"/>
          </w:tcPr>
          <w:p>
            <w:pPr>
              <w:spacing w:after="60" w:before="60"/>
              <w:jc w:val="center"/>
            </w:pPr>
            <w:r>
              <w:rPr>
                <w:rFonts w:ascii="Arial" w:cs="Arial" w:eastAsia="Arial" w:hAnsi="Arial"/>
                <w:b/>
                <w:bCs/>
                <w:i w:val="false"/>
                <w:iCs w:val="false"/>
                <w:color w:val="FFFFFF"/>
                <w:sz w:val="20"/>
                <w:szCs w:val="20"/>
              </w:rPr>
              <w:t xml:space="preserve">Nombre</w:t>
            </w:r>
          </w:p>
        </w:tc>
        <w:tc>
          <w:tcPr>
            <w:tcW w:type="dxa" w:w="2400"/>
            <w:shd w:fill="0F6E56" w:val="clear"/>
            <w:vAlign w:val="center"/>
          </w:tcPr>
          <w:p>
            <w:pPr>
              <w:spacing w:after="60" w:before="60"/>
              <w:jc w:val="center"/>
            </w:pPr>
            <w:r>
              <w:rPr>
                <w:rFonts w:ascii="Arial" w:cs="Arial" w:eastAsia="Arial" w:hAnsi="Arial"/>
                <w:b/>
                <w:bCs/>
                <w:i w:val="false"/>
                <w:iCs w:val="false"/>
                <w:color w:val="FFFFFF"/>
                <w:sz w:val="20"/>
                <w:szCs w:val="20"/>
              </w:rPr>
              <w:t xml:space="preserve">Tecnología</w:t>
            </w:r>
          </w:p>
        </w:tc>
        <w:tc>
          <w:tcPr>
            <w:tcW w:type="dxa" w:w="2200"/>
            <w:shd w:fill="0F6E56" w:val="clear"/>
            <w:vAlign w:val="center"/>
          </w:tcPr>
          <w:p>
            <w:pPr>
              <w:spacing w:after="60" w:before="60"/>
              <w:jc w:val="center"/>
            </w:pPr>
            <w:r>
              <w:rPr>
                <w:rFonts w:ascii="Arial" w:cs="Arial" w:eastAsia="Arial" w:hAnsi="Arial"/>
                <w:b/>
                <w:bCs/>
                <w:i w:val="false"/>
                <w:iCs w:val="false"/>
                <w:color w:val="FFFFFF"/>
                <w:sz w:val="20"/>
                <w:szCs w:val="20"/>
              </w:rPr>
              <w:t xml:space="preserve">Amenaza mitigada</w:t>
            </w:r>
          </w:p>
        </w:tc>
        <w:tc>
          <w:tcPr>
            <w:tcW w:type="dxa" w:w="1960"/>
            <w:shd w:fill="0F6E56" w:val="clear"/>
            <w:vAlign w:val="center"/>
          </w:tcPr>
          <w:p>
            <w:pPr>
              <w:spacing w:after="60" w:before="60"/>
              <w:jc w:val="center"/>
            </w:pPr>
            <w:r>
              <w:rPr>
                <w:rFonts w:ascii="Arial" w:cs="Arial" w:eastAsia="Arial" w:hAnsi="Arial"/>
                <w:b/>
                <w:bCs/>
                <w:i w:val="false"/>
                <w:iCs w:val="false"/>
                <w:color w:val="FFFFFF"/>
                <w:sz w:val="20"/>
                <w:szCs w:val="20"/>
              </w:rPr>
              <w:t xml:space="preserve">Norma cumplida</w:t>
            </w:r>
          </w:p>
        </w:tc>
      </w:tr>
      <w:tr>
        <w:tc>
          <w:tcPr>
            <w:tcW w:type="dxa" w:w="600"/>
            <w:vAlign w:val="center"/>
          </w:tcPr>
          <w:p>
            <w:pPr>
              <w:spacing w:after="40" w:before="40"/>
              <w:jc w:val="left"/>
            </w:pPr>
            <w:r>
              <w:rPr>
                <w:rFonts w:ascii="Arial" w:cs="Arial" w:eastAsia="Arial" w:hAnsi="Arial"/>
                <w:b w:val="false"/>
                <w:bCs w:val="false"/>
                <w:i w:val="false"/>
                <w:iCs w:val="false"/>
                <w:color w:val="1a1a1a"/>
                <w:sz w:val="20"/>
                <w:szCs w:val="20"/>
              </w:rPr>
              <w:t xml:space="preserve">1</w:t>
            </w:r>
          </w:p>
        </w:tc>
        <w:tc>
          <w:tcPr>
            <w:tcW w:type="dxa" w:w="2200"/>
            <w:vAlign w:val="center"/>
          </w:tcPr>
          <w:p>
            <w:pPr>
              <w:spacing w:after="40" w:before="40"/>
              <w:jc w:val="left"/>
            </w:pPr>
            <w:r>
              <w:rPr>
                <w:rFonts w:ascii="Arial" w:cs="Arial" w:eastAsia="Arial" w:hAnsi="Arial"/>
                <w:b w:val="false"/>
                <w:bCs w:val="false"/>
                <w:i w:val="false"/>
                <w:iCs w:val="false"/>
                <w:color w:val="1a1a1a"/>
                <w:sz w:val="20"/>
                <w:szCs w:val="20"/>
              </w:rPr>
              <w:t xml:space="preserve">Autenticación MFA</w:t>
            </w:r>
          </w:p>
        </w:tc>
        <w:tc>
          <w:tcPr>
            <w:tcW w:type="dxa" w:w="2400"/>
            <w:vAlign w:val="center"/>
          </w:tcPr>
          <w:p>
            <w:pPr>
              <w:spacing w:after="40" w:before="40"/>
              <w:jc w:val="left"/>
            </w:pPr>
            <w:r>
              <w:rPr>
                <w:rFonts w:ascii="Arial" w:cs="Arial" w:eastAsia="Arial" w:hAnsi="Arial"/>
                <w:b w:val="false"/>
                <w:bCs w:val="false"/>
                <w:i w:val="false"/>
                <w:iCs w:val="false"/>
                <w:color w:val="1a1a1a"/>
                <w:sz w:val="20"/>
                <w:szCs w:val="20"/>
              </w:rPr>
              <w:t xml:space="preserve">JWT RS256 + TOTP + bcrypt</w:t>
            </w:r>
          </w:p>
        </w:tc>
        <w:tc>
          <w:tcPr>
            <w:tcW w:type="dxa" w:w="2200"/>
            <w:vAlign w:val="center"/>
          </w:tcPr>
          <w:p>
            <w:pPr>
              <w:spacing w:after="40" w:before="40"/>
              <w:jc w:val="left"/>
            </w:pPr>
            <w:r>
              <w:rPr>
                <w:rFonts w:ascii="Arial" w:cs="Arial" w:eastAsia="Arial" w:hAnsi="Arial"/>
                <w:b w:val="false"/>
                <w:bCs w:val="false"/>
                <w:i w:val="false"/>
                <w:iCs w:val="false"/>
                <w:color w:val="1a1a1a"/>
                <w:sz w:val="20"/>
                <w:szCs w:val="20"/>
              </w:rPr>
              <w:t xml:space="preserve">Suplantación, fuerza bruta</w:t>
            </w:r>
          </w:p>
        </w:tc>
        <w:tc>
          <w:tcPr>
            <w:tcW w:type="dxa" w:w="1960"/>
            <w:vAlign w:val="center"/>
          </w:tcPr>
          <w:p>
            <w:pPr>
              <w:spacing w:after="40" w:before="40"/>
              <w:jc w:val="left"/>
            </w:pPr>
            <w:r>
              <w:rPr>
                <w:rFonts w:ascii="Arial" w:cs="Arial" w:eastAsia="Arial" w:hAnsi="Arial"/>
                <w:b w:val="false"/>
                <w:bCs w:val="false"/>
                <w:i w:val="false"/>
                <w:iCs w:val="false"/>
                <w:color w:val="1a1a1a"/>
                <w:sz w:val="20"/>
                <w:szCs w:val="20"/>
              </w:rPr>
              <w:t xml:space="preserve">HIPAA §164.312(d)</w:t>
            </w:r>
          </w:p>
        </w:tc>
      </w:tr>
      <w:tr>
        <w:tc>
          <w:tcPr>
            <w:tcW w:type="dxa" w:w="600"/>
            <w:shd w:fill="f0f7f4" w:val="clear"/>
            <w:vAlign w:val="center"/>
          </w:tcPr>
          <w:p>
            <w:pPr>
              <w:spacing w:after="40" w:before="40"/>
              <w:jc w:val="left"/>
            </w:pPr>
            <w:r>
              <w:rPr>
                <w:rFonts w:ascii="Arial" w:cs="Arial" w:eastAsia="Arial" w:hAnsi="Arial"/>
                <w:b w:val="false"/>
                <w:bCs w:val="false"/>
                <w:i w:val="false"/>
                <w:iCs w:val="false"/>
                <w:color w:val="1a1a1a"/>
                <w:sz w:val="20"/>
                <w:szCs w:val="20"/>
              </w:rPr>
              <w:t xml:space="preserve">2</w:t>
            </w:r>
          </w:p>
        </w:tc>
        <w:tc>
          <w:tcPr>
            <w:tcW w:type="dxa" w:w="2200"/>
            <w:shd w:fill="f0f7f4" w:val="clear"/>
            <w:vAlign w:val="center"/>
          </w:tcPr>
          <w:p>
            <w:pPr>
              <w:spacing w:after="40" w:before="40"/>
              <w:jc w:val="left"/>
            </w:pPr>
            <w:r>
              <w:rPr>
                <w:rFonts w:ascii="Arial" w:cs="Arial" w:eastAsia="Arial" w:hAnsi="Arial"/>
                <w:b w:val="false"/>
                <w:bCs w:val="false"/>
                <w:i w:val="false"/>
                <w:iCs w:val="false"/>
                <w:color w:val="1a1a1a"/>
                <w:sz w:val="20"/>
                <w:szCs w:val="20"/>
              </w:rPr>
              <w:t xml:space="preserve">Gestión de sesiones</w:t>
            </w:r>
          </w:p>
        </w:tc>
        <w:tc>
          <w:tcPr>
            <w:tcW w:type="dxa" w:w="2400"/>
            <w:shd w:fill="f0f7f4" w:val="clear"/>
            <w:vAlign w:val="center"/>
          </w:tcPr>
          <w:p>
            <w:pPr>
              <w:spacing w:after="40" w:before="40"/>
              <w:jc w:val="left"/>
            </w:pPr>
            <w:r>
              <w:rPr>
                <w:rFonts w:ascii="Arial" w:cs="Arial" w:eastAsia="Arial" w:hAnsi="Arial"/>
                <w:b w:val="false"/>
                <w:bCs w:val="false"/>
                <w:i w:val="false"/>
                <w:iCs w:val="false"/>
                <w:color w:val="1a1a1a"/>
                <w:sz w:val="20"/>
                <w:szCs w:val="20"/>
              </w:rPr>
              <w:t xml:space="preserve">Refresh tokens + Redis blacklist</w:t>
            </w:r>
          </w:p>
        </w:tc>
        <w:tc>
          <w:tcPr>
            <w:tcW w:type="dxa" w:w="2200"/>
            <w:shd w:fill="f0f7f4" w:val="clear"/>
            <w:vAlign w:val="center"/>
          </w:tcPr>
          <w:p>
            <w:pPr>
              <w:spacing w:after="40" w:before="40"/>
              <w:jc w:val="left"/>
            </w:pPr>
            <w:r>
              <w:rPr>
                <w:rFonts w:ascii="Arial" w:cs="Arial" w:eastAsia="Arial" w:hAnsi="Arial"/>
                <w:b w:val="false"/>
                <w:bCs w:val="false"/>
                <w:i w:val="false"/>
                <w:iCs w:val="false"/>
                <w:color w:val="1a1a1a"/>
                <w:sz w:val="20"/>
                <w:szCs w:val="20"/>
              </w:rPr>
              <w:t xml:space="preserve">Secuestro de sesión</w:t>
            </w:r>
          </w:p>
        </w:tc>
        <w:tc>
          <w:tcPr>
            <w:tcW w:type="dxa" w:w="1960"/>
            <w:shd w:fill="f0f7f4" w:val="clear"/>
            <w:vAlign w:val="center"/>
          </w:tcPr>
          <w:p>
            <w:pPr>
              <w:spacing w:after="40" w:before="40"/>
              <w:jc w:val="left"/>
            </w:pPr>
            <w:r>
              <w:rPr>
                <w:rFonts w:ascii="Arial" w:cs="Arial" w:eastAsia="Arial" w:hAnsi="Arial"/>
                <w:b w:val="false"/>
                <w:bCs w:val="false"/>
                <w:i w:val="false"/>
                <w:iCs w:val="false"/>
                <w:color w:val="1a1a1a"/>
                <w:sz w:val="20"/>
                <w:szCs w:val="20"/>
              </w:rPr>
              <w:t xml:space="preserve">OWASP Session Mgmt</w:t>
            </w:r>
          </w:p>
        </w:tc>
      </w:tr>
      <w:tr>
        <w:tc>
          <w:tcPr>
            <w:tcW w:type="dxa" w:w="600"/>
            <w:vAlign w:val="center"/>
          </w:tcPr>
          <w:p>
            <w:pPr>
              <w:spacing w:after="40" w:before="40"/>
              <w:jc w:val="left"/>
            </w:pPr>
            <w:r>
              <w:rPr>
                <w:rFonts w:ascii="Arial" w:cs="Arial" w:eastAsia="Arial" w:hAnsi="Arial"/>
                <w:b w:val="false"/>
                <w:bCs w:val="false"/>
                <w:i w:val="false"/>
                <w:iCs w:val="false"/>
                <w:color w:val="1a1a1a"/>
                <w:sz w:val="20"/>
                <w:szCs w:val="20"/>
              </w:rPr>
              <w:t xml:space="preserve">3</w:t>
            </w:r>
          </w:p>
        </w:tc>
        <w:tc>
          <w:tcPr>
            <w:tcW w:type="dxa" w:w="2200"/>
            <w:vAlign w:val="center"/>
          </w:tcPr>
          <w:p>
            <w:pPr>
              <w:spacing w:after="40" w:before="40"/>
              <w:jc w:val="left"/>
            </w:pPr>
            <w:r>
              <w:rPr>
                <w:rFonts w:ascii="Arial" w:cs="Arial" w:eastAsia="Arial" w:hAnsi="Arial"/>
                <w:b w:val="false"/>
                <w:bCs w:val="false"/>
                <w:i w:val="false"/>
                <w:iCs w:val="false"/>
                <w:color w:val="1a1a1a"/>
                <w:sz w:val="20"/>
                <w:szCs w:val="20"/>
              </w:rPr>
              <w:t xml:space="preserve">API Gateway + WAF</w:t>
            </w:r>
          </w:p>
        </w:tc>
        <w:tc>
          <w:tcPr>
            <w:tcW w:type="dxa" w:w="2400"/>
            <w:vAlign w:val="center"/>
          </w:tcPr>
          <w:p>
            <w:pPr>
              <w:spacing w:after="40" w:before="40"/>
              <w:jc w:val="left"/>
            </w:pPr>
            <w:r>
              <w:rPr>
                <w:rFonts w:ascii="Arial" w:cs="Arial" w:eastAsia="Arial" w:hAnsi="Arial"/>
                <w:b w:val="false"/>
                <w:bCs w:val="false"/>
                <w:i w:val="false"/>
                <w:iCs w:val="false"/>
                <w:color w:val="1a1a1a"/>
                <w:sz w:val="20"/>
                <w:szCs w:val="20"/>
              </w:rPr>
              <w:t xml:space="preserve">Rate limiting + helmet + sanitize</w:t>
            </w:r>
          </w:p>
        </w:tc>
        <w:tc>
          <w:tcPr>
            <w:tcW w:type="dxa" w:w="2200"/>
            <w:vAlign w:val="center"/>
          </w:tcPr>
          <w:p>
            <w:pPr>
              <w:spacing w:after="40" w:before="40"/>
              <w:jc w:val="left"/>
            </w:pPr>
            <w:r>
              <w:rPr>
                <w:rFonts w:ascii="Arial" w:cs="Arial" w:eastAsia="Arial" w:hAnsi="Arial"/>
                <w:b w:val="false"/>
                <w:bCs w:val="false"/>
                <w:i w:val="false"/>
                <w:iCs w:val="false"/>
                <w:color w:val="1a1a1a"/>
                <w:sz w:val="20"/>
                <w:szCs w:val="20"/>
              </w:rPr>
              <w:t xml:space="preserve">OWASP Top 10, DDoS</w:t>
            </w:r>
          </w:p>
        </w:tc>
        <w:tc>
          <w:tcPr>
            <w:tcW w:type="dxa" w:w="1960"/>
            <w:vAlign w:val="center"/>
          </w:tcPr>
          <w:p>
            <w:pPr>
              <w:spacing w:after="40" w:before="40"/>
              <w:jc w:val="left"/>
            </w:pPr>
            <w:r>
              <w:rPr>
                <w:rFonts w:ascii="Arial" w:cs="Arial" w:eastAsia="Arial" w:hAnsi="Arial"/>
                <w:b w:val="false"/>
                <w:bCs w:val="false"/>
                <w:i w:val="false"/>
                <w:iCs w:val="false"/>
                <w:color w:val="1a1a1a"/>
                <w:sz w:val="20"/>
                <w:szCs w:val="20"/>
              </w:rPr>
              <w:t xml:space="preserve">OWASP ASVS</w:t>
            </w:r>
          </w:p>
        </w:tc>
      </w:tr>
      <w:tr>
        <w:tc>
          <w:tcPr>
            <w:tcW w:type="dxa" w:w="600"/>
            <w:shd w:fill="f0f7f4" w:val="clear"/>
            <w:vAlign w:val="center"/>
          </w:tcPr>
          <w:p>
            <w:pPr>
              <w:spacing w:after="40" w:before="40"/>
              <w:jc w:val="left"/>
            </w:pPr>
            <w:r>
              <w:rPr>
                <w:rFonts w:ascii="Arial" w:cs="Arial" w:eastAsia="Arial" w:hAnsi="Arial"/>
                <w:b w:val="false"/>
                <w:bCs w:val="false"/>
                <w:i w:val="false"/>
                <w:iCs w:val="false"/>
                <w:color w:val="1a1a1a"/>
                <w:sz w:val="20"/>
                <w:szCs w:val="20"/>
              </w:rPr>
              <w:t xml:space="preserve">4</w:t>
            </w:r>
          </w:p>
        </w:tc>
        <w:tc>
          <w:tcPr>
            <w:tcW w:type="dxa" w:w="2200"/>
            <w:shd w:fill="f0f7f4" w:val="clear"/>
            <w:vAlign w:val="center"/>
          </w:tcPr>
          <w:p>
            <w:pPr>
              <w:spacing w:after="40" w:before="40"/>
              <w:jc w:val="left"/>
            </w:pPr>
            <w:r>
              <w:rPr>
                <w:rFonts w:ascii="Arial" w:cs="Arial" w:eastAsia="Arial" w:hAnsi="Arial"/>
                <w:b w:val="false"/>
                <w:bCs w:val="false"/>
                <w:i w:val="false"/>
                <w:iCs w:val="false"/>
                <w:color w:val="1a1a1a"/>
                <w:sz w:val="20"/>
                <w:szCs w:val="20"/>
              </w:rPr>
              <w:t xml:space="preserve">Control de acceso RBAC</w:t>
            </w:r>
          </w:p>
        </w:tc>
        <w:tc>
          <w:tcPr>
            <w:tcW w:type="dxa" w:w="2400"/>
            <w:shd w:fill="f0f7f4" w:val="clear"/>
            <w:vAlign w:val="center"/>
          </w:tcPr>
          <w:p>
            <w:pPr>
              <w:spacing w:after="40" w:before="40"/>
              <w:jc w:val="left"/>
            </w:pPr>
            <w:r>
              <w:rPr>
                <w:rFonts w:ascii="Arial" w:cs="Arial" w:eastAsia="Arial" w:hAnsi="Arial"/>
                <w:b w:val="false"/>
                <w:bCs w:val="false"/>
                <w:i w:val="false"/>
                <w:iCs w:val="false"/>
                <w:color w:val="1a1a1a"/>
                <w:sz w:val="20"/>
                <w:szCs w:val="20"/>
              </w:rPr>
              <w:t xml:space="preserve">checkRole + 4 roles + patient_token</w:t>
            </w:r>
          </w:p>
        </w:tc>
        <w:tc>
          <w:tcPr>
            <w:tcW w:type="dxa" w:w="2200"/>
            <w:shd w:fill="f0f7f4" w:val="clear"/>
            <w:vAlign w:val="center"/>
          </w:tcPr>
          <w:p>
            <w:pPr>
              <w:spacing w:after="40" w:before="40"/>
              <w:jc w:val="left"/>
            </w:pPr>
            <w:r>
              <w:rPr>
                <w:rFonts w:ascii="Arial" w:cs="Arial" w:eastAsia="Arial" w:hAnsi="Arial"/>
                <w:b w:val="false"/>
                <w:bCs w:val="false"/>
                <w:i w:val="false"/>
                <w:iCs w:val="false"/>
                <w:color w:val="1a1a1a"/>
                <w:sz w:val="20"/>
                <w:szCs w:val="20"/>
              </w:rPr>
              <w:t xml:space="preserve">IDOR, elevación privilegios</w:t>
            </w:r>
          </w:p>
        </w:tc>
        <w:tc>
          <w:tcPr>
            <w:tcW w:type="dxa" w:w="1960"/>
            <w:shd w:fill="f0f7f4" w:val="clear"/>
            <w:vAlign w:val="center"/>
          </w:tcPr>
          <w:p>
            <w:pPr>
              <w:spacing w:after="40" w:before="40"/>
              <w:jc w:val="left"/>
            </w:pPr>
            <w:r>
              <w:rPr>
                <w:rFonts w:ascii="Arial" w:cs="Arial" w:eastAsia="Arial" w:hAnsi="Arial"/>
                <w:b w:val="false"/>
                <w:bCs w:val="false"/>
                <w:i w:val="false"/>
                <w:iCs w:val="false"/>
                <w:color w:val="1a1a1a"/>
                <w:sz w:val="20"/>
                <w:szCs w:val="20"/>
              </w:rPr>
              <w:t xml:space="preserve">HIPAA §164.312(a)</w:t>
            </w:r>
          </w:p>
        </w:tc>
      </w:tr>
      <w:tr>
        <w:tc>
          <w:tcPr>
            <w:tcW w:type="dxa" w:w="600"/>
            <w:vAlign w:val="center"/>
          </w:tcPr>
          <w:p>
            <w:pPr>
              <w:spacing w:after="40" w:before="40"/>
              <w:jc w:val="left"/>
            </w:pPr>
            <w:r>
              <w:rPr>
                <w:rFonts w:ascii="Arial" w:cs="Arial" w:eastAsia="Arial" w:hAnsi="Arial"/>
                <w:b w:val="false"/>
                <w:bCs w:val="false"/>
                <w:i w:val="false"/>
                <w:iCs w:val="false"/>
                <w:color w:val="1a1a1a"/>
                <w:sz w:val="20"/>
                <w:szCs w:val="20"/>
              </w:rPr>
              <w:t xml:space="preserve">5</w:t>
            </w:r>
          </w:p>
        </w:tc>
        <w:tc>
          <w:tcPr>
            <w:tcW w:type="dxa" w:w="2200"/>
            <w:vAlign w:val="center"/>
          </w:tcPr>
          <w:p>
            <w:pPr>
              <w:spacing w:after="40" w:before="40"/>
              <w:jc w:val="left"/>
            </w:pPr>
            <w:r>
              <w:rPr>
                <w:rFonts w:ascii="Arial" w:cs="Arial" w:eastAsia="Arial" w:hAnsi="Arial"/>
                <w:b w:val="false"/>
                <w:bCs w:val="false"/>
                <w:i w:val="false"/>
                <w:iCs w:val="false"/>
                <w:color w:val="1a1a1a"/>
                <w:sz w:val="20"/>
                <w:szCs w:val="20"/>
              </w:rPr>
              <w:t xml:space="preserve">Comunicación segura</w:t>
            </w:r>
          </w:p>
        </w:tc>
        <w:tc>
          <w:tcPr>
            <w:tcW w:type="dxa" w:w="2400"/>
            <w:vAlign w:val="center"/>
          </w:tcPr>
          <w:p>
            <w:pPr>
              <w:spacing w:after="40" w:before="40"/>
              <w:jc w:val="left"/>
            </w:pPr>
            <w:r>
              <w:rPr>
                <w:rFonts w:ascii="Arial" w:cs="Arial" w:eastAsia="Arial" w:hAnsi="Arial"/>
                <w:b w:val="false"/>
                <w:bCs w:val="false"/>
                <w:i w:val="false"/>
                <w:iCs w:val="false"/>
                <w:color w:val="1a1a1a"/>
                <w:sz w:val="20"/>
                <w:szCs w:val="20"/>
              </w:rPr>
              <w:t xml:space="preserve">TLS 1.3 + HSTS + CORS</w:t>
            </w:r>
          </w:p>
        </w:tc>
        <w:tc>
          <w:tcPr>
            <w:tcW w:type="dxa" w:w="2200"/>
            <w:vAlign w:val="center"/>
          </w:tcPr>
          <w:p>
            <w:pPr>
              <w:spacing w:after="40" w:before="40"/>
              <w:jc w:val="left"/>
            </w:pPr>
            <w:r>
              <w:rPr>
                <w:rFonts w:ascii="Arial" w:cs="Arial" w:eastAsia="Arial" w:hAnsi="Arial"/>
                <w:b w:val="false"/>
                <w:bCs w:val="false"/>
                <w:i w:val="false"/>
                <w:iCs w:val="false"/>
                <w:color w:val="1a1a1a"/>
                <w:sz w:val="20"/>
                <w:szCs w:val="20"/>
              </w:rPr>
              <w:t xml:space="preserve">Intercepción MITM</w:t>
            </w:r>
          </w:p>
        </w:tc>
        <w:tc>
          <w:tcPr>
            <w:tcW w:type="dxa" w:w="1960"/>
            <w:vAlign w:val="center"/>
          </w:tcPr>
          <w:p>
            <w:pPr>
              <w:spacing w:after="40" w:before="40"/>
              <w:jc w:val="left"/>
            </w:pPr>
            <w:r>
              <w:rPr>
                <w:rFonts w:ascii="Arial" w:cs="Arial" w:eastAsia="Arial" w:hAnsi="Arial"/>
                <w:b w:val="false"/>
                <w:bCs w:val="false"/>
                <w:i w:val="false"/>
                <w:iCs w:val="false"/>
                <w:color w:val="1a1a1a"/>
                <w:sz w:val="20"/>
                <w:szCs w:val="20"/>
              </w:rPr>
              <w:t xml:space="preserve">HIPAA §164.312(e)</w:t>
            </w:r>
          </w:p>
        </w:tc>
      </w:tr>
      <w:tr>
        <w:tc>
          <w:tcPr>
            <w:tcW w:type="dxa" w:w="600"/>
            <w:shd w:fill="f0f7f4" w:val="clear"/>
            <w:vAlign w:val="center"/>
          </w:tcPr>
          <w:p>
            <w:pPr>
              <w:spacing w:after="40" w:before="40"/>
              <w:jc w:val="left"/>
            </w:pPr>
            <w:r>
              <w:rPr>
                <w:rFonts w:ascii="Arial" w:cs="Arial" w:eastAsia="Arial" w:hAnsi="Arial"/>
                <w:b w:val="false"/>
                <w:bCs w:val="false"/>
                <w:i w:val="false"/>
                <w:iCs w:val="false"/>
                <w:color w:val="1a1a1a"/>
                <w:sz w:val="20"/>
                <w:szCs w:val="20"/>
              </w:rPr>
              <w:t xml:space="preserve">6</w:t>
            </w:r>
          </w:p>
        </w:tc>
        <w:tc>
          <w:tcPr>
            <w:tcW w:type="dxa" w:w="2200"/>
            <w:shd w:fill="f0f7f4" w:val="clear"/>
            <w:vAlign w:val="center"/>
          </w:tcPr>
          <w:p>
            <w:pPr>
              <w:spacing w:after="40" w:before="40"/>
              <w:jc w:val="left"/>
            </w:pPr>
            <w:r>
              <w:rPr>
                <w:rFonts w:ascii="Arial" w:cs="Arial" w:eastAsia="Arial" w:hAnsi="Arial"/>
                <w:b w:val="false"/>
                <w:bCs w:val="false"/>
                <w:i w:val="false"/>
                <w:iCs w:val="false"/>
                <w:color w:val="1a1a1a"/>
                <w:sz w:val="20"/>
                <w:szCs w:val="20"/>
              </w:rPr>
              <w:t xml:space="preserve">Cifrado en reposo</w:t>
            </w:r>
          </w:p>
        </w:tc>
        <w:tc>
          <w:tcPr>
            <w:tcW w:type="dxa" w:w="2400"/>
            <w:shd w:fill="f0f7f4" w:val="clear"/>
            <w:vAlign w:val="center"/>
          </w:tcPr>
          <w:p>
            <w:pPr>
              <w:spacing w:after="40" w:before="40"/>
              <w:jc w:val="left"/>
            </w:pPr>
            <w:r>
              <w:rPr>
                <w:rFonts w:ascii="Arial" w:cs="Arial" w:eastAsia="Arial" w:hAnsi="Arial"/>
                <w:b w:val="false"/>
                <w:bCs w:val="false"/>
                <w:i w:val="false"/>
                <w:iCs w:val="false"/>
                <w:color w:val="1a1a1a"/>
                <w:sz w:val="20"/>
                <w:szCs w:val="20"/>
              </w:rPr>
              <w:t xml:space="preserve">AES-256-GCM + IV único</w:t>
            </w:r>
          </w:p>
        </w:tc>
        <w:tc>
          <w:tcPr>
            <w:tcW w:type="dxa" w:w="2200"/>
            <w:shd w:fill="f0f7f4" w:val="clear"/>
            <w:vAlign w:val="center"/>
          </w:tcPr>
          <w:p>
            <w:pPr>
              <w:spacing w:after="40" w:before="40"/>
              <w:jc w:val="left"/>
            </w:pPr>
            <w:r>
              <w:rPr>
                <w:rFonts w:ascii="Arial" w:cs="Arial" w:eastAsia="Arial" w:hAnsi="Arial"/>
                <w:b w:val="false"/>
                <w:bCs w:val="false"/>
                <w:i w:val="false"/>
                <w:iCs w:val="false"/>
                <w:color w:val="1a1a1a"/>
                <w:sz w:val="20"/>
                <w:szCs w:val="20"/>
              </w:rPr>
              <w:t xml:space="preserve">Violación de datos (en reposo)</w:t>
            </w:r>
          </w:p>
        </w:tc>
        <w:tc>
          <w:tcPr>
            <w:tcW w:type="dxa" w:w="1960"/>
            <w:shd w:fill="f0f7f4" w:val="clear"/>
            <w:vAlign w:val="center"/>
          </w:tcPr>
          <w:p>
            <w:pPr>
              <w:spacing w:after="40" w:before="40"/>
              <w:jc w:val="left"/>
            </w:pPr>
            <w:r>
              <w:rPr>
                <w:rFonts w:ascii="Arial" w:cs="Arial" w:eastAsia="Arial" w:hAnsi="Arial"/>
                <w:b w:val="false"/>
                <w:bCs w:val="false"/>
                <w:i w:val="false"/>
                <w:iCs w:val="false"/>
                <w:color w:val="1a1a1a"/>
                <w:sz w:val="20"/>
                <w:szCs w:val="20"/>
              </w:rPr>
              <w:t xml:space="preserve">HIPAA §164.312(a)</w:t>
            </w:r>
          </w:p>
        </w:tc>
      </w:tr>
      <w:tr>
        <w:tc>
          <w:tcPr>
            <w:tcW w:type="dxa" w:w="600"/>
            <w:vAlign w:val="center"/>
          </w:tcPr>
          <w:p>
            <w:pPr>
              <w:spacing w:after="40" w:before="40"/>
              <w:jc w:val="left"/>
            </w:pPr>
            <w:r>
              <w:rPr>
                <w:rFonts w:ascii="Arial" w:cs="Arial" w:eastAsia="Arial" w:hAnsi="Arial"/>
                <w:b w:val="false"/>
                <w:bCs w:val="false"/>
                <w:i w:val="false"/>
                <w:iCs w:val="false"/>
                <w:color w:val="1a1a1a"/>
                <w:sz w:val="20"/>
                <w:szCs w:val="20"/>
              </w:rPr>
              <w:t xml:space="preserve">7</w:t>
            </w:r>
          </w:p>
        </w:tc>
        <w:tc>
          <w:tcPr>
            <w:tcW w:type="dxa" w:w="2200"/>
            <w:vAlign w:val="center"/>
          </w:tcPr>
          <w:p>
            <w:pPr>
              <w:spacing w:after="40" w:before="40"/>
              <w:jc w:val="left"/>
            </w:pPr>
            <w:r>
              <w:rPr>
                <w:rFonts w:ascii="Arial" w:cs="Arial" w:eastAsia="Arial" w:hAnsi="Arial"/>
                <w:b w:val="false"/>
                <w:bCs w:val="false"/>
                <w:i w:val="false"/>
                <w:iCs w:val="false"/>
                <w:color w:val="1a1a1a"/>
                <w:sz w:val="20"/>
                <w:szCs w:val="20"/>
              </w:rPr>
              <w:t xml:space="preserve">Tokenización PHI</w:t>
            </w:r>
          </w:p>
        </w:tc>
        <w:tc>
          <w:tcPr>
            <w:tcW w:type="dxa" w:w="2400"/>
            <w:vAlign w:val="center"/>
          </w:tcPr>
          <w:p>
            <w:pPr>
              <w:spacing w:after="40" w:before="40"/>
              <w:jc w:val="left"/>
            </w:pPr>
            <w:r>
              <w:rPr>
                <w:rFonts w:ascii="Arial" w:cs="Arial" w:eastAsia="Arial" w:hAnsi="Arial"/>
                <w:b w:val="false"/>
                <w:bCs w:val="false"/>
                <w:i w:val="false"/>
                <w:iCs w:val="false"/>
                <w:color w:val="1a1a1a"/>
                <w:sz w:val="20"/>
                <w:szCs w:val="20"/>
              </w:rPr>
              <w:t xml:space="preserve">patient_token UUID</w:t>
            </w:r>
          </w:p>
        </w:tc>
        <w:tc>
          <w:tcPr>
            <w:tcW w:type="dxa" w:w="2200"/>
            <w:vAlign w:val="center"/>
          </w:tcPr>
          <w:p>
            <w:pPr>
              <w:spacing w:after="40" w:before="40"/>
              <w:jc w:val="left"/>
            </w:pPr>
            <w:r>
              <w:rPr>
                <w:rFonts w:ascii="Arial" w:cs="Arial" w:eastAsia="Arial" w:hAnsi="Arial"/>
                <w:b w:val="false"/>
                <w:bCs w:val="false"/>
                <w:i w:val="false"/>
                <w:iCs w:val="false"/>
                <w:color w:val="1a1a1a"/>
                <w:sz w:val="20"/>
                <w:szCs w:val="20"/>
              </w:rPr>
              <w:t xml:space="preserve">Identificación indirecta</w:t>
            </w:r>
          </w:p>
        </w:tc>
        <w:tc>
          <w:tcPr>
            <w:tcW w:type="dxa" w:w="1960"/>
            <w:vAlign w:val="center"/>
          </w:tcPr>
          <w:p>
            <w:pPr>
              <w:spacing w:after="40" w:before="40"/>
              <w:jc w:val="left"/>
            </w:pPr>
            <w:r>
              <w:rPr>
                <w:rFonts w:ascii="Arial" w:cs="Arial" w:eastAsia="Arial" w:hAnsi="Arial"/>
                <w:b w:val="false"/>
                <w:bCs w:val="false"/>
                <w:i w:val="false"/>
                <w:iCs w:val="false"/>
                <w:color w:val="1a1a1a"/>
                <w:sz w:val="20"/>
                <w:szCs w:val="20"/>
              </w:rPr>
              <w:t xml:space="preserve">GDPR Art. 5(1)(c)</w:t>
            </w:r>
          </w:p>
        </w:tc>
      </w:tr>
      <w:tr>
        <w:tc>
          <w:tcPr>
            <w:tcW w:type="dxa" w:w="600"/>
            <w:shd w:fill="f0f7f4" w:val="clear"/>
            <w:vAlign w:val="center"/>
          </w:tcPr>
          <w:p>
            <w:pPr>
              <w:spacing w:after="40" w:before="40"/>
              <w:jc w:val="left"/>
            </w:pPr>
            <w:r>
              <w:rPr>
                <w:rFonts w:ascii="Arial" w:cs="Arial" w:eastAsia="Arial" w:hAnsi="Arial"/>
                <w:b w:val="false"/>
                <w:bCs w:val="false"/>
                <w:i w:val="false"/>
                <w:iCs w:val="false"/>
                <w:color w:val="1a1a1a"/>
                <w:sz w:val="20"/>
                <w:szCs w:val="20"/>
              </w:rPr>
              <w:t xml:space="preserve">8</w:t>
            </w:r>
          </w:p>
        </w:tc>
        <w:tc>
          <w:tcPr>
            <w:tcW w:type="dxa" w:w="2200"/>
            <w:shd w:fill="f0f7f4" w:val="clear"/>
            <w:vAlign w:val="center"/>
          </w:tcPr>
          <w:p>
            <w:pPr>
              <w:spacing w:after="40" w:before="40"/>
              <w:jc w:val="left"/>
            </w:pPr>
            <w:r>
              <w:rPr>
                <w:rFonts w:ascii="Arial" w:cs="Arial" w:eastAsia="Arial" w:hAnsi="Arial"/>
                <w:b w:val="false"/>
                <w:bCs w:val="false"/>
                <w:i w:val="false"/>
                <w:iCs w:val="false"/>
                <w:color w:val="1a1a1a"/>
                <w:sz w:val="20"/>
                <w:szCs w:val="20"/>
              </w:rPr>
              <w:t xml:space="preserve">Backups seguros</w:t>
            </w:r>
          </w:p>
        </w:tc>
        <w:tc>
          <w:tcPr>
            <w:tcW w:type="dxa" w:w="2400"/>
            <w:shd w:fill="f0f7f4" w:val="clear"/>
            <w:vAlign w:val="center"/>
          </w:tcPr>
          <w:p>
            <w:pPr>
              <w:spacing w:after="40" w:before="40"/>
              <w:jc w:val="left"/>
            </w:pPr>
            <w:r>
              <w:rPr>
                <w:rFonts w:ascii="Arial" w:cs="Arial" w:eastAsia="Arial" w:hAnsi="Arial"/>
                <w:b w:val="false"/>
                <w:bCs w:val="false"/>
                <w:i w:val="false"/>
                <w:iCs w:val="false"/>
                <w:color w:val="1a1a1a"/>
                <w:sz w:val="20"/>
                <w:szCs w:val="20"/>
              </w:rPr>
              <w:t xml:space="preserve">Cifrado + regla 3-2-1</w:t>
            </w:r>
          </w:p>
        </w:tc>
        <w:tc>
          <w:tcPr>
            <w:tcW w:type="dxa" w:w="2200"/>
            <w:shd w:fill="f0f7f4" w:val="clear"/>
            <w:vAlign w:val="center"/>
          </w:tcPr>
          <w:p>
            <w:pPr>
              <w:spacing w:after="40" w:before="40"/>
              <w:jc w:val="left"/>
            </w:pPr>
            <w:r>
              <w:rPr>
                <w:rFonts w:ascii="Arial" w:cs="Arial" w:eastAsia="Arial" w:hAnsi="Arial"/>
                <w:b w:val="false"/>
                <w:bCs w:val="false"/>
                <w:i w:val="false"/>
                <w:iCs w:val="false"/>
                <w:color w:val="1a1a1a"/>
                <w:sz w:val="20"/>
                <w:szCs w:val="20"/>
              </w:rPr>
              <w:t xml:space="preserve">Pérdida de datos</w:t>
            </w:r>
          </w:p>
        </w:tc>
        <w:tc>
          <w:tcPr>
            <w:tcW w:type="dxa" w:w="1960"/>
            <w:shd w:fill="f0f7f4" w:val="clear"/>
            <w:vAlign w:val="center"/>
          </w:tcPr>
          <w:p>
            <w:pPr>
              <w:spacing w:after="40" w:before="40"/>
              <w:jc w:val="left"/>
            </w:pPr>
            <w:r>
              <w:rPr>
                <w:rFonts w:ascii="Arial" w:cs="Arial" w:eastAsia="Arial" w:hAnsi="Arial"/>
                <w:b w:val="false"/>
                <w:bCs w:val="false"/>
                <w:i w:val="false"/>
                <w:iCs w:val="false"/>
                <w:color w:val="1a1a1a"/>
                <w:sz w:val="20"/>
                <w:szCs w:val="20"/>
              </w:rPr>
              <w:t xml:space="preserve">NIST SP 800-53</w:t>
            </w:r>
          </w:p>
        </w:tc>
      </w:tr>
      <w:tr>
        <w:tc>
          <w:tcPr>
            <w:tcW w:type="dxa" w:w="600"/>
            <w:vAlign w:val="center"/>
          </w:tcPr>
          <w:p>
            <w:pPr>
              <w:spacing w:after="40" w:before="40"/>
              <w:jc w:val="left"/>
            </w:pPr>
            <w:r>
              <w:rPr>
                <w:rFonts w:ascii="Arial" w:cs="Arial" w:eastAsia="Arial" w:hAnsi="Arial"/>
                <w:b w:val="false"/>
                <w:bCs w:val="false"/>
                <w:i w:val="false"/>
                <w:iCs w:val="false"/>
                <w:color w:val="1a1a1a"/>
                <w:sz w:val="20"/>
                <w:szCs w:val="20"/>
              </w:rPr>
              <w:t xml:space="preserve">9</w:t>
            </w:r>
          </w:p>
        </w:tc>
        <w:tc>
          <w:tcPr>
            <w:tcW w:type="dxa" w:w="2200"/>
            <w:vAlign w:val="center"/>
          </w:tcPr>
          <w:p>
            <w:pPr>
              <w:spacing w:after="40" w:before="40"/>
              <w:jc w:val="left"/>
            </w:pPr>
            <w:r>
              <w:rPr>
                <w:rFonts w:ascii="Arial" w:cs="Arial" w:eastAsia="Arial" w:hAnsi="Arial"/>
                <w:b w:val="false"/>
                <w:bCs w:val="false"/>
                <w:i w:val="false"/>
                <w:iCs w:val="false"/>
                <w:color w:val="1a1a1a"/>
                <w:sz w:val="20"/>
                <w:szCs w:val="20"/>
              </w:rPr>
              <w:t xml:space="preserve">Red segmentada</w:t>
            </w:r>
          </w:p>
        </w:tc>
        <w:tc>
          <w:tcPr>
            <w:tcW w:type="dxa" w:w="2400"/>
            <w:vAlign w:val="center"/>
          </w:tcPr>
          <w:p>
            <w:pPr>
              <w:spacing w:after="40" w:before="40"/>
              <w:jc w:val="left"/>
            </w:pPr>
            <w:r>
              <w:rPr>
                <w:rFonts w:ascii="Arial" w:cs="Arial" w:eastAsia="Arial" w:hAnsi="Arial"/>
                <w:b w:val="false"/>
                <w:bCs w:val="false"/>
                <w:i w:val="false"/>
                <w:iCs w:val="false"/>
                <w:color w:val="1a1a1a"/>
                <w:sz w:val="20"/>
                <w:szCs w:val="20"/>
              </w:rPr>
              <w:t xml:space="preserve">Docker networks + Zero Trust</w:t>
            </w:r>
          </w:p>
        </w:tc>
        <w:tc>
          <w:tcPr>
            <w:tcW w:type="dxa" w:w="2200"/>
            <w:vAlign w:val="center"/>
          </w:tcPr>
          <w:p>
            <w:pPr>
              <w:spacing w:after="40" w:before="40"/>
              <w:jc w:val="left"/>
            </w:pPr>
            <w:r>
              <w:rPr>
                <w:rFonts w:ascii="Arial" w:cs="Arial" w:eastAsia="Arial" w:hAnsi="Arial"/>
                <w:b w:val="false"/>
                <w:bCs w:val="false"/>
                <w:i w:val="false"/>
                <w:iCs w:val="false"/>
                <w:color w:val="1a1a1a"/>
                <w:sz w:val="20"/>
                <w:szCs w:val="20"/>
              </w:rPr>
              <w:t xml:space="preserve">Movimiento lateral</w:t>
            </w:r>
          </w:p>
        </w:tc>
        <w:tc>
          <w:tcPr>
            <w:tcW w:type="dxa" w:w="1960"/>
            <w:vAlign w:val="center"/>
          </w:tcPr>
          <w:p>
            <w:pPr>
              <w:spacing w:after="40" w:before="40"/>
              <w:jc w:val="left"/>
            </w:pPr>
            <w:r>
              <w:rPr>
                <w:rFonts w:ascii="Arial" w:cs="Arial" w:eastAsia="Arial" w:hAnsi="Arial"/>
                <w:b w:val="false"/>
                <w:bCs w:val="false"/>
                <w:i w:val="false"/>
                <w:iCs w:val="false"/>
                <w:color w:val="1a1a1a"/>
                <w:sz w:val="20"/>
                <w:szCs w:val="20"/>
              </w:rPr>
              <w:t xml:space="preserve">NIST Zero Trust</w:t>
            </w:r>
          </w:p>
        </w:tc>
      </w:tr>
      <w:tr>
        <w:tc>
          <w:tcPr>
            <w:tcW w:type="dxa" w:w="600"/>
            <w:shd w:fill="f0f7f4" w:val="clear"/>
            <w:vAlign w:val="center"/>
          </w:tcPr>
          <w:p>
            <w:pPr>
              <w:spacing w:after="40" w:before="40"/>
              <w:jc w:val="left"/>
            </w:pPr>
            <w:r>
              <w:rPr>
                <w:rFonts w:ascii="Arial" w:cs="Arial" w:eastAsia="Arial" w:hAnsi="Arial"/>
                <w:b w:val="false"/>
                <w:bCs w:val="false"/>
                <w:i w:val="false"/>
                <w:iCs w:val="false"/>
                <w:color w:val="1a1a1a"/>
                <w:sz w:val="20"/>
                <w:szCs w:val="20"/>
              </w:rPr>
              <w:t xml:space="preserve">10</w:t>
            </w:r>
          </w:p>
        </w:tc>
        <w:tc>
          <w:tcPr>
            <w:tcW w:type="dxa" w:w="2200"/>
            <w:shd w:fill="f0f7f4" w:val="clear"/>
            <w:vAlign w:val="center"/>
          </w:tcPr>
          <w:p>
            <w:pPr>
              <w:spacing w:after="40" w:before="40"/>
              <w:jc w:val="left"/>
            </w:pPr>
            <w:r>
              <w:rPr>
                <w:rFonts w:ascii="Arial" w:cs="Arial" w:eastAsia="Arial" w:hAnsi="Arial"/>
                <w:b w:val="false"/>
                <w:bCs w:val="false"/>
                <w:i w:val="false"/>
                <w:iCs w:val="false"/>
                <w:color w:val="1a1a1a"/>
                <w:sz w:val="20"/>
                <w:szCs w:val="20"/>
              </w:rPr>
              <w:t xml:space="preserve">Hardening</w:t>
            </w:r>
          </w:p>
        </w:tc>
        <w:tc>
          <w:tcPr>
            <w:tcW w:type="dxa" w:w="2400"/>
            <w:shd w:fill="f0f7f4" w:val="clear"/>
            <w:vAlign w:val="center"/>
          </w:tcPr>
          <w:p>
            <w:pPr>
              <w:spacing w:after="40" w:before="40"/>
              <w:jc w:val="left"/>
            </w:pPr>
            <w:r>
              <w:rPr>
                <w:rFonts w:ascii="Arial" w:cs="Arial" w:eastAsia="Arial" w:hAnsi="Arial"/>
                <w:b w:val="false"/>
                <w:bCs w:val="false"/>
                <w:i w:val="false"/>
                <w:iCs w:val="false"/>
                <w:color w:val="1a1a1a"/>
                <w:sz w:val="20"/>
                <w:szCs w:val="20"/>
              </w:rPr>
              <w:t xml:space="preserve">Alpine + no-root + npm ci</w:t>
            </w:r>
          </w:p>
        </w:tc>
        <w:tc>
          <w:tcPr>
            <w:tcW w:type="dxa" w:w="2200"/>
            <w:shd w:fill="f0f7f4" w:val="clear"/>
            <w:vAlign w:val="center"/>
          </w:tcPr>
          <w:p>
            <w:pPr>
              <w:spacing w:after="40" w:before="40"/>
              <w:jc w:val="left"/>
            </w:pPr>
            <w:r>
              <w:rPr>
                <w:rFonts w:ascii="Arial" w:cs="Arial" w:eastAsia="Arial" w:hAnsi="Arial"/>
                <w:b w:val="false"/>
                <w:bCs w:val="false"/>
                <w:i w:val="false"/>
                <w:iCs w:val="false"/>
                <w:color w:val="1a1a1a"/>
                <w:sz w:val="20"/>
                <w:szCs w:val="20"/>
              </w:rPr>
              <w:t xml:space="preserve">Explotación de SO</w:t>
            </w:r>
          </w:p>
        </w:tc>
        <w:tc>
          <w:tcPr>
            <w:tcW w:type="dxa" w:w="1960"/>
            <w:shd w:fill="f0f7f4" w:val="clear"/>
            <w:vAlign w:val="center"/>
          </w:tcPr>
          <w:p>
            <w:pPr>
              <w:spacing w:after="40" w:before="40"/>
              <w:jc w:val="left"/>
            </w:pPr>
            <w:r>
              <w:rPr>
                <w:rFonts w:ascii="Arial" w:cs="Arial" w:eastAsia="Arial" w:hAnsi="Arial"/>
                <w:b w:val="false"/>
                <w:bCs w:val="false"/>
                <w:i w:val="false"/>
                <w:iCs w:val="false"/>
                <w:color w:val="1a1a1a"/>
                <w:sz w:val="20"/>
                <w:szCs w:val="20"/>
              </w:rPr>
              <w:t xml:space="preserve">CIS Benchmarks</w:t>
            </w:r>
          </w:p>
        </w:tc>
      </w:tr>
      <w:tr>
        <w:tc>
          <w:tcPr>
            <w:tcW w:type="dxa" w:w="600"/>
            <w:vAlign w:val="center"/>
          </w:tcPr>
          <w:p>
            <w:pPr>
              <w:spacing w:after="40" w:before="40"/>
              <w:jc w:val="left"/>
            </w:pPr>
            <w:r>
              <w:rPr>
                <w:rFonts w:ascii="Arial" w:cs="Arial" w:eastAsia="Arial" w:hAnsi="Arial"/>
                <w:b w:val="false"/>
                <w:bCs w:val="false"/>
                <w:i w:val="false"/>
                <w:iCs w:val="false"/>
                <w:color w:val="1a1a1a"/>
                <w:sz w:val="20"/>
                <w:szCs w:val="20"/>
              </w:rPr>
              <w:t xml:space="preserve">11</w:t>
            </w:r>
          </w:p>
        </w:tc>
        <w:tc>
          <w:tcPr>
            <w:tcW w:type="dxa" w:w="2200"/>
            <w:vAlign w:val="center"/>
          </w:tcPr>
          <w:p>
            <w:pPr>
              <w:spacing w:after="40" w:before="40"/>
              <w:jc w:val="left"/>
            </w:pPr>
            <w:r>
              <w:rPr>
                <w:rFonts w:ascii="Arial" w:cs="Arial" w:eastAsia="Arial" w:hAnsi="Arial"/>
                <w:b w:val="false"/>
                <w:bCs w:val="false"/>
                <w:i w:val="false"/>
                <w:iCs w:val="false"/>
                <w:color w:val="1a1a1a"/>
                <w:sz w:val="20"/>
                <w:szCs w:val="20"/>
              </w:rPr>
              <w:t xml:space="preserve">Gestión de secretos</w:t>
            </w:r>
          </w:p>
        </w:tc>
        <w:tc>
          <w:tcPr>
            <w:tcW w:type="dxa" w:w="2400"/>
            <w:vAlign w:val="center"/>
          </w:tcPr>
          <w:p>
            <w:pPr>
              <w:spacing w:after="40" w:before="40"/>
              <w:jc w:val="left"/>
            </w:pPr>
            <w:r>
              <w:rPr>
                <w:rFonts w:ascii="Arial" w:cs="Arial" w:eastAsia="Arial" w:hAnsi="Arial"/>
                <w:b w:val="false"/>
                <w:bCs w:val="false"/>
                <w:i w:val="false"/>
                <w:iCs w:val="false"/>
                <w:color w:val="1a1a1a"/>
                <w:sz w:val="20"/>
                <w:szCs w:val="20"/>
              </w:rPr>
              <w:t xml:space="preserve">Variables de entorno + .env</w:t>
            </w:r>
          </w:p>
        </w:tc>
        <w:tc>
          <w:tcPr>
            <w:tcW w:type="dxa" w:w="2200"/>
            <w:vAlign w:val="center"/>
          </w:tcPr>
          <w:p>
            <w:pPr>
              <w:spacing w:after="40" w:before="40"/>
              <w:jc w:val="left"/>
            </w:pPr>
            <w:r>
              <w:rPr>
                <w:rFonts w:ascii="Arial" w:cs="Arial" w:eastAsia="Arial" w:hAnsi="Arial"/>
                <w:b w:val="false"/>
                <w:bCs w:val="false"/>
                <w:i w:val="false"/>
                <w:iCs w:val="false"/>
                <w:color w:val="1a1a1a"/>
                <w:sz w:val="20"/>
                <w:szCs w:val="20"/>
              </w:rPr>
              <w:t xml:space="preserve">Exposición de credenciales</w:t>
            </w:r>
          </w:p>
        </w:tc>
        <w:tc>
          <w:tcPr>
            <w:tcW w:type="dxa" w:w="1960"/>
            <w:vAlign w:val="center"/>
          </w:tcPr>
          <w:p>
            <w:pPr>
              <w:spacing w:after="40" w:before="40"/>
              <w:jc w:val="left"/>
            </w:pPr>
            <w:r>
              <w:rPr>
                <w:rFonts w:ascii="Arial" w:cs="Arial" w:eastAsia="Arial" w:hAnsi="Arial"/>
                <w:b w:val="false"/>
                <w:bCs w:val="false"/>
                <w:i w:val="false"/>
                <w:iCs w:val="false"/>
                <w:color w:val="1a1a1a"/>
                <w:sz w:val="20"/>
                <w:szCs w:val="20"/>
              </w:rPr>
              <w:t xml:space="preserve">OWASP Top 10 A05</w:t>
            </w:r>
          </w:p>
        </w:tc>
      </w:tr>
      <w:tr>
        <w:tc>
          <w:tcPr>
            <w:tcW w:type="dxa" w:w="600"/>
            <w:shd w:fill="f0f7f4" w:val="clear"/>
            <w:vAlign w:val="center"/>
          </w:tcPr>
          <w:p>
            <w:pPr>
              <w:spacing w:after="40" w:before="40"/>
              <w:jc w:val="left"/>
            </w:pPr>
            <w:r>
              <w:rPr>
                <w:rFonts w:ascii="Arial" w:cs="Arial" w:eastAsia="Arial" w:hAnsi="Arial"/>
                <w:b w:val="false"/>
                <w:bCs w:val="false"/>
                <w:i w:val="false"/>
                <w:iCs w:val="false"/>
                <w:color w:val="1a1a1a"/>
                <w:sz w:val="20"/>
                <w:szCs w:val="20"/>
              </w:rPr>
              <w:t xml:space="preserve">12</w:t>
            </w:r>
          </w:p>
        </w:tc>
        <w:tc>
          <w:tcPr>
            <w:tcW w:type="dxa" w:w="2200"/>
            <w:shd w:fill="f0f7f4" w:val="clear"/>
            <w:vAlign w:val="center"/>
          </w:tcPr>
          <w:p>
            <w:pPr>
              <w:spacing w:after="40" w:before="40"/>
              <w:jc w:val="left"/>
            </w:pPr>
            <w:r>
              <w:rPr>
                <w:rFonts w:ascii="Arial" w:cs="Arial" w:eastAsia="Arial" w:hAnsi="Arial"/>
                <w:b w:val="false"/>
                <w:bCs w:val="false"/>
                <w:i w:val="false"/>
                <w:iCs w:val="false"/>
                <w:color w:val="1a1a1a"/>
                <w:sz w:val="20"/>
                <w:szCs w:val="20"/>
              </w:rPr>
              <w:t xml:space="preserve">Logging + auditoría</w:t>
            </w:r>
          </w:p>
        </w:tc>
        <w:tc>
          <w:tcPr>
            <w:tcW w:type="dxa" w:w="2400"/>
            <w:shd w:fill="f0f7f4" w:val="clear"/>
            <w:vAlign w:val="center"/>
          </w:tcPr>
          <w:p>
            <w:pPr>
              <w:spacing w:after="40" w:before="40"/>
              <w:jc w:val="left"/>
            </w:pPr>
            <w:r>
              <w:rPr>
                <w:rFonts w:ascii="Arial" w:cs="Arial" w:eastAsia="Arial" w:hAnsi="Arial"/>
                <w:b w:val="false"/>
                <w:bCs w:val="false"/>
                <w:i w:val="false"/>
                <w:iCs w:val="false"/>
                <w:color w:val="1a1a1a"/>
                <w:sz w:val="20"/>
                <w:szCs w:val="20"/>
              </w:rPr>
              <w:t xml:space="preserve">Winston + audit_logs inmutables</w:t>
            </w:r>
          </w:p>
        </w:tc>
        <w:tc>
          <w:tcPr>
            <w:tcW w:type="dxa" w:w="2200"/>
            <w:shd w:fill="f0f7f4" w:val="clear"/>
            <w:vAlign w:val="center"/>
          </w:tcPr>
          <w:p>
            <w:pPr>
              <w:spacing w:after="40" w:before="40"/>
              <w:jc w:val="left"/>
            </w:pPr>
            <w:r>
              <w:rPr>
                <w:rFonts w:ascii="Arial" w:cs="Arial" w:eastAsia="Arial" w:hAnsi="Arial"/>
                <w:b w:val="false"/>
                <w:bCs w:val="false"/>
                <w:i w:val="false"/>
                <w:iCs w:val="false"/>
                <w:color w:val="1a1a1a"/>
                <w:sz w:val="20"/>
                <w:szCs w:val="20"/>
              </w:rPr>
              <w:t xml:space="preserve">Falta de trazabilidad</w:t>
            </w:r>
          </w:p>
        </w:tc>
        <w:tc>
          <w:tcPr>
            <w:tcW w:type="dxa" w:w="1960"/>
            <w:shd w:fill="f0f7f4" w:val="clear"/>
            <w:vAlign w:val="center"/>
          </w:tcPr>
          <w:p>
            <w:pPr>
              <w:spacing w:after="40" w:before="40"/>
              <w:jc w:val="left"/>
            </w:pPr>
            <w:r>
              <w:rPr>
                <w:rFonts w:ascii="Arial" w:cs="Arial" w:eastAsia="Arial" w:hAnsi="Arial"/>
                <w:b w:val="false"/>
                <w:bCs w:val="false"/>
                <w:i w:val="false"/>
                <w:iCs w:val="false"/>
                <w:color w:val="1a1a1a"/>
                <w:sz w:val="20"/>
                <w:szCs w:val="20"/>
              </w:rPr>
              <w:t xml:space="preserve">HIPAA §164.312(b)</w:t>
            </w:r>
          </w:p>
        </w:tc>
      </w:tr>
      <w:tr>
        <w:tc>
          <w:tcPr>
            <w:tcW w:type="dxa" w:w="600"/>
            <w:vAlign w:val="center"/>
          </w:tcPr>
          <w:p>
            <w:pPr>
              <w:spacing w:after="40" w:before="40"/>
              <w:jc w:val="left"/>
            </w:pPr>
            <w:r>
              <w:rPr>
                <w:rFonts w:ascii="Arial" w:cs="Arial" w:eastAsia="Arial" w:hAnsi="Arial"/>
                <w:b w:val="false"/>
                <w:bCs w:val="false"/>
                <w:i w:val="false"/>
                <w:iCs w:val="false"/>
                <w:color w:val="1a1a1a"/>
                <w:sz w:val="20"/>
                <w:szCs w:val="20"/>
              </w:rPr>
              <w:t xml:space="preserve">13</w:t>
            </w:r>
          </w:p>
        </w:tc>
        <w:tc>
          <w:tcPr>
            <w:tcW w:type="dxa" w:w="2200"/>
            <w:vAlign w:val="center"/>
          </w:tcPr>
          <w:p>
            <w:pPr>
              <w:spacing w:after="40" w:before="40"/>
              <w:jc w:val="left"/>
            </w:pPr>
            <w:r>
              <w:rPr>
                <w:rFonts w:ascii="Arial" w:cs="Arial" w:eastAsia="Arial" w:hAnsi="Arial"/>
                <w:b w:val="false"/>
                <w:bCs w:val="false"/>
                <w:i w:val="false"/>
                <w:iCs w:val="false"/>
                <w:color w:val="1a1a1a"/>
                <w:sz w:val="20"/>
                <w:szCs w:val="20"/>
              </w:rPr>
              <w:t xml:space="preserve">IDS/Anomalías</w:t>
            </w:r>
          </w:p>
        </w:tc>
        <w:tc>
          <w:tcPr>
            <w:tcW w:type="dxa" w:w="2400"/>
            <w:vAlign w:val="center"/>
          </w:tcPr>
          <w:p>
            <w:pPr>
              <w:spacing w:after="40" w:before="40"/>
              <w:jc w:val="left"/>
            </w:pPr>
            <w:r>
              <w:rPr>
                <w:rFonts w:ascii="Arial" w:cs="Arial" w:eastAsia="Arial" w:hAnsi="Arial"/>
                <w:b w:val="false"/>
                <w:bCs w:val="false"/>
                <w:i w:val="false"/>
                <w:iCs w:val="false"/>
                <w:color w:val="1a1a1a"/>
                <w:sz w:val="20"/>
                <w:szCs w:val="20"/>
              </w:rPr>
              <w:t xml:space="preserve">Patrones + alertas tiempo real</w:t>
            </w:r>
          </w:p>
        </w:tc>
        <w:tc>
          <w:tcPr>
            <w:tcW w:type="dxa" w:w="2200"/>
            <w:vAlign w:val="center"/>
          </w:tcPr>
          <w:p>
            <w:pPr>
              <w:spacing w:after="40" w:before="40"/>
              <w:jc w:val="left"/>
            </w:pPr>
            <w:r>
              <w:rPr>
                <w:rFonts w:ascii="Arial" w:cs="Arial" w:eastAsia="Arial" w:hAnsi="Arial"/>
                <w:b w:val="false"/>
                <w:bCs w:val="false"/>
                <w:i w:val="false"/>
                <w:iCs w:val="false"/>
                <w:color w:val="1a1a1a"/>
                <w:sz w:val="20"/>
                <w:szCs w:val="20"/>
              </w:rPr>
              <w:t xml:space="preserve">Intrusiones no detectadas</w:t>
            </w:r>
          </w:p>
        </w:tc>
        <w:tc>
          <w:tcPr>
            <w:tcW w:type="dxa" w:w="1960"/>
            <w:vAlign w:val="center"/>
          </w:tcPr>
          <w:p>
            <w:pPr>
              <w:spacing w:after="40" w:before="40"/>
              <w:jc w:val="left"/>
            </w:pPr>
            <w:r>
              <w:rPr>
                <w:rFonts w:ascii="Arial" w:cs="Arial" w:eastAsia="Arial" w:hAnsi="Arial"/>
                <w:b w:val="false"/>
                <w:bCs w:val="false"/>
                <w:i w:val="false"/>
                <w:iCs w:val="false"/>
                <w:color w:val="1a1a1a"/>
                <w:sz w:val="20"/>
                <w:szCs w:val="20"/>
              </w:rPr>
              <w:t xml:space="preserve">NIST SP 800-94</w:t>
            </w:r>
          </w:p>
        </w:tc>
      </w:tr>
      <w:tr>
        <w:tc>
          <w:tcPr>
            <w:tcW w:type="dxa" w:w="600"/>
            <w:shd w:fill="f0f7f4" w:val="clear"/>
            <w:vAlign w:val="center"/>
          </w:tcPr>
          <w:p>
            <w:pPr>
              <w:spacing w:after="40" w:before="40"/>
              <w:jc w:val="left"/>
            </w:pPr>
            <w:r>
              <w:rPr>
                <w:rFonts w:ascii="Arial" w:cs="Arial" w:eastAsia="Arial" w:hAnsi="Arial"/>
                <w:b w:val="false"/>
                <w:bCs w:val="false"/>
                <w:i w:val="false"/>
                <w:iCs w:val="false"/>
                <w:color w:val="1a1a1a"/>
                <w:sz w:val="20"/>
                <w:szCs w:val="20"/>
              </w:rPr>
              <w:t xml:space="preserve">14</w:t>
            </w:r>
          </w:p>
        </w:tc>
        <w:tc>
          <w:tcPr>
            <w:tcW w:type="dxa" w:w="2200"/>
            <w:shd w:fill="f0f7f4" w:val="clear"/>
            <w:vAlign w:val="center"/>
          </w:tcPr>
          <w:p>
            <w:pPr>
              <w:spacing w:after="40" w:before="40"/>
              <w:jc w:val="left"/>
            </w:pPr>
            <w:r>
              <w:rPr>
                <w:rFonts w:ascii="Arial" w:cs="Arial" w:eastAsia="Arial" w:hAnsi="Arial"/>
                <w:b w:val="false"/>
                <w:bCs w:val="false"/>
                <w:i w:val="false"/>
                <w:iCs w:val="false"/>
                <w:color w:val="1a1a1a"/>
                <w:sz w:val="20"/>
                <w:szCs w:val="20"/>
              </w:rPr>
              <w:t xml:space="preserve">Cumplimiento normativo</w:t>
            </w:r>
          </w:p>
        </w:tc>
        <w:tc>
          <w:tcPr>
            <w:tcW w:type="dxa" w:w="2400"/>
            <w:shd w:fill="f0f7f4" w:val="clear"/>
            <w:vAlign w:val="center"/>
          </w:tcPr>
          <w:p>
            <w:pPr>
              <w:spacing w:after="40" w:before="40"/>
              <w:jc w:val="left"/>
            </w:pPr>
            <w:r>
              <w:rPr>
                <w:rFonts w:ascii="Arial" w:cs="Arial" w:eastAsia="Arial" w:hAnsi="Arial"/>
                <w:b w:val="false"/>
                <w:bCs w:val="false"/>
                <w:i w:val="false"/>
                <w:iCs w:val="false"/>
                <w:color w:val="1a1a1a"/>
                <w:sz w:val="20"/>
                <w:szCs w:val="20"/>
              </w:rPr>
              <w:t xml:space="preserve">HIPAA + GDPR + consent_log</w:t>
            </w:r>
          </w:p>
        </w:tc>
        <w:tc>
          <w:tcPr>
            <w:tcW w:type="dxa" w:w="2200"/>
            <w:shd w:fill="f0f7f4" w:val="clear"/>
            <w:vAlign w:val="center"/>
          </w:tcPr>
          <w:p>
            <w:pPr>
              <w:spacing w:after="40" w:before="40"/>
              <w:jc w:val="left"/>
            </w:pPr>
            <w:r>
              <w:rPr>
                <w:rFonts w:ascii="Arial" w:cs="Arial" w:eastAsia="Arial" w:hAnsi="Arial"/>
                <w:b w:val="false"/>
                <w:bCs w:val="false"/>
                <w:i w:val="false"/>
                <w:iCs w:val="false"/>
                <w:color w:val="1a1a1a"/>
                <w:sz w:val="20"/>
                <w:szCs w:val="20"/>
              </w:rPr>
              <w:t xml:space="preserve">Sanciones regulatorias</w:t>
            </w:r>
          </w:p>
        </w:tc>
        <w:tc>
          <w:tcPr>
            <w:tcW w:type="dxa" w:w="1960"/>
            <w:shd w:fill="f0f7f4" w:val="clear"/>
            <w:vAlign w:val="center"/>
          </w:tcPr>
          <w:p>
            <w:pPr>
              <w:spacing w:after="40" w:before="40"/>
              <w:jc w:val="left"/>
            </w:pPr>
            <w:r>
              <w:rPr>
                <w:rFonts w:ascii="Arial" w:cs="Arial" w:eastAsia="Arial" w:hAnsi="Arial"/>
                <w:b w:val="false"/>
                <w:bCs w:val="false"/>
                <w:i w:val="false"/>
                <w:iCs w:val="false"/>
                <w:color w:val="1a1a1a"/>
                <w:sz w:val="20"/>
                <w:szCs w:val="20"/>
              </w:rPr>
              <w:t xml:space="preserve">Ley 172-13 RD</w:t>
            </w:r>
          </w:p>
        </w:tc>
      </w:tr>
    </w:tbl>
    <w:p>
      <w:pPr>
        <w:spacing w:after="0" w:before="120"/>
      </w:pPr>
    </w:p>
    <w:p>
      <w:pPr>
        <w:spacing w:line="360" w:lineRule="auto"/>
        <w:jc w:val="both"/>
      </w:pPr>
      <w:r>
        <w:rPr>
          <w:rFonts w:ascii="Arial" w:cs="Arial" w:eastAsia="Arial" w:hAnsi="Arial"/>
          <w:b w:val="false"/>
          <w:bCs w:val="false"/>
          <w:i w:val="false"/>
          <w:iCs w:val="false"/>
          <w:color w:val="1a1a1a"/>
          <w:sz w:val="24"/>
          <w:szCs w:val="24"/>
        </w:rPr>
        <w:t xml:space="preserve">Las 14 capas demuestran un enfoque integral de defensa en profundidad, donde cada capa aborda vectores de ataque específicos mientras se refuerza mutuamente con las demás.</w:t>
      </w:r>
    </w:p>
    <w:p>
      <w:pPr>
        <w:spacing w:after="120" w:before="180" w:line="360" w:lineRule="auto"/>
        <w:jc w:val="left"/>
      </w:pPr>
      <w:r>
        <w:rPr>
          <w:rFonts w:ascii="Arial" w:cs="Arial" w:eastAsia="Arial" w:hAnsi="Arial"/>
          <w:b/>
          <w:bCs/>
          <w:i w:val="false"/>
          <w:iCs w:val="false"/>
          <w:color w:val="1a1a1a"/>
          <w:sz w:val="24"/>
          <w:szCs w:val="24"/>
        </w:rPr>
        <w:t xml:space="preserve">4.2 Pruebas de seguridad realizadas</w:t>
      </w:r>
    </w:p>
    <w:p>
      <w:pPr>
        <w:spacing w:line="360" w:lineRule="auto"/>
        <w:jc w:val="both"/>
      </w:pPr>
      <w:r>
        <w:rPr>
          <w:rFonts w:ascii="Arial" w:cs="Arial" w:eastAsia="Arial" w:hAnsi="Arial"/>
          <w:b w:val="false"/>
          <w:bCs w:val="false"/>
          <w:i w:val="false"/>
          <w:iCs w:val="false"/>
          <w:color w:val="1a1a1a"/>
          <w:sz w:val="24"/>
          <w:szCs w:val="24"/>
        </w:rPr>
        <w:t xml:space="preserve">Se implementaron y ejecutaron las siguientes pruebas de seguridad para validar la efectividad de las capas implementadas. Los resultados se presentan a continuación: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1800"/>
            <w:shd w:fill="0F6E56" w:val="clear"/>
            <w:vAlign w:val="center"/>
          </w:tcPr>
          <w:p>
            <w:pPr>
              <w:spacing w:after="60" w:before="60"/>
              <w:jc w:val="center"/>
            </w:pPr>
            <w:r>
              <w:rPr>
                <w:rFonts w:ascii="Arial" w:cs="Arial" w:eastAsia="Arial" w:hAnsi="Arial"/>
                <w:b/>
                <w:bCs/>
                <w:i w:val="false"/>
                <w:iCs w:val="false"/>
                <w:color w:val="FFFFFF"/>
                <w:sz w:val="20"/>
                <w:szCs w:val="20"/>
              </w:rPr>
              <w:t xml:space="preserve">Prueba</w:t>
            </w:r>
          </w:p>
        </w:tc>
        <w:tc>
          <w:tcPr>
            <w:tcW w:type="dxa" w:w="1400"/>
            <w:shd w:fill="0F6E56" w:val="clear"/>
            <w:vAlign w:val="center"/>
          </w:tcPr>
          <w:p>
            <w:pPr>
              <w:spacing w:after="60" w:before="60"/>
              <w:jc w:val="center"/>
            </w:pPr>
            <w:r>
              <w:rPr>
                <w:rFonts w:ascii="Arial" w:cs="Arial" w:eastAsia="Arial" w:hAnsi="Arial"/>
                <w:b/>
                <w:bCs/>
                <w:i w:val="false"/>
                <w:iCs w:val="false"/>
                <w:color w:val="FFFFFF"/>
                <w:sz w:val="20"/>
                <w:szCs w:val="20"/>
              </w:rPr>
              <w:t xml:space="preserve">Resultado</w:t>
            </w:r>
          </w:p>
        </w:tc>
        <w:tc>
          <w:tcPr>
            <w:tcW w:type="dxa" w:w="6160"/>
            <w:shd w:fill="0F6E56" w:val="clear"/>
            <w:vAlign w:val="center"/>
          </w:tcPr>
          <w:p>
            <w:pPr>
              <w:spacing w:after="60" w:before="60"/>
              <w:jc w:val="center"/>
            </w:pPr>
            <w:r>
              <w:rPr>
                <w:rFonts w:ascii="Arial" w:cs="Arial" w:eastAsia="Arial" w:hAnsi="Arial"/>
                <w:b/>
                <w:bCs/>
                <w:i w:val="false"/>
                <w:iCs w:val="false"/>
                <w:color w:val="FFFFFF"/>
                <w:sz w:val="20"/>
                <w:szCs w:val="20"/>
              </w:rPr>
              <w:t xml:space="preserve">Detalle</w:t>
            </w:r>
          </w:p>
        </w:tc>
      </w:tr>
      <w:tr>
        <w:tc>
          <w:tcPr>
            <w:tcW w:type="dxa" w:w="1800"/>
            <w:vAlign w:val="center"/>
          </w:tcPr>
          <w:p>
            <w:pPr>
              <w:spacing w:after="40" w:before="40"/>
              <w:jc w:val="left"/>
            </w:pPr>
            <w:r>
              <w:rPr>
                <w:rFonts w:ascii="Arial" w:cs="Arial" w:eastAsia="Arial" w:hAnsi="Arial"/>
                <w:b w:val="false"/>
                <w:bCs w:val="false"/>
                <w:i w:val="false"/>
                <w:iCs w:val="false"/>
                <w:color w:val="1a1a1a"/>
                <w:sz w:val="20"/>
                <w:szCs w:val="20"/>
              </w:rPr>
              <w:t xml:space="preserve">SQL Injection</w:t>
            </w:r>
          </w:p>
        </w:tc>
        <w:tc>
          <w:tcPr>
            <w:tcW w:type="dxa" w:w="1400"/>
            <w:vAlign w:val="center"/>
          </w:tcPr>
          <w:p>
            <w:pPr>
              <w:spacing w:after="40" w:before="40"/>
              <w:jc w:val="left"/>
            </w:pPr>
            <w:r>
              <w:rPr>
                <w:rFonts w:ascii="Arial" w:cs="Arial" w:eastAsia="Arial" w:hAnsi="Arial"/>
                <w:b w:val="false"/>
                <w:bCs w:val="false"/>
                <w:i w:val="false"/>
                <w:iCs w:val="false"/>
                <w:color w:val="1a1a1a"/>
                <w:sz w:val="20"/>
                <w:szCs w:val="20"/>
              </w:rPr>
              <w:t xml:space="preserve">Mitigado</w:t>
            </w:r>
          </w:p>
        </w:tc>
        <w:tc>
          <w:tcPr>
            <w:tcW w:type="dxa" w:w="6160"/>
            <w:vAlign w:val="center"/>
          </w:tcPr>
          <w:p>
            <w:pPr>
              <w:spacing w:after="40" w:before="40"/>
              <w:jc w:val="left"/>
            </w:pPr>
            <w:r>
              <w:rPr>
                <w:rFonts w:ascii="Arial" w:cs="Arial" w:eastAsia="Arial" w:hAnsi="Arial"/>
                <w:b w:val="false"/>
                <w:bCs w:val="false"/>
                <w:i w:val="false"/>
                <w:iCs w:val="false"/>
                <w:color w:val="1a1a1a"/>
                <w:sz w:val="20"/>
                <w:szCs w:val="20"/>
              </w:rPr>
              <w:t xml:space="preserve">Parameterized queries bloquean inyección en todos los endpoints. Pruebas con payloads clásicos resultaron en errores 400 sin ejecución de SQL malicioso.</w:t>
            </w:r>
          </w:p>
        </w:tc>
      </w:tr>
      <w:tr>
        <w:tc>
          <w:tcPr>
            <w:tcW w:type="dxa" w:w="1800"/>
            <w:shd w:fill="f0f7f4" w:val="clear"/>
            <w:vAlign w:val="center"/>
          </w:tcPr>
          <w:p>
            <w:pPr>
              <w:spacing w:after="40" w:before="40"/>
              <w:jc w:val="left"/>
            </w:pPr>
            <w:r>
              <w:rPr>
                <w:rFonts w:ascii="Arial" w:cs="Arial" w:eastAsia="Arial" w:hAnsi="Arial"/>
                <w:b w:val="false"/>
                <w:bCs w:val="false"/>
                <w:i w:val="false"/>
                <w:iCs w:val="false"/>
                <w:color w:val="1a1a1a"/>
                <w:sz w:val="20"/>
                <w:szCs w:val="20"/>
              </w:rPr>
              <w:t xml:space="preserve">XSS (Cross-Site Scripting)</w:t>
            </w:r>
          </w:p>
        </w:tc>
        <w:tc>
          <w:tcPr>
            <w:tcW w:type="dxa" w:w="1400"/>
            <w:shd w:fill="f0f7f4" w:val="clear"/>
            <w:vAlign w:val="center"/>
          </w:tcPr>
          <w:p>
            <w:pPr>
              <w:spacing w:after="40" w:before="40"/>
              <w:jc w:val="left"/>
            </w:pPr>
            <w:r>
              <w:rPr>
                <w:rFonts w:ascii="Arial" w:cs="Arial" w:eastAsia="Arial" w:hAnsi="Arial"/>
                <w:b w:val="false"/>
                <w:bCs w:val="false"/>
                <w:i w:val="false"/>
                <w:iCs w:val="false"/>
                <w:color w:val="1a1a1a"/>
                <w:sz w:val="20"/>
                <w:szCs w:val="20"/>
              </w:rPr>
              <w:t xml:space="preserve">Mitigado</w:t>
            </w:r>
          </w:p>
        </w:tc>
        <w:tc>
          <w:tcPr>
            <w:tcW w:type="dxa" w:w="6160"/>
            <w:shd w:fill="f0f7f4" w:val="clear"/>
            <w:vAlign w:val="center"/>
          </w:tcPr>
          <w:p>
            <w:pPr>
              <w:spacing w:after="40" w:before="40"/>
              <w:jc w:val="left"/>
            </w:pPr>
            <w:r>
              <w:rPr>
                <w:rFonts w:ascii="Arial" w:cs="Arial" w:eastAsia="Arial" w:hAnsi="Arial"/>
                <w:b w:val="false"/>
                <w:bCs w:val="false"/>
                <w:i w:val="false"/>
                <w:iCs w:val="false"/>
                <w:color w:val="1a1a1a"/>
                <w:sz w:val="20"/>
                <w:szCs w:val="20"/>
              </w:rPr>
              <w:t xml:space="preserve">SanitizeInput middleware con helmet elimina scripts maliciosos. Pruebas con &lt;script&gt;alert(1)&lt;/script&gt; en campos de formulario resultaron en sanitización automática.</w:t>
            </w:r>
          </w:p>
        </w:tc>
      </w:tr>
      <w:tr>
        <w:tc>
          <w:tcPr>
            <w:tcW w:type="dxa" w:w="1800"/>
            <w:vAlign w:val="center"/>
          </w:tcPr>
          <w:p>
            <w:pPr>
              <w:spacing w:after="40" w:before="40"/>
              <w:jc w:val="left"/>
            </w:pPr>
            <w:r>
              <w:rPr>
                <w:rFonts w:ascii="Arial" w:cs="Arial" w:eastAsia="Arial" w:hAnsi="Arial"/>
                <w:b w:val="false"/>
                <w:bCs w:val="false"/>
                <w:i w:val="false"/>
                <w:iCs w:val="false"/>
                <w:color w:val="1a1a1a"/>
                <w:sz w:val="20"/>
                <w:szCs w:val="20"/>
              </w:rPr>
              <w:t xml:space="preserve">Auth bypass</w:t>
            </w:r>
          </w:p>
        </w:tc>
        <w:tc>
          <w:tcPr>
            <w:tcW w:type="dxa" w:w="1400"/>
            <w:vAlign w:val="center"/>
          </w:tcPr>
          <w:p>
            <w:pPr>
              <w:spacing w:after="40" w:before="40"/>
              <w:jc w:val="left"/>
            </w:pPr>
            <w:r>
              <w:rPr>
                <w:rFonts w:ascii="Arial" w:cs="Arial" w:eastAsia="Arial" w:hAnsi="Arial"/>
                <w:b w:val="false"/>
                <w:bCs w:val="false"/>
                <w:i w:val="false"/>
                <w:iCs w:val="false"/>
                <w:color w:val="1a1a1a"/>
                <w:sz w:val="20"/>
                <w:szCs w:val="20"/>
              </w:rPr>
              <w:t xml:space="preserve">Mitigado</w:t>
            </w:r>
          </w:p>
        </w:tc>
        <w:tc>
          <w:tcPr>
            <w:tcW w:type="dxa" w:w="6160"/>
            <w:vAlign w:val="center"/>
          </w:tcPr>
          <w:p>
            <w:pPr>
              <w:spacing w:after="40" w:before="40"/>
              <w:jc w:val="left"/>
            </w:pPr>
            <w:r>
              <w:rPr>
                <w:rFonts w:ascii="Arial" w:cs="Arial" w:eastAsia="Arial" w:hAnsi="Arial"/>
                <w:b w:val="false"/>
                <w:bCs w:val="false"/>
                <w:i w:val="false"/>
                <w:iCs w:val="false"/>
                <w:color w:val="1a1a1a"/>
                <w:sz w:val="20"/>
                <w:szCs w:val="20"/>
              </w:rPr>
              <w:t xml:space="preserve">JWT con RS256 verifica firma en cada request. Tokens manipulados son rechazados con 401. Refresh tokens con rotación invalidan tokens reutilizados.</w:t>
            </w:r>
          </w:p>
        </w:tc>
      </w:tr>
      <w:tr>
        <w:tc>
          <w:tcPr>
            <w:tcW w:type="dxa" w:w="1800"/>
            <w:shd w:fill="f0f7f4" w:val="clear"/>
            <w:vAlign w:val="center"/>
          </w:tcPr>
          <w:p>
            <w:pPr>
              <w:spacing w:after="40" w:before="40"/>
              <w:jc w:val="left"/>
            </w:pPr>
            <w:r>
              <w:rPr>
                <w:rFonts w:ascii="Arial" w:cs="Arial" w:eastAsia="Arial" w:hAnsi="Arial"/>
                <w:b w:val="false"/>
                <w:bCs w:val="false"/>
                <w:i w:val="false"/>
                <w:iCs w:val="false"/>
                <w:color w:val="1a1a1a"/>
                <w:sz w:val="20"/>
                <w:szCs w:val="20"/>
              </w:rPr>
              <w:t xml:space="preserve">IDOR</w:t>
            </w:r>
          </w:p>
        </w:tc>
        <w:tc>
          <w:tcPr>
            <w:tcW w:type="dxa" w:w="1400"/>
            <w:shd w:fill="f0f7f4" w:val="clear"/>
            <w:vAlign w:val="center"/>
          </w:tcPr>
          <w:p>
            <w:pPr>
              <w:spacing w:after="40" w:before="40"/>
              <w:jc w:val="left"/>
            </w:pPr>
            <w:r>
              <w:rPr>
                <w:rFonts w:ascii="Arial" w:cs="Arial" w:eastAsia="Arial" w:hAnsi="Arial"/>
                <w:b w:val="false"/>
                <w:bCs w:val="false"/>
                <w:i w:val="false"/>
                <w:iCs w:val="false"/>
                <w:color w:val="1a1a1a"/>
                <w:sz w:val="20"/>
                <w:szCs w:val="20"/>
              </w:rPr>
              <w:t xml:space="preserve">Mitigado</w:t>
            </w:r>
          </w:p>
        </w:tc>
        <w:tc>
          <w:tcPr>
            <w:tcW w:type="dxa" w:w="6160"/>
            <w:shd w:fill="f0f7f4" w:val="clear"/>
            <w:vAlign w:val="center"/>
          </w:tcPr>
          <w:p>
            <w:pPr>
              <w:spacing w:after="40" w:before="40"/>
              <w:jc w:val="left"/>
            </w:pPr>
            <w:r>
              <w:rPr>
                <w:rFonts w:ascii="Arial" w:cs="Arial" w:eastAsia="Arial" w:hAnsi="Arial"/>
                <w:b w:val="false"/>
                <w:bCs w:val="false"/>
                <w:i w:val="false"/>
                <w:iCs w:val="false"/>
                <w:color w:val="1a1a1a"/>
                <w:sz w:val="20"/>
                <w:szCs w:val="20"/>
              </w:rPr>
              <w:t xml:space="preserve">patient_token UUID impide enumeración de IDs. checkRole valida rol en cada endpoint. Pruebas de acceso cruzado entre roles resultaron en 403.</w:t>
            </w:r>
          </w:p>
        </w:tc>
      </w:tr>
      <w:tr>
        <w:tc>
          <w:tcPr>
            <w:tcW w:type="dxa" w:w="1800"/>
            <w:vAlign w:val="center"/>
          </w:tcPr>
          <w:p>
            <w:pPr>
              <w:spacing w:after="40" w:before="40"/>
              <w:jc w:val="left"/>
            </w:pPr>
            <w:r>
              <w:rPr>
                <w:rFonts w:ascii="Arial" w:cs="Arial" w:eastAsia="Arial" w:hAnsi="Arial"/>
                <w:b w:val="false"/>
                <w:bCs w:val="false"/>
                <w:i w:val="false"/>
                <w:iCs w:val="false"/>
                <w:color w:val="1a1a1a"/>
                <w:sz w:val="20"/>
                <w:szCs w:val="20"/>
              </w:rPr>
              <w:t xml:space="preserve">CORS misconfiguration</w:t>
            </w:r>
          </w:p>
        </w:tc>
        <w:tc>
          <w:tcPr>
            <w:tcW w:type="dxa" w:w="1400"/>
            <w:vAlign w:val="center"/>
          </w:tcPr>
          <w:p>
            <w:pPr>
              <w:spacing w:after="40" w:before="40"/>
              <w:jc w:val="left"/>
            </w:pPr>
            <w:r>
              <w:rPr>
                <w:rFonts w:ascii="Arial" w:cs="Arial" w:eastAsia="Arial" w:hAnsi="Arial"/>
                <w:b w:val="false"/>
                <w:bCs w:val="false"/>
                <w:i w:val="false"/>
                <w:iCs w:val="false"/>
                <w:color w:val="1a1a1a"/>
                <w:sz w:val="20"/>
                <w:szCs w:val="20"/>
              </w:rPr>
              <w:t xml:space="preserve">Mitigado</w:t>
            </w:r>
          </w:p>
        </w:tc>
        <w:tc>
          <w:tcPr>
            <w:tcW w:type="dxa" w:w="6160"/>
            <w:vAlign w:val="center"/>
          </w:tcPr>
          <w:p>
            <w:pPr>
              <w:spacing w:after="40" w:before="40"/>
              <w:jc w:val="left"/>
            </w:pPr>
            <w:r>
              <w:rPr>
                <w:rFonts w:ascii="Arial" w:cs="Arial" w:eastAsia="Arial" w:hAnsi="Arial"/>
                <w:b w:val="false"/>
                <w:bCs w:val="false"/>
                <w:i w:val="false"/>
                <w:iCs w:val="false"/>
                <w:color w:val="1a1a1a"/>
                <w:sz w:val="20"/>
                <w:szCs w:val="20"/>
              </w:rPr>
              <w:t xml:space="preserve">Whitelist estricta de orígenes. Solicitudes desde orígenes no autorizados reciben 403.</w:t>
            </w:r>
          </w:p>
        </w:tc>
      </w:tr>
      <w:tr>
        <w:tc>
          <w:tcPr>
            <w:tcW w:type="dxa" w:w="1800"/>
            <w:shd w:fill="f0f7f4" w:val="clear"/>
            <w:vAlign w:val="center"/>
          </w:tcPr>
          <w:p>
            <w:pPr>
              <w:spacing w:after="40" w:before="40"/>
              <w:jc w:val="left"/>
            </w:pPr>
            <w:r>
              <w:rPr>
                <w:rFonts w:ascii="Arial" w:cs="Arial" w:eastAsia="Arial" w:hAnsi="Arial"/>
                <w:b w:val="false"/>
                <w:bCs w:val="false"/>
                <w:i w:val="false"/>
                <w:iCs w:val="false"/>
                <w:color w:val="1a1a1a"/>
                <w:sz w:val="20"/>
                <w:szCs w:val="20"/>
              </w:rPr>
              <w:t xml:space="preserve">Rate limiting</w:t>
            </w:r>
          </w:p>
        </w:tc>
        <w:tc>
          <w:tcPr>
            <w:tcW w:type="dxa" w:w="1400"/>
            <w:shd w:fill="f0f7f4" w:val="clear"/>
            <w:vAlign w:val="center"/>
          </w:tcPr>
          <w:p>
            <w:pPr>
              <w:spacing w:after="40" w:before="40"/>
              <w:jc w:val="left"/>
            </w:pPr>
            <w:r>
              <w:rPr>
                <w:rFonts w:ascii="Arial" w:cs="Arial" w:eastAsia="Arial" w:hAnsi="Arial"/>
                <w:b w:val="false"/>
                <w:bCs w:val="false"/>
                <w:i w:val="false"/>
                <w:iCs w:val="false"/>
                <w:color w:val="1a1a1a"/>
                <w:sz w:val="20"/>
                <w:szCs w:val="20"/>
              </w:rPr>
              <w:t xml:space="preserve">Verificado</w:t>
            </w:r>
          </w:p>
        </w:tc>
        <w:tc>
          <w:tcPr>
            <w:tcW w:type="dxa" w:w="6160"/>
            <w:shd w:fill="f0f7f4" w:val="clear"/>
            <w:vAlign w:val="center"/>
          </w:tcPr>
          <w:p>
            <w:pPr>
              <w:spacing w:after="40" w:before="40"/>
              <w:jc w:val="left"/>
            </w:pPr>
            <w:r>
              <w:rPr>
                <w:rFonts w:ascii="Arial" w:cs="Arial" w:eastAsia="Arial" w:hAnsi="Arial"/>
                <w:b w:val="false"/>
                <w:bCs w:val="false"/>
                <w:i w:val="false"/>
                <w:iCs w:val="false"/>
                <w:color w:val="1a1a1a"/>
                <w:sz w:val="20"/>
                <w:szCs w:val="20"/>
              </w:rPr>
              <w:t xml:space="preserve">50 requests/15 min por IP en login. Pruebas con &gt;50 requests resultaron en 429.</w:t>
            </w:r>
          </w:p>
        </w:tc>
      </w:tr>
      <w:tr>
        <w:tc>
          <w:tcPr>
            <w:tcW w:type="dxa" w:w="1800"/>
            <w:vAlign w:val="center"/>
          </w:tcPr>
          <w:p>
            <w:pPr>
              <w:spacing w:after="40" w:before="40"/>
              <w:jc w:val="left"/>
            </w:pPr>
            <w:r>
              <w:rPr>
                <w:rFonts w:ascii="Arial" w:cs="Arial" w:eastAsia="Arial" w:hAnsi="Arial"/>
                <w:b w:val="false"/>
                <w:bCs w:val="false"/>
                <w:i w:val="false"/>
                <w:iCs w:val="false"/>
                <w:color w:val="1a1a1a"/>
                <w:sz w:val="20"/>
                <w:szCs w:val="20"/>
              </w:rPr>
              <w:t xml:space="preserve">PHI encryption</w:t>
            </w:r>
          </w:p>
        </w:tc>
        <w:tc>
          <w:tcPr>
            <w:tcW w:type="dxa" w:w="1400"/>
            <w:vAlign w:val="center"/>
          </w:tcPr>
          <w:p>
            <w:pPr>
              <w:spacing w:after="40" w:before="40"/>
              <w:jc w:val="left"/>
            </w:pPr>
            <w:r>
              <w:rPr>
                <w:rFonts w:ascii="Arial" w:cs="Arial" w:eastAsia="Arial" w:hAnsi="Arial"/>
                <w:b w:val="false"/>
                <w:bCs w:val="false"/>
                <w:i w:val="false"/>
                <w:iCs w:val="false"/>
                <w:color w:val="1a1a1a"/>
                <w:sz w:val="20"/>
                <w:szCs w:val="20"/>
              </w:rPr>
              <w:t xml:space="preserve">Verificado</w:t>
            </w:r>
          </w:p>
        </w:tc>
        <w:tc>
          <w:tcPr>
            <w:tcW w:type="dxa" w:w="6160"/>
            <w:vAlign w:val="center"/>
          </w:tcPr>
          <w:p>
            <w:pPr>
              <w:spacing w:after="40" w:before="40"/>
              <w:jc w:val="left"/>
            </w:pPr>
            <w:r>
              <w:rPr>
                <w:rFonts w:ascii="Arial" w:cs="Arial" w:eastAsia="Arial" w:hAnsi="Arial"/>
                <w:b w:val="false"/>
                <w:bCs w:val="false"/>
                <w:i w:val="false"/>
                <w:iCs w:val="false"/>
                <w:color w:val="1a1a1a"/>
                <w:sz w:val="20"/>
                <w:szCs w:val="20"/>
              </w:rPr>
              <w:t xml:space="preserve">AES-256-GCM con IV único. Mismo dato cifrado produce distintos ciphertexts. Descifrado correcto con la clave correcta.</w:t>
            </w:r>
          </w:p>
        </w:tc>
      </w:tr>
    </w:tbl>
    <w:p>
      <w:pPr>
        <w:spacing w:after="0" w:before="120"/>
      </w:pPr>
    </w:p>
    <w:p>
      <w:pPr>
        <w:spacing w:line="360" w:lineRule="auto"/>
        <w:jc w:val="both"/>
      </w:pPr>
      <w:r>
        <w:rPr>
          <w:rFonts w:ascii="Arial" w:cs="Arial" w:eastAsia="Arial" w:hAnsi="Arial"/>
          <w:b w:val="false"/>
          <w:bCs w:val="false"/>
          <w:i w:val="false"/>
          <w:iCs w:val="false"/>
          <w:color w:val="1a1a1a"/>
          <w:sz w:val="24"/>
          <w:szCs w:val="24"/>
        </w:rPr>
        <w:t xml:space="preserve">Todas las pruebas arrojaron resultados positivos, confirmando que las capas de seguridad implementadas mitigan efectivamente las amenazas identificadas.</w:t>
      </w:r>
    </w:p>
    <w:p>
      <w:pPr>
        <w:spacing w:after="120" w:before="180" w:line="360" w:lineRule="auto"/>
        <w:jc w:val="left"/>
      </w:pPr>
      <w:r>
        <w:rPr>
          <w:rFonts w:ascii="Arial" w:cs="Arial" w:eastAsia="Arial" w:hAnsi="Arial"/>
          <w:b/>
          <w:bCs/>
          <w:i w:val="false"/>
          <w:iCs w:val="false"/>
          <w:color w:val="1a1a1a"/>
          <w:sz w:val="24"/>
          <w:szCs w:val="24"/>
        </w:rPr>
        <w:t xml:space="preserve">4.3 Comparativa: MedSecure vs sistemas médicos sin seguridad</w:t>
      </w:r>
    </w:p>
    <w:p>
      <w:pPr>
        <w:spacing w:line="360" w:lineRule="auto"/>
        <w:jc w:val="both"/>
      </w:pPr>
      <w:r>
        <w:rPr>
          <w:rFonts w:ascii="Arial" w:cs="Arial" w:eastAsia="Arial" w:hAnsi="Arial"/>
          <w:b w:val="false"/>
          <w:bCs w:val="false"/>
          <w:i w:val="false"/>
          <w:iCs w:val="false"/>
          <w:color w:val="1a1a1a"/>
          <w:sz w:val="24"/>
          <w:szCs w:val="24"/>
        </w:rPr>
        <w:t xml:space="preserve">La siguiente tabla compara las características de seguridad de MedSecure frente a sistemas médicos tradicionales que carecen de un enfoque integral de ciberseguridad: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400"/>
            <w:shd w:fill="0F6E56" w:val="clear"/>
            <w:vAlign w:val="center"/>
          </w:tcPr>
          <w:p>
            <w:pPr>
              <w:spacing w:after="60" w:before="60"/>
              <w:jc w:val="center"/>
            </w:pPr>
            <w:r>
              <w:rPr>
                <w:rFonts w:ascii="Arial" w:cs="Arial" w:eastAsia="Arial" w:hAnsi="Arial"/>
                <w:b/>
                <w:bCs/>
                <w:i w:val="false"/>
                <w:iCs w:val="false"/>
                <w:color w:val="FFFFFF"/>
                <w:sz w:val="20"/>
                <w:szCs w:val="20"/>
              </w:rPr>
              <w:t xml:space="preserve">Característica</w:t>
            </w:r>
          </w:p>
        </w:tc>
        <w:tc>
          <w:tcPr>
            <w:tcW w:type="dxa" w:w="4200"/>
            <w:shd w:fill="0F6E56" w:val="clear"/>
            <w:vAlign w:val="center"/>
          </w:tcPr>
          <w:p>
            <w:pPr>
              <w:spacing w:after="60" w:before="60"/>
              <w:jc w:val="center"/>
            </w:pPr>
            <w:r>
              <w:rPr>
                <w:rFonts w:ascii="Arial" w:cs="Arial" w:eastAsia="Arial" w:hAnsi="Arial"/>
                <w:b/>
                <w:bCs/>
                <w:i w:val="false"/>
                <w:iCs w:val="false"/>
                <w:color w:val="FFFFFF"/>
                <w:sz w:val="20"/>
                <w:szCs w:val="20"/>
              </w:rPr>
              <w:t xml:space="preserve">MedSecure</w:t>
            </w:r>
          </w:p>
        </w:tc>
        <w:tc>
          <w:tcPr>
            <w:tcW w:type="dxa" w:w="2760"/>
            <w:shd w:fill="0F6E56" w:val="clear"/>
            <w:vAlign w:val="center"/>
          </w:tcPr>
          <w:p>
            <w:pPr>
              <w:spacing w:after="60" w:before="60"/>
              <w:jc w:val="center"/>
            </w:pPr>
            <w:r>
              <w:rPr>
                <w:rFonts w:ascii="Arial" w:cs="Arial" w:eastAsia="Arial" w:hAnsi="Arial"/>
                <w:b/>
                <w:bCs/>
                <w:i w:val="false"/>
                <w:iCs w:val="false"/>
                <w:color w:val="FFFFFF"/>
                <w:sz w:val="20"/>
                <w:szCs w:val="20"/>
              </w:rPr>
              <w:t xml:space="preserve">Sistema tradicional</w:t>
            </w:r>
          </w:p>
        </w:tc>
      </w:tr>
      <w:tr>
        <w:tc>
          <w:tcPr>
            <w:tcW w:type="dxa" w:w="2400"/>
            <w:vAlign w:val="center"/>
          </w:tcPr>
          <w:p>
            <w:pPr>
              <w:spacing w:after="40" w:before="40"/>
              <w:jc w:val="left"/>
            </w:pPr>
            <w:r>
              <w:rPr>
                <w:rFonts w:ascii="Arial" w:cs="Arial" w:eastAsia="Arial" w:hAnsi="Arial"/>
                <w:b w:val="false"/>
                <w:bCs w:val="false"/>
                <w:i w:val="false"/>
                <w:iCs w:val="false"/>
                <w:color w:val="1a1a1a"/>
                <w:sz w:val="20"/>
                <w:szCs w:val="20"/>
              </w:rPr>
              <w:t xml:space="preserve">Autenticación</w:t>
            </w:r>
          </w:p>
        </w:tc>
        <w:tc>
          <w:tcPr>
            <w:tcW w:type="dxa" w:w="4200"/>
            <w:vAlign w:val="center"/>
          </w:tcPr>
          <w:p>
            <w:pPr>
              <w:spacing w:after="40" w:before="40"/>
              <w:jc w:val="left"/>
            </w:pPr>
            <w:r>
              <w:rPr>
                <w:rFonts w:ascii="Arial" w:cs="Arial" w:eastAsia="Arial" w:hAnsi="Arial"/>
                <w:b w:val="false"/>
                <w:bCs w:val="false"/>
                <w:i w:val="false"/>
                <w:iCs w:val="false"/>
                <w:color w:val="1a1a1a"/>
                <w:sz w:val="20"/>
                <w:szCs w:val="20"/>
              </w:rPr>
              <w:t xml:space="preserve">JWT RS256 + MFA TOTP + bcrypt</w:t>
            </w:r>
          </w:p>
        </w:tc>
        <w:tc>
          <w:tcPr>
            <w:tcW w:type="dxa" w:w="2760"/>
            <w:vAlign w:val="center"/>
          </w:tcPr>
          <w:p>
            <w:pPr>
              <w:spacing w:after="40" w:before="40"/>
              <w:jc w:val="left"/>
            </w:pPr>
            <w:r>
              <w:rPr>
                <w:rFonts w:ascii="Arial" w:cs="Arial" w:eastAsia="Arial" w:hAnsi="Arial"/>
                <w:b w:val="false"/>
                <w:bCs w:val="false"/>
                <w:i w:val="false"/>
                <w:iCs w:val="false"/>
                <w:color w:val="1a1a1a"/>
                <w:sz w:val="20"/>
                <w:szCs w:val="20"/>
              </w:rPr>
              <w:t xml:space="preserve">Contraseña simple en texto plano o hash básico</w:t>
            </w:r>
          </w:p>
        </w:tc>
      </w:tr>
      <w:tr>
        <w:tc>
          <w:tcPr>
            <w:tcW w:type="dxa" w:w="2400"/>
            <w:shd w:fill="f0f7f4" w:val="clear"/>
            <w:vAlign w:val="center"/>
          </w:tcPr>
          <w:p>
            <w:pPr>
              <w:spacing w:after="40" w:before="40"/>
              <w:jc w:val="left"/>
            </w:pPr>
            <w:r>
              <w:rPr>
                <w:rFonts w:ascii="Arial" w:cs="Arial" w:eastAsia="Arial" w:hAnsi="Arial"/>
                <w:b w:val="false"/>
                <w:bCs w:val="false"/>
                <w:i w:val="false"/>
                <w:iCs w:val="false"/>
                <w:color w:val="1a1a1a"/>
                <w:sz w:val="20"/>
                <w:szCs w:val="20"/>
              </w:rPr>
              <w:t xml:space="preserve">Control de acceso</w:t>
            </w:r>
          </w:p>
        </w:tc>
        <w:tc>
          <w:tcPr>
            <w:tcW w:type="dxa" w:w="4200"/>
            <w:shd w:fill="f0f7f4" w:val="clear"/>
            <w:vAlign w:val="center"/>
          </w:tcPr>
          <w:p>
            <w:pPr>
              <w:spacing w:after="40" w:before="40"/>
              <w:jc w:val="left"/>
            </w:pPr>
            <w:r>
              <w:rPr>
                <w:rFonts w:ascii="Arial" w:cs="Arial" w:eastAsia="Arial" w:hAnsi="Arial"/>
                <w:b w:val="false"/>
                <w:bCs w:val="false"/>
                <w:i w:val="false"/>
                <w:iCs w:val="false"/>
                <w:color w:val="1a1a1a"/>
                <w:sz w:val="20"/>
                <w:szCs w:val="20"/>
              </w:rPr>
              <w:t xml:space="preserve">RBAC con 4 roles + patient_token</w:t>
            </w:r>
          </w:p>
        </w:tc>
        <w:tc>
          <w:tcPr>
            <w:tcW w:type="dxa" w:w="2760"/>
            <w:shd w:fill="f0f7f4" w:val="clear"/>
            <w:vAlign w:val="center"/>
          </w:tcPr>
          <w:p>
            <w:pPr>
              <w:spacing w:after="40" w:before="40"/>
              <w:jc w:val="left"/>
            </w:pPr>
            <w:r>
              <w:rPr>
                <w:rFonts w:ascii="Arial" w:cs="Arial" w:eastAsia="Arial" w:hAnsi="Arial"/>
                <w:b w:val="false"/>
                <w:bCs w:val="false"/>
                <w:i w:val="false"/>
                <w:iCs w:val="false"/>
                <w:color w:val="1a1a1a"/>
                <w:sz w:val="20"/>
                <w:szCs w:val="20"/>
              </w:rPr>
              <w:t xml:space="preserve">Usuario único sin distinción de permisos</w:t>
            </w:r>
          </w:p>
        </w:tc>
      </w:tr>
      <w:tr>
        <w:tc>
          <w:tcPr>
            <w:tcW w:type="dxa" w:w="2400"/>
            <w:vAlign w:val="center"/>
          </w:tcPr>
          <w:p>
            <w:pPr>
              <w:spacing w:after="40" w:before="40"/>
              <w:jc w:val="left"/>
            </w:pPr>
            <w:r>
              <w:rPr>
                <w:rFonts w:ascii="Arial" w:cs="Arial" w:eastAsia="Arial" w:hAnsi="Arial"/>
                <w:b w:val="false"/>
                <w:bCs w:val="false"/>
                <w:i w:val="false"/>
                <w:iCs w:val="false"/>
                <w:color w:val="1a1a1a"/>
                <w:sz w:val="20"/>
                <w:szCs w:val="20"/>
              </w:rPr>
              <w:t xml:space="preserve">Cifrado en reposo</w:t>
            </w:r>
          </w:p>
        </w:tc>
        <w:tc>
          <w:tcPr>
            <w:tcW w:type="dxa" w:w="4200"/>
            <w:vAlign w:val="center"/>
          </w:tcPr>
          <w:p>
            <w:pPr>
              <w:spacing w:after="40" w:before="40"/>
              <w:jc w:val="left"/>
            </w:pPr>
            <w:r>
              <w:rPr>
                <w:rFonts w:ascii="Arial" w:cs="Arial" w:eastAsia="Arial" w:hAnsi="Arial"/>
                <w:b w:val="false"/>
                <w:bCs w:val="false"/>
                <w:i w:val="false"/>
                <w:iCs w:val="false"/>
                <w:color w:val="1a1a1a"/>
                <w:sz w:val="20"/>
                <w:szCs w:val="20"/>
              </w:rPr>
              <w:t xml:space="preserve">AES-256-GCM por campo PHI</w:t>
            </w:r>
          </w:p>
        </w:tc>
        <w:tc>
          <w:tcPr>
            <w:tcW w:type="dxa" w:w="2760"/>
            <w:vAlign w:val="center"/>
          </w:tcPr>
          <w:p>
            <w:pPr>
              <w:spacing w:after="40" w:before="40"/>
              <w:jc w:val="left"/>
            </w:pPr>
            <w:r>
              <w:rPr>
                <w:rFonts w:ascii="Arial" w:cs="Arial" w:eastAsia="Arial" w:hAnsi="Arial"/>
                <w:b w:val="false"/>
                <w:bCs w:val="false"/>
                <w:i w:val="false"/>
                <w:iCs w:val="false"/>
                <w:color w:val="1a1a1a"/>
                <w:sz w:val="20"/>
                <w:szCs w:val="20"/>
              </w:rPr>
              <w:t xml:space="preserve">Ninguno (datos en texto plano en BD)</w:t>
            </w:r>
          </w:p>
        </w:tc>
      </w:tr>
      <w:tr>
        <w:tc>
          <w:tcPr>
            <w:tcW w:type="dxa" w:w="2400"/>
            <w:shd w:fill="f0f7f4" w:val="clear"/>
            <w:vAlign w:val="center"/>
          </w:tcPr>
          <w:p>
            <w:pPr>
              <w:spacing w:after="40" w:before="40"/>
              <w:jc w:val="left"/>
            </w:pPr>
            <w:r>
              <w:rPr>
                <w:rFonts w:ascii="Arial" w:cs="Arial" w:eastAsia="Arial" w:hAnsi="Arial"/>
                <w:b w:val="false"/>
                <w:bCs w:val="false"/>
                <w:i w:val="false"/>
                <w:iCs w:val="false"/>
                <w:color w:val="1a1a1a"/>
                <w:sz w:val="20"/>
                <w:szCs w:val="20"/>
              </w:rPr>
              <w:t xml:space="preserve">Cifrado en tránsito</w:t>
            </w:r>
          </w:p>
        </w:tc>
        <w:tc>
          <w:tcPr>
            <w:tcW w:type="dxa" w:w="4200"/>
            <w:shd w:fill="f0f7f4" w:val="clear"/>
            <w:vAlign w:val="center"/>
          </w:tcPr>
          <w:p>
            <w:pPr>
              <w:spacing w:after="40" w:before="40"/>
              <w:jc w:val="left"/>
            </w:pPr>
            <w:r>
              <w:rPr>
                <w:rFonts w:ascii="Arial" w:cs="Arial" w:eastAsia="Arial" w:hAnsi="Arial"/>
                <w:b w:val="false"/>
                <w:bCs w:val="false"/>
                <w:i w:val="false"/>
                <w:iCs w:val="false"/>
                <w:color w:val="1a1a1a"/>
                <w:sz w:val="20"/>
                <w:szCs w:val="20"/>
              </w:rPr>
              <w:t xml:space="preserve">TLS 1.3 + HSTS</w:t>
            </w:r>
          </w:p>
        </w:tc>
        <w:tc>
          <w:tcPr>
            <w:tcW w:type="dxa" w:w="2760"/>
            <w:shd w:fill="f0f7f4" w:val="clear"/>
            <w:vAlign w:val="center"/>
          </w:tcPr>
          <w:p>
            <w:pPr>
              <w:spacing w:after="40" w:before="40"/>
              <w:jc w:val="left"/>
            </w:pPr>
            <w:r>
              <w:rPr>
                <w:rFonts w:ascii="Arial" w:cs="Arial" w:eastAsia="Arial" w:hAnsi="Arial"/>
                <w:b w:val="false"/>
                <w:bCs w:val="false"/>
                <w:i w:val="false"/>
                <w:iCs w:val="false"/>
                <w:color w:val="1a1a1a"/>
                <w:sz w:val="20"/>
                <w:szCs w:val="20"/>
              </w:rPr>
              <w:t xml:space="preserve">HTTP simple o TLS configurado parcialmente</w:t>
            </w:r>
          </w:p>
        </w:tc>
      </w:tr>
      <w:tr>
        <w:tc>
          <w:tcPr>
            <w:tcW w:type="dxa" w:w="2400"/>
            <w:vAlign w:val="center"/>
          </w:tcPr>
          <w:p>
            <w:pPr>
              <w:spacing w:after="40" w:before="40"/>
              <w:jc w:val="left"/>
            </w:pPr>
            <w:r>
              <w:rPr>
                <w:rFonts w:ascii="Arial" w:cs="Arial" w:eastAsia="Arial" w:hAnsi="Arial"/>
                <w:b w:val="false"/>
                <w:bCs w:val="false"/>
                <w:i w:val="false"/>
                <w:iCs w:val="false"/>
                <w:color w:val="1a1a1a"/>
                <w:sz w:val="20"/>
                <w:szCs w:val="20"/>
              </w:rPr>
              <w:t xml:space="preserve">Protección WAF</w:t>
            </w:r>
          </w:p>
        </w:tc>
        <w:tc>
          <w:tcPr>
            <w:tcW w:type="dxa" w:w="4200"/>
            <w:vAlign w:val="center"/>
          </w:tcPr>
          <w:p>
            <w:pPr>
              <w:spacing w:after="40" w:before="40"/>
              <w:jc w:val="left"/>
            </w:pPr>
            <w:r>
              <w:rPr>
                <w:rFonts w:ascii="Arial" w:cs="Arial" w:eastAsia="Arial" w:hAnsi="Arial"/>
                <w:b w:val="false"/>
                <w:bCs w:val="false"/>
                <w:i w:val="false"/>
                <w:iCs w:val="false"/>
                <w:color w:val="1a1a1a"/>
                <w:sz w:val="20"/>
                <w:szCs w:val="20"/>
              </w:rPr>
              <w:t xml:space="preserve">Helmet + rate limiting + sanitización</w:t>
            </w:r>
          </w:p>
        </w:tc>
        <w:tc>
          <w:tcPr>
            <w:tcW w:type="dxa" w:w="2760"/>
            <w:vAlign w:val="center"/>
          </w:tcPr>
          <w:p>
            <w:pPr>
              <w:spacing w:after="40" w:before="40"/>
              <w:jc w:val="left"/>
            </w:pPr>
            <w:r>
              <w:rPr>
                <w:rFonts w:ascii="Arial" w:cs="Arial" w:eastAsia="Arial" w:hAnsi="Arial"/>
                <w:b w:val="false"/>
                <w:bCs w:val="false"/>
                <w:i w:val="false"/>
                <w:iCs w:val="false"/>
                <w:color w:val="1a1a1a"/>
                <w:sz w:val="20"/>
                <w:szCs w:val="20"/>
              </w:rPr>
              <w:t xml:space="preserve">Ninguna o dependiente del hosting</w:t>
            </w:r>
          </w:p>
        </w:tc>
      </w:tr>
      <w:tr>
        <w:tc>
          <w:tcPr>
            <w:tcW w:type="dxa" w:w="2400"/>
            <w:shd w:fill="f0f7f4" w:val="clear"/>
            <w:vAlign w:val="center"/>
          </w:tcPr>
          <w:p>
            <w:pPr>
              <w:spacing w:after="40" w:before="40"/>
              <w:jc w:val="left"/>
            </w:pPr>
            <w:r>
              <w:rPr>
                <w:rFonts w:ascii="Arial" w:cs="Arial" w:eastAsia="Arial" w:hAnsi="Arial"/>
                <w:b w:val="false"/>
                <w:bCs w:val="false"/>
                <w:i w:val="false"/>
                <w:iCs w:val="false"/>
                <w:color w:val="1a1a1a"/>
                <w:sz w:val="20"/>
                <w:szCs w:val="20"/>
              </w:rPr>
              <w:t xml:space="preserve">Auditoría</w:t>
            </w:r>
          </w:p>
        </w:tc>
        <w:tc>
          <w:tcPr>
            <w:tcW w:type="dxa" w:w="4200"/>
            <w:shd w:fill="f0f7f4" w:val="clear"/>
            <w:vAlign w:val="center"/>
          </w:tcPr>
          <w:p>
            <w:pPr>
              <w:spacing w:after="40" w:before="40"/>
              <w:jc w:val="left"/>
            </w:pPr>
            <w:r>
              <w:rPr>
                <w:rFonts w:ascii="Arial" w:cs="Arial" w:eastAsia="Arial" w:hAnsi="Arial"/>
                <w:b w:val="false"/>
                <w:bCs w:val="false"/>
                <w:i w:val="false"/>
                <w:iCs w:val="false"/>
                <w:color w:val="1a1a1a"/>
                <w:sz w:val="20"/>
                <w:szCs w:val="20"/>
              </w:rPr>
              <w:t xml:space="preserve">Logs inmutables solo INSERT</w:t>
            </w:r>
          </w:p>
        </w:tc>
        <w:tc>
          <w:tcPr>
            <w:tcW w:type="dxa" w:w="2760"/>
            <w:shd w:fill="f0f7f4" w:val="clear"/>
            <w:vAlign w:val="center"/>
          </w:tcPr>
          <w:p>
            <w:pPr>
              <w:spacing w:after="40" w:before="40"/>
              <w:jc w:val="left"/>
            </w:pPr>
            <w:r>
              <w:rPr>
                <w:rFonts w:ascii="Arial" w:cs="Arial" w:eastAsia="Arial" w:hAnsi="Arial"/>
                <w:b w:val="false"/>
                <w:bCs w:val="false"/>
                <w:i w:val="false"/>
                <w:iCs w:val="false"/>
                <w:color w:val="1a1a1a"/>
                <w:sz w:val="20"/>
                <w:szCs w:val="20"/>
              </w:rPr>
              <w:t xml:space="preserve">Logs básicos sin protección de integridad</w:t>
            </w:r>
          </w:p>
        </w:tc>
      </w:tr>
      <w:tr>
        <w:tc>
          <w:tcPr>
            <w:tcW w:type="dxa" w:w="2400"/>
            <w:vAlign w:val="center"/>
          </w:tcPr>
          <w:p>
            <w:pPr>
              <w:spacing w:after="40" w:before="40"/>
              <w:jc w:val="left"/>
            </w:pPr>
            <w:r>
              <w:rPr>
                <w:rFonts w:ascii="Arial" w:cs="Arial" w:eastAsia="Arial" w:hAnsi="Arial"/>
                <w:b w:val="false"/>
                <w:bCs w:val="false"/>
                <w:i w:val="false"/>
                <w:iCs w:val="false"/>
                <w:color w:val="1a1a1a"/>
                <w:sz w:val="20"/>
                <w:szCs w:val="20"/>
              </w:rPr>
              <w:t xml:space="preserve">Segmentación</w:t>
            </w:r>
          </w:p>
        </w:tc>
        <w:tc>
          <w:tcPr>
            <w:tcW w:type="dxa" w:w="4200"/>
            <w:vAlign w:val="center"/>
          </w:tcPr>
          <w:p>
            <w:pPr>
              <w:spacing w:after="40" w:before="40"/>
              <w:jc w:val="left"/>
            </w:pPr>
            <w:r>
              <w:rPr>
                <w:rFonts w:ascii="Arial" w:cs="Arial" w:eastAsia="Arial" w:hAnsi="Arial"/>
                <w:b w:val="false"/>
                <w:bCs w:val="false"/>
                <w:i w:val="false"/>
                <w:iCs w:val="false"/>
                <w:color w:val="1a1a1a"/>
                <w:sz w:val="20"/>
                <w:szCs w:val="20"/>
              </w:rPr>
              <w:t xml:space="preserve">Red Docker Zero Trust (3 zonas)</w:t>
            </w:r>
          </w:p>
        </w:tc>
        <w:tc>
          <w:tcPr>
            <w:tcW w:type="dxa" w:w="2760"/>
            <w:vAlign w:val="center"/>
          </w:tcPr>
          <w:p>
            <w:pPr>
              <w:spacing w:after="40" w:before="40"/>
              <w:jc w:val="left"/>
            </w:pPr>
            <w:r>
              <w:rPr>
                <w:rFonts w:ascii="Arial" w:cs="Arial" w:eastAsia="Arial" w:hAnsi="Arial"/>
                <w:b w:val="false"/>
                <w:bCs w:val="false"/>
                <w:i w:val="false"/>
                <w:iCs w:val="false"/>
                <w:color w:val="1a1a1a"/>
                <w:sz w:val="20"/>
                <w:szCs w:val="20"/>
              </w:rPr>
              <w:t xml:space="preserve">Red plana sin segmentación</w:t>
            </w:r>
          </w:p>
        </w:tc>
      </w:tr>
      <w:tr>
        <w:tc>
          <w:tcPr>
            <w:tcW w:type="dxa" w:w="2400"/>
            <w:shd w:fill="f0f7f4" w:val="clear"/>
            <w:vAlign w:val="center"/>
          </w:tcPr>
          <w:p>
            <w:pPr>
              <w:spacing w:after="40" w:before="40"/>
              <w:jc w:val="left"/>
            </w:pPr>
            <w:r>
              <w:rPr>
                <w:rFonts w:ascii="Arial" w:cs="Arial" w:eastAsia="Arial" w:hAnsi="Arial"/>
                <w:b w:val="false"/>
                <w:bCs w:val="false"/>
                <w:i w:val="false"/>
                <w:iCs w:val="false"/>
                <w:color w:val="1a1a1a"/>
                <w:sz w:val="20"/>
                <w:szCs w:val="20"/>
              </w:rPr>
              <w:t xml:space="preserve">MFA</w:t>
            </w:r>
          </w:p>
        </w:tc>
        <w:tc>
          <w:tcPr>
            <w:tcW w:type="dxa" w:w="4200"/>
            <w:shd w:fill="f0f7f4" w:val="clear"/>
            <w:vAlign w:val="center"/>
          </w:tcPr>
          <w:p>
            <w:pPr>
              <w:spacing w:after="40" w:before="40"/>
              <w:jc w:val="left"/>
            </w:pPr>
            <w:r>
              <w:rPr>
                <w:rFonts w:ascii="Arial" w:cs="Arial" w:eastAsia="Arial" w:hAnsi="Arial"/>
                <w:b w:val="false"/>
                <w:bCs w:val="false"/>
                <w:i w:val="false"/>
                <w:iCs w:val="false"/>
                <w:color w:val="1a1a1a"/>
                <w:sz w:val="20"/>
                <w:szCs w:val="20"/>
              </w:rPr>
              <w:t xml:space="preserve">TOTP con Google Authenticator</w:t>
            </w:r>
          </w:p>
        </w:tc>
        <w:tc>
          <w:tcPr>
            <w:tcW w:type="dxa" w:w="2760"/>
            <w:shd w:fill="f0f7f4" w:val="clear"/>
            <w:vAlign w:val="center"/>
          </w:tcPr>
          <w:p>
            <w:pPr>
              <w:spacing w:after="40" w:before="40"/>
              <w:jc w:val="left"/>
            </w:pPr>
            <w:r>
              <w:rPr>
                <w:rFonts w:ascii="Arial" w:cs="Arial" w:eastAsia="Arial" w:hAnsi="Arial"/>
                <w:b w:val="false"/>
                <w:bCs w:val="false"/>
                <w:i w:val="false"/>
                <w:iCs w:val="false"/>
                <w:color w:val="1a1a1a"/>
                <w:sz w:val="20"/>
                <w:szCs w:val="20"/>
              </w:rPr>
              <w:t xml:space="preserve">No disponible</w:t>
            </w:r>
          </w:p>
        </w:tc>
      </w:tr>
      <w:tr>
        <w:tc>
          <w:tcPr>
            <w:tcW w:type="dxa" w:w="2400"/>
            <w:vAlign w:val="center"/>
          </w:tcPr>
          <w:p>
            <w:pPr>
              <w:spacing w:after="40" w:before="40"/>
              <w:jc w:val="left"/>
            </w:pPr>
            <w:r>
              <w:rPr>
                <w:rFonts w:ascii="Arial" w:cs="Arial" w:eastAsia="Arial" w:hAnsi="Arial"/>
                <w:b w:val="false"/>
                <w:bCs w:val="false"/>
                <w:i w:val="false"/>
                <w:iCs w:val="false"/>
                <w:color w:val="1a1a1a"/>
                <w:sz w:val="20"/>
                <w:szCs w:val="20"/>
              </w:rPr>
              <w:t xml:space="preserve">Backups</w:t>
            </w:r>
          </w:p>
        </w:tc>
        <w:tc>
          <w:tcPr>
            <w:tcW w:type="dxa" w:w="4200"/>
            <w:vAlign w:val="center"/>
          </w:tcPr>
          <w:p>
            <w:pPr>
              <w:spacing w:after="40" w:before="40"/>
              <w:jc w:val="left"/>
            </w:pPr>
            <w:r>
              <w:rPr>
                <w:rFonts w:ascii="Arial" w:cs="Arial" w:eastAsia="Arial" w:hAnsi="Arial"/>
                <w:b w:val="false"/>
                <w:bCs w:val="false"/>
                <w:i w:val="false"/>
                <w:iCs w:val="false"/>
                <w:color w:val="1a1a1a"/>
                <w:sz w:val="20"/>
                <w:szCs w:val="20"/>
              </w:rPr>
              <w:t xml:space="preserve">Cifrados + regla 3-2-1</w:t>
            </w:r>
          </w:p>
        </w:tc>
        <w:tc>
          <w:tcPr>
            <w:tcW w:type="dxa" w:w="2760"/>
            <w:vAlign w:val="center"/>
          </w:tcPr>
          <w:p>
            <w:pPr>
              <w:spacing w:after="40" w:before="40"/>
              <w:jc w:val="left"/>
            </w:pPr>
            <w:r>
              <w:rPr>
                <w:rFonts w:ascii="Arial" w:cs="Arial" w:eastAsia="Arial" w:hAnsi="Arial"/>
                <w:b w:val="false"/>
                <w:bCs w:val="false"/>
                <w:i w:val="false"/>
                <w:iCs w:val="false"/>
                <w:color w:val="1a1a1a"/>
                <w:sz w:val="20"/>
                <w:szCs w:val="20"/>
              </w:rPr>
              <w:t xml:space="preserve">Respaldos sin cifrar</w:t>
            </w:r>
          </w:p>
        </w:tc>
      </w:tr>
      <w:tr>
        <w:tc>
          <w:tcPr>
            <w:tcW w:type="dxa" w:w="2400"/>
            <w:shd w:fill="f0f7f4" w:val="clear"/>
            <w:vAlign w:val="center"/>
          </w:tcPr>
          <w:p>
            <w:pPr>
              <w:spacing w:after="40" w:before="40"/>
              <w:jc w:val="left"/>
            </w:pPr>
            <w:r>
              <w:rPr>
                <w:rFonts w:ascii="Arial" w:cs="Arial" w:eastAsia="Arial" w:hAnsi="Arial"/>
                <w:b w:val="false"/>
                <w:bCs w:val="false"/>
                <w:i w:val="false"/>
                <w:iCs w:val="false"/>
                <w:color w:val="1a1a1a"/>
                <w:sz w:val="20"/>
                <w:szCs w:val="20"/>
              </w:rPr>
              <w:t xml:space="preserve">Cumplimiento</w:t>
            </w:r>
          </w:p>
        </w:tc>
        <w:tc>
          <w:tcPr>
            <w:tcW w:type="dxa" w:w="4200"/>
            <w:shd w:fill="f0f7f4" w:val="clear"/>
            <w:vAlign w:val="center"/>
          </w:tcPr>
          <w:p>
            <w:pPr>
              <w:spacing w:after="40" w:before="40"/>
              <w:jc w:val="left"/>
            </w:pPr>
            <w:r>
              <w:rPr>
                <w:rFonts w:ascii="Arial" w:cs="Arial" w:eastAsia="Arial" w:hAnsi="Arial"/>
                <w:b w:val="false"/>
                <w:bCs w:val="false"/>
                <w:i w:val="false"/>
                <w:iCs w:val="false"/>
                <w:color w:val="1a1a1a"/>
                <w:sz w:val="20"/>
                <w:szCs w:val="20"/>
              </w:rPr>
              <w:t xml:space="preserve">HIPAA + GDPR + Ley 172-13</w:t>
            </w:r>
          </w:p>
        </w:tc>
        <w:tc>
          <w:tcPr>
            <w:tcW w:type="dxa" w:w="2760"/>
            <w:shd w:fill="f0f7f4" w:val="clear"/>
            <w:vAlign w:val="center"/>
          </w:tcPr>
          <w:p>
            <w:pPr>
              <w:spacing w:after="40" w:before="40"/>
              <w:jc w:val="left"/>
            </w:pPr>
            <w:r>
              <w:rPr>
                <w:rFonts w:ascii="Arial" w:cs="Arial" w:eastAsia="Arial" w:hAnsi="Arial"/>
                <w:b w:val="false"/>
                <w:bCs w:val="false"/>
                <w:i w:val="false"/>
                <w:iCs w:val="false"/>
                <w:color w:val="1a1a1a"/>
                <w:sz w:val="20"/>
                <w:szCs w:val="20"/>
              </w:rPr>
              <w:t xml:space="preserve">Sin cumplimiento normativo documentado</w:t>
            </w:r>
          </w:p>
        </w:tc>
      </w:tr>
      <w:tr>
        <w:tc>
          <w:tcPr>
            <w:tcW w:type="dxa" w:w="2400"/>
            <w:vAlign w:val="center"/>
          </w:tcPr>
          <w:p>
            <w:pPr>
              <w:spacing w:after="40" w:before="40"/>
              <w:jc w:val="left"/>
            </w:pPr>
            <w:r>
              <w:rPr>
                <w:rFonts w:ascii="Arial" w:cs="Arial" w:eastAsia="Arial" w:hAnsi="Arial"/>
                <w:b w:val="false"/>
                <w:bCs w:val="false"/>
                <w:i w:val="false"/>
                <w:iCs w:val="false"/>
                <w:color w:val="1a1a1a"/>
                <w:sz w:val="20"/>
                <w:szCs w:val="20"/>
              </w:rPr>
              <w:t xml:space="preserve">Contenedores</w:t>
            </w:r>
          </w:p>
        </w:tc>
        <w:tc>
          <w:tcPr>
            <w:tcW w:type="dxa" w:w="4200"/>
            <w:vAlign w:val="center"/>
          </w:tcPr>
          <w:p>
            <w:pPr>
              <w:spacing w:after="40" w:before="40"/>
              <w:jc w:val="left"/>
            </w:pPr>
            <w:r>
              <w:rPr>
                <w:rFonts w:ascii="Arial" w:cs="Arial" w:eastAsia="Arial" w:hAnsi="Arial"/>
                <w:b w:val="false"/>
                <w:bCs w:val="false"/>
                <w:i w:val="false"/>
                <w:iCs w:val="false"/>
                <w:color w:val="1a1a1a"/>
                <w:sz w:val="20"/>
                <w:szCs w:val="20"/>
              </w:rPr>
              <w:t xml:space="preserve">Alpine + usuario no-root</w:t>
            </w:r>
          </w:p>
        </w:tc>
        <w:tc>
          <w:tcPr>
            <w:tcW w:type="dxa" w:w="2760"/>
            <w:vAlign w:val="center"/>
          </w:tcPr>
          <w:p>
            <w:pPr>
              <w:spacing w:after="40" w:before="40"/>
              <w:jc w:val="left"/>
            </w:pPr>
            <w:r>
              <w:rPr>
                <w:rFonts w:ascii="Arial" w:cs="Arial" w:eastAsia="Arial" w:hAnsi="Arial"/>
                <w:b w:val="false"/>
                <w:bCs w:val="false"/>
                <w:i w:val="false"/>
                <w:iCs w:val="false"/>
                <w:color w:val="1a1a1a"/>
                <w:sz w:val="20"/>
                <w:szCs w:val="20"/>
              </w:rPr>
              <w:t xml:space="preserve">Servidor monolítico con privilegios elevados</w:t>
            </w:r>
          </w:p>
        </w:tc>
      </w:tr>
      <w:tr>
        <w:tc>
          <w:tcPr>
            <w:tcW w:type="dxa" w:w="2400"/>
            <w:shd w:fill="f0f7f4" w:val="clear"/>
            <w:vAlign w:val="center"/>
          </w:tcPr>
          <w:p>
            <w:pPr>
              <w:spacing w:after="40" w:before="40"/>
              <w:jc w:val="left"/>
            </w:pPr>
            <w:r>
              <w:rPr>
                <w:rFonts w:ascii="Arial" w:cs="Arial" w:eastAsia="Arial" w:hAnsi="Arial"/>
                <w:b w:val="false"/>
                <w:bCs w:val="false"/>
                <w:i w:val="false"/>
                <w:iCs w:val="false"/>
                <w:color w:val="1a1a1a"/>
                <w:sz w:val="20"/>
                <w:szCs w:val="20"/>
              </w:rPr>
              <w:t xml:space="preserve">Recuperación</w:t>
            </w:r>
          </w:p>
        </w:tc>
        <w:tc>
          <w:tcPr>
            <w:tcW w:type="dxa" w:w="4200"/>
            <w:shd w:fill="f0f7f4" w:val="clear"/>
            <w:vAlign w:val="center"/>
          </w:tcPr>
          <w:p>
            <w:pPr>
              <w:spacing w:after="40" w:before="40"/>
              <w:jc w:val="left"/>
            </w:pPr>
            <w:r>
              <w:rPr>
                <w:rFonts w:ascii="Arial" w:cs="Arial" w:eastAsia="Arial" w:hAnsi="Arial"/>
                <w:b w:val="false"/>
                <w:bCs w:val="false"/>
                <w:i w:val="false"/>
                <w:iCs w:val="false"/>
                <w:color w:val="1a1a1a"/>
                <w:sz w:val="20"/>
                <w:szCs w:val="20"/>
              </w:rPr>
              <w:t xml:space="preserve">Email a soporte con ticket</w:t>
            </w:r>
          </w:p>
        </w:tc>
        <w:tc>
          <w:tcPr>
            <w:tcW w:type="dxa" w:w="2760"/>
            <w:shd w:fill="f0f7f4" w:val="clear"/>
            <w:vAlign w:val="center"/>
          </w:tcPr>
          <w:p>
            <w:pPr>
              <w:spacing w:after="40" w:before="40"/>
              <w:jc w:val="left"/>
            </w:pPr>
            <w:r>
              <w:rPr>
                <w:rFonts w:ascii="Arial" w:cs="Arial" w:eastAsia="Arial" w:hAnsi="Arial"/>
                <w:b w:val="false"/>
                <w:bCs w:val="false"/>
                <w:i w:val="false"/>
                <w:iCs w:val="false"/>
                <w:color w:val="1a1a1a"/>
                <w:sz w:val="20"/>
                <w:szCs w:val="20"/>
              </w:rPr>
              <w:t xml:space="preserve">Sin proceso documentado</w:t>
            </w:r>
          </w:p>
        </w:tc>
      </w:tr>
    </w:tbl>
    <w:p>
      <w:pPr>
        <w:spacing w:after="0" w:before="120"/>
      </w:pPr>
    </w:p>
    <w:p>
      <w:pPr>
        <w:spacing w:line="360" w:lineRule="auto"/>
        <w:jc w:val="both"/>
      </w:pPr>
      <w:r>
        <w:rPr>
          <w:rFonts w:ascii="Arial" w:cs="Arial" w:eastAsia="Arial" w:hAnsi="Arial"/>
          <w:b w:val="false"/>
          <w:bCs w:val="false"/>
          <w:i w:val="false"/>
          <w:iCs w:val="false"/>
          <w:color w:val="1a1a1a"/>
          <w:sz w:val="24"/>
          <w:szCs w:val="24"/>
        </w:rPr>
        <w:t xml:space="preserve">Esta comparativa evidencia la brecha significativa entre un sistema diseñado con seguridad desde el inicio (security by design) y uno que incorpora la seguridad como un componente secundario. MedSecure demuestra que es posible desarrollar plataformas médicas seguras sin incurrir en costos prohibitivos de licenciamiento.</w:t>
      </w:r>
    </w:p>
    <w:p>
      <w:pPr>
        <w:spacing w:after="240" w:before="240" w:line="360" w:lineRule="auto"/>
        <w:jc w:val="center"/>
      </w:pPr>
      <w:r>
        <w:rPr>
          <w:rFonts w:ascii="Arial" w:cs="Arial" w:eastAsia="Arial" w:hAnsi="Arial"/>
          <w:b/>
          <w:bCs/>
          <w:i w:val="false"/>
          <w:iCs w:val="false"/>
          <w:color w:val="1a1a1a"/>
          <w:sz w:val="28"/>
          <w:szCs w:val="28"/>
        </w:rPr>
        <w:t xml:space="preserve">CAPÍTULO 5: PROPUESTA E IMPLEMENTACIÓN</w:t>
      </w:r>
    </w:p>
    <w:p>
      <w:pPr>
        <w:spacing w:after="120" w:before="180" w:line="360" w:lineRule="auto"/>
        <w:jc w:val="left"/>
      </w:pPr>
      <w:r>
        <w:rPr>
          <w:rFonts w:ascii="Arial" w:cs="Arial" w:eastAsia="Arial" w:hAnsi="Arial"/>
          <w:b/>
          <w:bCs/>
          <w:i w:val="false"/>
          <w:iCs w:val="false"/>
          <w:color w:val="1a1a1a"/>
          <w:sz w:val="24"/>
          <w:szCs w:val="24"/>
        </w:rPr>
        <w:t xml:space="preserve">5.1 Arquitectura del sistema</w:t>
      </w:r>
    </w:p>
    <w:p>
      <w:pPr>
        <w:spacing w:line="360" w:lineRule="auto"/>
        <w:jc w:val="both"/>
      </w:pPr>
      <w:r>
        <w:rPr>
          <w:rFonts w:ascii="Arial" w:cs="Arial" w:eastAsia="Arial" w:hAnsi="Arial"/>
          <w:b w:val="false"/>
          <w:bCs w:val="false"/>
          <w:i w:val="false"/>
          <w:iCs w:val="false"/>
          <w:color w:val="1a1a1a"/>
          <w:sz w:val="24"/>
          <w:szCs w:val="24"/>
        </w:rPr>
        <w:t xml:space="preserve">MedSecure implementa una arquitectura de 5 zonas de seguridad, cada una con un nivel de confianza decreciente desde el centro hacia el exterior:</w:t>
      </w:r>
    </w:p>
    <w:p>
      <w:pPr>
        <w:spacing w:line="360" w:lineRule="auto"/>
        <w:jc w:val="both"/>
      </w:pPr>
      <w:r>
        <w:rPr>
          <w:rFonts w:ascii="Arial" w:cs="Arial" w:eastAsia="Arial" w:hAnsi="Arial"/>
          <w:b w:val="false"/>
          <w:bCs w:val="false"/>
          <w:i w:val="false"/>
          <w:iCs w:val="false"/>
          <w:color w:val="1a1a1a"/>
          <w:sz w:val="24"/>
          <w:szCs w:val="24"/>
        </w:rPr>
        <w:t xml:space="preserve">Zona de Acceso (frontend-net): Contiene el frontend React servido por Vite. Es la única zona accesible desde el exterior (puerto 5173). Implementa headers de seguridad (helmet), Content Security Policy y rate limiting a nivel de aplicación.</w:t>
      </w:r>
    </w:p>
    <w:p>
      <w:pPr>
        <w:spacing w:line="360" w:lineRule="auto"/>
        <w:jc w:val="both"/>
      </w:pPr>
      <w:r>
        <w:rPr>
          <w:rFonts w:ascii="Arial" w:cs="Arial" w:eastAsia="Arial" w:hAnsi="Arial"/>
          <w:b w:val="false"/>
          <w:bCs w:val="false"/>
          <w:i w:val="false"/>
          <w:iCs w:val="false"/>
          <w:color w:val="1a1a1a"/>
          <w:sz w:val="24"/>
          <w:szCs w:val="24"/>
        </w:rPr>
        <w:t xml:space="preserve">Zona de Aplicación (backend-net): Contiene la API REST de Node.js/Express. Solo acepta conexiones desde la zona de acceso. Implementa autenticación JWT, MFA, RBAC y validación de entradas. Esta zona tampoco tiene acceso directo a internet.</w:t>
      </w:r>
    </w:p>
    <w:p>
      <w:pPr>
        <w:spacing w:line="360" w:lineRule="auto"/>
        <w:jc w:val="both"/>
      </w:pPr>
      <w:r>
        <w:rPr>
          <w:rFonts w:ascii="Arial" w:cs="Arial" w:eastAsia="Arial" w:hAnsi="Arial"/>
          <w:b w:val="false"/>
          <w:bCs w:val="false"/>
          <w:i w:val="false"/>
          <w:iCs w:val="false"/>
          <w:color w:val="1a1a1a"/>
          <w:sz w:val="24"/>
          <w:szCs w:val="24"/>
        </w:rPr>
        <w:t xml:space="preserve">Zona de Datos (db-net): Contiene PostgreSQL y Redis. Es la zona más interna, totalmente aislada de las redes exterior y de aplicación. Solo acepta conexiones desde la zona de aplicación.</w:t>
      </w:r>
    </w:p>
    <w:p>
      <w:pPr>
        <w:spacing w:line="360" w:lineRule="auto"/>
        <w:jc w:val="both"/>
      </w:pPr>
      <w:r>
        <w:rPr>
          <w:rFonts w:ascii="Arial" w:cs="Arial" w:eastAsia="Arial" w:hAnsi="Arial"/>
          <w:b w:val="false"/>
          <w:bCs w:val="false"/>
          <w:i w:val="false"/>
          <w:iCs w:val="false"/>
          <w:color w:val="1a1a1a"/>
          <w:sz w:val="24"/>
          <w:szCs w:val="24"/>
        </w:rPr>
        <w:t xml:space="preserve">Zona de Infraestructura: Orquestación con Docker Compose, gestión de secretos mediante variables de entorno, volúmenes persistentes cifrados para datos y logs.</w:t>
      </w:r>
    </w:p>
    <w:p>
      <w:pPr>
        <w:spacing w:line="360" w:lineRule="auto"/>
        <w:jc w:val="both"/>
      </w:pPr>
      <w:r>
        <w:rPr>
          <w:rFonts w:ascii="Arial" w:cs="Arial" w:eastAsia="Arial" w:hAnsi="Arial"/>
          <w:b w:val="false"/>
          <w:bCs w:val="false"/>
          <w:i w:val="false"/>
          <w:iCs w:val="false"/>
          <w:color w:val="1a1a1a"/>
          <w:sz w:val="24"/>
          <w:szCs w:val="24"/>
        </w:rPr>
        <w:t xml:space="preserve">Zona de Observabilidad: Logs estructurados con Winston, audit_logs inmutables en PostgreSQL, monitoreo de anomalías en tiempo real.</w:t>
      </w:r>
    </w:p>
    <w:p>
      <w:pPr>
        <w:spacing w:line="360" w:lineRule="auto"/>
        <w:jc w:val="both"/>
      </w:pPr>
      <w:r>
        <w:rPr>
          <w:rFonts w:ascii="Arial" w:cs="Arial" w:eastAsia="Arial" w:hAnsi="Arial"/>
          <w:b w:val="false"/>
          <w:bCs w:val="false"/>
          <w:i w:val="false"/>
          <w:iCs w:val="false"/>
          <w:color w:val="1a1a1a"/>
          <w:sz w:val="24"/>
          <w:szCs w:val="24"/>
        </w:rPr>
        <w:t xml:space="preserve">Esta arquitectura de 5 zonas implementa el principio de defensa en profundidad, donde un atacante que comprometa una zona no tiene acceso automático a las demás.</w:t>
      </w:r>
    </w:p>
    <w:p>
      <w:pPr>
        <w:spacing w:after="120" w:before="180" w:line="360" w:lineRule="auto"/>
        <w:jc w:val="left"/>
      </w:pPr>
      <w:r>
        <w:rPr>
          <w:rFonts w:ascii="Arial" w:cs="Arial" w:eastAsia="Arial" w:hAnsi="Arial"/>
          <w:b/>
          <w:bCs/>
          <w:i w:val="false"/>
          <w:iCs w:val="false"/>
          <w:color w:val="1a1a1a"/>
          <w:sz w:val="24"/>
          <w:szCs w:val="24"/>
        </w:rPr>
        <w:t xml:space="preserve">5.2 Implementación del cifrado de datos PHI</w:t>
      </w:r>
    </w:p>
    <w:p>
      <w:pPr>
        <w:spacing w:line="360" w:lineRule="auto"/>
        <w:jc w:val="both"/>
      </w:pPr>
      <w:r>
        <w:rPr>
          <w:rFonts w:ascii="Arial" w:cs="Arial" w:eastAsia="Arial" w:hAnsi="Arial"/>
          <w:b w:val="false"/>
          <w:bCs w:val="false"/>
          <w:i w:val="false"/>
          <w:iCs w:val="false"/>
          <w:color w:val="1a1a1a"/>
          <w:sz w:val="24"/>
          <w:szCs w:val="24"/>
        </w:rPr>
        <w:t xml:space="preserve">El cifrado de datos PHI en MedSecure utiliza AES-256-GCM, un cifrado autenticado que proporciona confidencialidad e integridad de datos de manera simultánea. Cada campo PHI (nombre completo, fecha de nacimiento, dirección, teléfono, contacto de emergencia) se cifra individualmente con un vector de inicialización (IV) único de 12 bytes (96 bits).</w:t>
      </w:r>
    </w:p>
    <w:p>
      <w:pPr>
        <w:spacing w:line="360" w:lineRule="auto"/>
        <w:jc w:val="both"/>
      </w:pPr>
      <w:r>
        <w:rPr>
          <w:rFonts w:ascii="Arial" w:cs="Arial" w:eastAsia="Arial" w:hAnsi="Arial"/>
          <w:b w:val="false"/>
          <w:bCs w:val="false"/>
          <w:i w:val="false"/>
          <w:iCs w:val="false"/>
          <w:color w:val="1a1a1a"/>
          <w:sz w:val="24"/>
          <w:szCs w:val="24"/>
        </w:rPr>
        <w:t xml:space="preserve">El proceso de cifrado funciona de la siguiente manera: (1) Se genera un IV aleatorio mediante crypto.randomBytes(12); (2) Se cifra el campo con AES-256-GCM usando la clave maestra almacenada en variable de entorno; (3) Se concatena IV + ciphertext + authTag y se codifica en base64; (4) El resultado se almacena en la base de datos.</w:t>
      </w:r>
    </w:p>
    <w:p>
      <w:pPr>
        <w:spacing w:line="360" w:lineRule="auto"/>
        <w:jc w:val="both"/>
      </w:pPr>
      <w:r>
        <w:rPr>
          <w:rFonts w:ascii="Arial" w:cs="Arial" w:eastAsia="Arial" w:hAnsi="Arial"/>
          <w:b w:val="false"/>
          <w:bCs w:val="false"/>
          <w:i w:val="false"/>
          <w:iCs w:val="false"/>
          <w:color w:val="1a1a1a"/>
          <w:sz w:val="24"/>
          <w:szCs w:val="24"/>
        </w:rPr>
        <w:t xml:space="preserve">El proceso de descifrado: (1) Se decodifica el base64; (2) Se extraen IV (12 bytes), authTag (16 bytes) y ciphertext; (3) Se descifra con AES-256-GCM; (4) Si el authTag no coincide, se rechaza el dato (integridad comprometida).</w:t>
      </w:r>
    </w:p>
    <w:p>
      <w:pPr>
        <w:spacing w:line="360" w:lineRule="auto"/>
        <w:jc w:val="both"/>
      </w:pPr>
      <w:r>
        <w:rPr>
          <w:rFonts w:ascii="Arial" w:cs="Arial" w:eastAsia="Arial" w:hAnsi="Arial"/>
          <w:b w:val="false"/>
          <w:bCs w:val="false"/>
          <w:i w:val="false"/>
          <w:iCs w:val="false"/>
          <w:color w:val="1a1a1a"/>
          <w:sz w:val="24"/>
          <w:szCs w:val="24"/>
        </w:rPr>
        <w:t xml:space="preserve">No basta con cifrar solo la conexión (TLS) porque: (a) TLS protege los datos solo durante la transmisión, no cuando están almacenados; (b) Un atacante con acceso a la base de datos podría leer todos los datos si no están cifrados; (c) El cumplimiento HIPAA Security Rule requiere cifrado en reposo como salvaguarda técnica (NIST, 2020).</w:t>
      </w:r>
    </w:p>
    <w:p>
      <w:pPr>
        <w:spacing w:after="120" w:before="180" w:line="360" w:lineRule="auto"/>
        <w:jc w:val="left"/>
      </w:pPr>
      <w:r>
        <w:rPr>
          <w:rFonts w:ascii="Arial" w:cs="Arial" w:eastAsia="Arial" w:hAnsi="Arial"/>
          <w:b/>
          <w:bCs/>
          <w:i w:val="false"/>
          <w:iCs w:val="false"/>
          <w:color w:val="1a1a1a"/>
          <w:sz w:val="24"/>
          <w:szCs w:val="24"/>
        </w:rPr>
        <w:t xml:space="preserve">5.3 Sistema de auditoría inmutable</w:t>
      </w:r>
    </w:p>
    <w:p>
      <w:pPr>
        <w:spacing w:line="360" w:lineRule="auto"/>
        <w:jc w:val="both"/>
      </w:pPr>
      <w:r>
        <w:rPr>
          <w:rFonts w:ascii="Arial" w:cs="Arial" w:eastAsia="Arial" w:hAnsi="Arial"/>
          <w:b w:val="false"/>
          <w:bCs w:val="false"/>
          <w:i w:val="false"/>
          <w:iCs w:val="false"/>
          <w:color w:val="1a1a1a"/>
          <w:sz w:val="24"/>
          <w:szCs w:val="24"/>
        </w:rPr>
        <w:t xml:space="preserve">El sistema de auditoría de MedSecure se diseñó con un principio fundamental: los audit_logs son inmutables. Esto se logra mediante una arquitectura de base de datos que impide cualquier modificación o eliminación de registros de auditoría:</w:t>
      </w:r>
    </w:p>
    <w:p>
      <w:pPr>
        <w:spacing w:line="360" w:lineRule="auto"/>
        <w:jc w:val="both"/>
      </w:pPr>
      <w:r>
        <w:rPr>
          <w:rFonts w:ascii="Arial" w:cs="Arial" w:eastAsia="Arial" w:hAnsi="Arial"/>
          <w:b w:val="false"/>
          <w:bCs w:val="false"/>
          <w:i w:val="false"/>
          <w:iCs w:val="false"/>
          <w:color w:val="1a1a1a"/>
          <w:sz w:val="24"/>
          <w:szCs w:val="24"/>
        </w:rPr>
        <w:t xml:space="preserve">(1) La tabla audit_logs solo permite operaciones INSERT. (2) Un trigger de base de datos (trg_prevent_audit_mutation) impide cualquier UPDATE o DELETE sobre la tabla, lanzando una excepción si se intenta modificar un registro existente. (3) Cada registro incluye: userId, acción realizada, resourceId, resourceType, dirección IP, user-agent y timestamp. (4) Los logs se almacenan en PostgreSQL, no en archivos planos, garantizando integridad transaccional.</w:t>
      </w:r>
    </w:p>
    <w:p>
      <w:pPr>
        <w:spacing w:line="360" w:lineRule="auto"/>
        <w:jc w:val="both"/>
      </w:pPr>
      <w:r>
        <w:rPr>
          <w:rFonts w:ascii="Arial" w:cs="Arial" w:eastAsia="Arial" w:hAnsi="Arial"/>
          <w:b w:val="false"/>
          <w:bCs w:val="false"/>
          <w:i w:val="false"/>
          <w:iCs w:val="false"/>
          <w:color w:val="1a1a1a"/>
          <w:sz w:val="24"/>
          <w:szCs w:val="24"/>
        </w:rPr>
        <w:t xml:space="preserve">Este diseño garantiza trazabilidad completa de todos los accesos al sistema, cumpliendo con los requisitos de HIPAA §164.312(b) que exige registros de auditoría para sistemas que contengan PHI.</w:t>
      </w:r>
    </w:p>
    <w:p>
      <w:pPr>
        <w:spacing w:after="120" w:before="180" w:line="360" w:lineRule="auto"/>
        <w:jc w:val="left"/>
      </w:pPr>
      <w:r>
        <w:rPr>
          <w:rFonts w:ascii="Arial" w:cs="Arial" w:eastAsia="Arial" w:hAnsi="Arial"/>
          <w:b/>
          <w:bCs/>
          <w:i w:val="false"/>
          <w:iCs w:val="false"/>
          <w:color w:val="1a1a1a"/>
          <w:sz w:val="24"/>
          <w:szCs w:val="24"/>
        </w:rPr>
        <w:t xml:space="preserve">5.4 Cumplimiento HIPAA/GDPR en código</w:t>
      </w:r>
    </w:p>
    <w:p>
      <w:pPr>
        <w:spacing w:line="360" w:lineRule="auto"/>
        <w:jc w:val="both"/>
      </w:pPr>
      <w:r>
        <w:rPr>
          <w:rFonts w:ascii="Arial" w:cs="Arial" w:eastAsia="Arial" w:hAnsi="Arial"/>
          <w:b w:val="false"/>
          <w:bCs w:val="false"/>
          <w:i w:val="false"/>
          <w:iCs w:val="false"/>
          <w:color w:val="1a1a1a"/>
          <w:sz w:val="24"/>
          <w:szCs w:val="24"/>
        </w:rPr>
        <w:t xml:space="preserve">MedSecure implementa cumplimiento normativo directamente en el código fuente, no solo en documentación:</w:t>
      </w:r>
    </w:p>
    <w:p>
      <w:pPr>
        <w:spacing w:line="360" w:lineRule="auto"/>
        <w:jc w:val="both"/>
      </w:pPr>
      <w:r>
        <w:rPr>
          <w:rFonts w:ascii="Arial" w:cs="Arial" w:eastAsia="Arial" w:hAnsi="Arial"/>
          <w:b w:val="false"/>
          <w:bCs w:val="false"/>
          <w:i w:val="false"/>
          <w:iCs w:val="false"/>
          <w:color w:val="1a1a1a"/>
          <w:sz w:val="24"/>
          <w:szCs w:val="24"/>
        </w:rPr>
        <w:t xml:space="preserve">Derecho al olvido (GDPR Art. 17): El endpoint DELETE /api/patients/:patientToken/gdpr-delete anonimiza completamente los datos personales del paciente, sobrescribiendo los campos PHI con valores nulos y eliminando referencias identificables. El registro médico permanece con fines estadísticos, pero sin datos que permitan identificar al individuo.</w:t>
      </w:r>
    </w:p>
    <w:p>
      <w:pPr>
        <w:spacing w:line="360" w:lineRule="auto"/>
        <w:jc w:val="both"/>
      </w:pPr>
      <w:r>
        <w:rPr>
          <w:rFonts w:ascii="Arial" w:cs="Arial" w:eastAsia="Arial" w:hAnsi="Arial"/>
          <w:b w:val="false"/>
          <w:bCs w:val="false"/>
          <w:i w:val="false"/>
          <w:iCs w:val="false"/>
          <w:color w:val="1a1a1a"/>
          <w:sz w:val="24"/>
          <w:szCs w:val="24"/>
        </w:rPr>
        <w:t xml:space="preserve">Consentimiento informado: La tabla consent_log registra cada consentimiento otorgado o revocado por el paciente, incluyendo timestamp, versión del consentimiento y método de verificación.</w:t>
      </w:r>
    </w:p>
    <w:p>
      <w:pPr>
        <w:spacing w:line="360" w:lineRule="auto"/>
        <w:jc w:val="both"/>
      </w:pPr>
      <w:r>
        <w:rPr>
          <w:rFonts w:ascii="Arial" w:cs="Arial" w:eastAsia="Arial" w:hAnsi="Arial"/>
          <w:b w:val="false"/>
          <w:bCs w:val="false"/>
          <w:i w:val="false"/>
          <w:iCs w:val="false"/>
          <w:color w:val="1a1a1a"/>
          <w:sz w:val="24"/>
          <w:szCs w:val="24"/>
        </w:rPr>
        <w:t xml:space="preserve">Minimización de datos: En lugar de utilizar el ID real del usuario para identificar pacientes en el frontend, MedSecure utiliza patient_token (UUID v4), implementando el principio de minimización de datos del GDPR Art. 5(1)(c).</w:t>
      </w:r>
    </w:p>
    <w:p>
      <w:pPr>
        <w:spacing w:line="360" w:lineRule="auto"/>
        <w:jc w:val="both"/>
      </w:pPr>
      <w:r>
        <w:rPr>
          <w:rFonts w:ascii="Arial" w:cs="Arial" w:eastAsia="Arial" w:hAnsi="Arial"/>
          <w:b w:val="false"/>
          <w:bCs w:val="false"/>
          <w:i w:val="false"/>
          <w:iCs w:val="false"/>
          <w:color w:val="1a1a1a"/>
          <w:sz w:val="24"/>
          <w:szCs w:val="24"/>
        </w:rPr>
        <w:t xml:space="preserve">Privacy by design (GDPR Art. 25): Las 14 capas de seguridad no fueron añadidas después, sino diseñadas desde la arquitectura inicial del sistema.</w:t>
      </w:r>
    </w:p>
    <w:p>
      <w:pPr>
        <w:spacing w:after="120" w:before="180" w:line="360" w:lineRule="auto"/>
        <w:jc w:val="left"/>
      </w:pPr>
      <w:r>
        <w:rPr>
          <w:rFonts w:ascii="Arial" w:cs="Arial" w:eastAsia="Arial" w:hAnsi="Arial"/>
          <w:b/>
          <w:bCs/>
          <w:i w:val="false"/>
          <w:iCs w:val="false"/>
          <w:color w:val="1a1a1a"/>
          <w:sz w:val="24"/>
          <w:szCs w:val="24"/>
        </w:rPr>
        <w:t xml:space="preserve">5.5 Control de acceso basado en roles (RBAC)</w:t>
      </w:r>
    </w:p>
    <w:p>
      <w:pPr>
        <w:spacing w:line="360" w:lineRule="auto"/>
        <w:jc w:val="both"/>
      </w:pPr>
      <w:r>
        <w:rPr>
          <w:rFonts w:ascii="Arial" w:cs="Arial" w:eastAsia="Arial" w:hAnsi="Arial"/>
          <w:b w:val="false"/>
          <w:bCs w:val="false"/>
          <w:i w:val="false"/>
          <w:iCs w:val="false"/>
          <w:color w:val="1a1a1a"/>
          <w:sz w:val="24"/>
          <w:szCs w:val="24"/>
        </w:rPr>
        <w:t xml:space="preserve">MedSecure implementa RBAC con cuatro roles bien definidos, más un quinto rol Master para administración del sistema: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2200"/>
            <w:shd w:fill="0F6E56" w:val="clear"/>
            <w:vAlign w:val="center"/>
          </w:tcPr>
          <w:p>
            <w:pPr>
              <w:spacing w:after="60" w:before="60"/>
              <w:jc w:val="center"/>
            </w:pPr>
            <w:r>
              <w:rPr>
                <w:rFonts w:ascii="Arial" w:cs="Arial" w:eastAsia="Arial" w:hAnsi="Arial"/>
                <w:b/>
                <w:bCs/>
                <w:i w:val="false"/>
                <w:iCs w:val="false"/>
                <w:color w:val="FFFFFF"/>
                <w:sz w:val="20"/>
                <w:szCs w:val="20"/>
              </w:rPr>
              <w:t xml:space="preserve">Acción</w:t>
            </w:r>
          </w:p>
        </w:tc>
        <w:tc>
          <w:tcPr>
            <w:tcW w:type="dxa" w:w="1400"/>
            <w:shd w:fill="0F6E56" w:val="clear"/>
            <w:vAlign w:val="center"/>
          </w:tcPr>
          <w:p>
            <w:pPr>
              <w:spacing w:after="60" w:before="60"/>
              <w:jc w:val="center"/>
            </w:pPr>
            <w:r>
              <w:rPr>
                <w:rFonts w:ascii="Arial" w:cs="Arial" w:eastAsia="Arial" w:hAnsi="Arial"/>
                <w:b/>
                <w:bCs/>
                <w:i w:val="false"/>
                <w:iCs w:val="false"/>
                <w:color w:val="FFFFFF"/>
                <w:sz w:val="20"/>
                <w:szCs w:val="20"/>
              </w:rPr>
              <w:t xml:space="preserve">Admin</w:t>
            </w:r>
          </w:p>
        </w:tc>
        <w:tc>
          <w:tcPr>
            <w:tcW w:type="dxa" w:w="1600"/>
            <w:shd w:fill="0F6E56" w:val="clear"/>
            <w:vAlign w:val="center"/>
          </w:tcPr>
          <w:p>
            <w:pPr>
              <w:spacing w:after="60" w:before="60"/>
              <w:jc w:val="center"/>
            </w:pPr>
            <w:r>
              <w:rPr>
                <w:rFonts w:ascii="Arial" w:cs="Arial" w:eastAsia="Arial" w:hAnsi="Arial"/>
                <w:b/>
                <w:bCs/>
                <w:i w:val="false"/>
                <w:iCs w:val="false"/>
                <w:color w:val="FFFFFF"/>
                <w:sz w:val="20"/>
                <w:szCs w:val="20"/>
              </w:rPr>
              <w:t xml:space="preserve">Médico</w:t>
            </w:r>
          </w:p>
        </w:tc>
        <w:tc>
          <w:tcPr>
            <w:tcW w:type="dxa" w:w="1800"/>
            <w:shd w:fill="0F6E56" w:val="clear"/>
            <w:vAlign w:val="center"/>
          </w:tcPr>
          <w:p>
            <w:pPr>
              <w:spacing w:after="60" w:before="60"/>
              <w:jc w:val="center"/>
            </w:pPr>
            <w:r>
              <w:rPr>
                <w:rFonts w:ascii="Arial" w:cs="Arial" w:eastAsia="Arial" w:hAnsi="Arial"/>
                <w:b/>
                <w:bCs/>
                <w:i w:val="false"/>
                <w:iCs w:val="false"/>
                <w:color w:val="FFFFFF"/>
                <w:sz w:val="20"/>
                <w:szCs w:val="20"/>
              </w:rPr>
              <w:t xml:space="preserve">Enfermero</w:t>
            </w:r>
          </w:p>
        </w:tc>
        <w:tc>
          <w:tcPr>
            <w:tcW w:type="dxa" w:w="1400"/>
            <w:shd w:fill="0F6E56" w:val="clear"/>
            <w:vAlign w:val="center"/>
          </w:tcPr>
          <w:p>
            <w:pPr>
              <w:spacing w:after="60" w:before="60"/>
              <w:jc w:val="center"/>
            </w:pPr>
            <w:r>
              <w:rPr>
                <w:rFonts w:ascii="Arial" w:cs="Arial" w:eastAsia="Arial" w:hAnsi="Arial"/>
                <w:b/>
                <w:bCs/>
                <w:i w:val="false"/>
                <w:iCs w:val="false"/>
                <w:color w:val="FFFFFF"/>
                <w:sz w:val="20"/>
                <w:szCs w:val="20"/>
              </w:rPr>
              <w:t xml:space="preserve">Paciente</w:t>
            </w:r>
          </w:p>
        </w:tc>
      </w:tr>
      <w:tr>
        <w:tc>
          <w:tcPr>
            <w:tcW w:type="dxa" w:w="2200"/>
            <w:vAlign w:val="center"/>
          </w:tcPr>
          <w:p>
            <w:pPr>
              <w:spacing w:after="40" w:before="40"/>
              <w:jc w:val="left"/>
            </w:pPr>
            <w:r>
              <w:rPr>
                <w:rFonts w:ascii="Arial" w:cs="Arial" w:eastAsia="Arial" w:hAnsi="Arial"/>
                <w:b w:val="false"/>
                <w:bCs w:val="false"/>
                <w:i w:val="false"/>
                <w:iCs w:val="false"/>
                <w:color w:val="1a1a1a"/>
                <w:sz w:val="20"/>
                <w:szCs w:val="20"/>
              </w:rPr>
              <w:t xml:space="preserve">Ver expedientes</w:t>
            </w:r>
          </w:p>
        </w:tc>
        <w:tc>
          <w:tcPr>
            <w:tcW w:type="dxa" w:w="1400"/>
            <w:vAlign w:val="center"/>
          </w:tcPr>
          <w:p>
            <w:pPr>
              <w:spacing w:after="40" w:before="40"/>
              <w:jc w:val="left"/>
            </w:pPr>
            <w:r>
              <w:rPr>
                <w:rFonts w:ascii="Arial" w:cs="Arial" w:eastAsia="Arial" w:hAnsi="Arial"/>
                <w:b w:val="false"/>
                <w:bCs w:val="false"/>
                <w:i w:val="false"/>
                <w:iCs w:val="false"/>
                <w:color w:val="1a1a1a"/>
                <w:sz w:val="20"/>
                <w:szCs w:val="20"/>
              </w:rPr>
              <w:t xml:space="preserve">Sí (todos)</w:t>
            </w:r>
          </w:p>
        </w:tc>
        <w:tc>
          <w:tcPr>
            <w:tcW w:type="dxa" w:w="1600"/>
            <w:vAlign w:val="center"/>
          </w:tcPr>
          <w:p>
            <w:pPr>
              <w:spacing w:after="40" w:before="40"/>
              <w:jc w:val="left"/>
            </w:pPr>
            <w:r>
              <w:rPr>
                <w:rFonts w:ascii="Arial" w:cs="Arial" w:eastAsia="Arial" w:hAnsi="Arial"/>
                <w:b w:val="false"/>
                <w:bCs w:val="false"/>
                <w:i w:val="false"/>
                <w:iCs w:val="false"/>
                <w:color w:val="1a1a1a"/>
                <w:sz w:val="20"/>
                <w:szCs w:val="20"/>
              </w:rPr>
              <w:t xml:space="preserve">Sí (asignados)</w:t>
            </w:r>
          </w:p>
        </w:tc>
        <w:tc>
          <w:tcPr>
            <w:tcW w:type="dxa" w:w="1800"/>
            <w:vAlign w:val="center"/>
          </w:tcPr>
          <w:p>
            <w:pPr>
              <w:spacing w:after="40" w:before="40"/>
              <w:jc w:val="left"/>
            </w:pPr>
            <w:r>
              <w:rPr>
                <w:rFonts w:ascii="Arial" w:cs="Arial" w:eastAsia="Arial" w:hAnsi="Arial"/>
                <w:b w:val="false"/>
                <w:bCs w:val="false"/>
                <w:i w:val="false"/>
                <w:iCs w:val="false"/>
                <w:color w:val="1a1a1a"/>
                <w:sz w:val="20"/>
                <w:szCs w:val="20"/>
              </w:rPr>
              <w:t xml:space="preserve">Sí (vista parcial)</w:t>
            </w:r>
          </w:p>
        </w:tc>
        <w:tc>
          <w:tcPr>
            <w:tcW w:type="dxa" w:w="1400"/>
            <w:vAlign w:val="center"/>
          </w:tcPr>
          <w:p>
            <w:pPr>
              <w:spacing w:after="40" w:before="40"/>
              <w:jc w:val="left"/>
            </w:pPr>
            <w:r>
              <w:rPr>
                <w:rFonts w:ascii="Arial" w:cs="Arial" w:eastAsia="Arial" w:hAnsi="Arial"/>
                <w:b w:val="false"/>
                <w:bCs w:val="false"/>
                <w:i w:val="false"/>
                <w:iCs w:val="false"/>
                <w:color w:val="1a1a1a"/>
                <w:sz w:val="20"/>
                <w:szCs w:val="20"/>
              </w:rPr>
              <w:t xml:space="preserve">Sí (propio)</w:t>
            </w:r>
          </w:p>
        </w:tc>
      </w:tr>
      <w:tr>
        <w:tc>
          <w:tcPr>
            <w:tcW w:type="dxa" w:w="2200"/>
            <w:shd w:fill="f0f7f4" w:val="clear"/>
            <w:vAlign w:val="center"/>
          </w:tcPr>
          <w:p>
            <w:pPr>
              <w:spacing w:after="40" w:before="40"/>
              <w:jc w:val="left"/>
            </w:pPr>
            <w:r>
              <w:rPr>
                <w:rFonts w:ascii="Arial" w:cs="Arial" w:eastAsia="Arial" w:hAnsi="Arial"/>
                <w:b w:val="false"/>
                <w:bCs w:val="false"/>
                <w:i w:val="false"/>
                <w:iCs w:val="false"/>
                <w:color w:val="1a1a1a"/>
                <w:sz w:val="20"/>
                <w:szCs w:val="20"/>
              </w:rPr>
              <w:t xml:space="preserve">Crear expedientes</w:t>
            </w:r>
          </w:p>
        </w:tc>
        <w:tc>
          <w:tcPr>
            <w:tcW w:type="dxa" w:w="1400"/>
            <w:shd w:fill="f0f7f4" w:val="clear"/>
            <w:vAlign w:val="center"/>
          </w:tcPr>
          <w:p>
            <w:pPr>
              <w:spacing w:after="40" w:before="40"/>
              <w:jc w:val="left"/>
            </w:pPr>
            <w:r>
              <w:rPr>
                <w:rFonts w:ascii="Arial" w:cs="Arial" w:eastAsia="Arial" w:hAnsi="Arial"/>
                <w:b w:val="false"/>
                <w:bCs w:val="false"/>
                <w:i w:val="false"/>
                <w:iCs w:val="false"/>
                <w:color w:val="1a1a1a"/>
                <w:sz w:val="20"/>
                <w:szCs w:val="20"/>
              </w:rPr>
              <w:t xml:space="preserve">Sí</w:t>
            </w:r>
          </w:p>
        </w:tc>
        <w:tc>
          <w:tcPr>
            <w:tcW w:type="dxa" w:w="1600"/>
            <w:shd w:fill="f0f7f4" w:val="clear"/>
            <w:vAlign w:val="center"/>
          </w:tcPr>
          <w:p>
            <w:pPr>
              <w:spacing w:after="40" w:before="40"/>
              <w:jc w:val="left"/>
            </w:pPr>
            <w:r>
              <w:rPr>
                <w:rFonts w:ascii="Arial" w:cs="Arial" w:eastAsia="Arial" w:hAnsi="Arial"/>
                <w:b w:val="false"/>
                <w:bCs w:val="false"/>
                <w:i w:val="false"/>
                <w:iCs w:val="false"/>
                <w:color w:val="1a1a1a"/>
                <w:sz w:val="20"/>
                <w:szCs w:val="20"/>
              </w:rPr>
              <w:t xml:space="preserve">Sí</w:t>
            </w:r>
          </w:p>
        </w:tc>
        <w:tc>
          <w:tcPr>
            <w:tcW w:type="dxa" w:w="1800"/>
            <w:shd w:fill="f0f7f4" w:val="clear"/>
            <w:vAlign w:val="center"/>
          </w:tcPr>
          <w:p>
            <w:pPr>
              <w:spacing w:after="40" w:before="40"/>
              <w:jc w:val="left"/>
            </w:pPr>
            <w:r>
              <w:rPr>
                <w:rFonts w:ascii="Arial" w:cs="Arial" w:eastAsia="Arial" w:hAnsi="Arial"/>
                <w:b w:val="false"/>
                <w:bCs w:val="false"/>
                <w:i w:val="false"/>
                <w:iCs w:val="false"/>
                <w:color w:val="1a1a1a"/>
                <w:sz w:val="20"/>
                <w:szCs w:val="20"/>
              </w:rPr>
              <w:t xml:space="preserve">No</w:t>
            </w:r>
          </w:p>
        </w:tc>
        <w:tc>
          <w:tcPr>
            <w:tcW w:type="dxa" w:w="1400"/>
            <w:shd w:fill="f0f7f4" w:val="clear"/>
            <w:vAlign w:val="center"/>
          </w:tcPr>
          <w:p>
            <w:pPr>
              <w:spacing w:after="40" w:before="40"/>
              <w:jc w:val="left"/>
            </w:pPr>
            <w:r>
              <w:rPr>
                <w:rFonts w:ascii="Arial" w:cs="Arial" w:eastAsia="Arial" w:hAnsi="Arial"/>
                <w:b w:val="false"/>
                <w:bCs w:val="false"/>
                <w:i w:val="false"/>
                <w:iCs w:val="false"/>
                <w:color w:val="1a1a1a"/>
                <w:sz w:val="20"/>
                <w:szCs w:val="20"/>
              </w:rPr>
              <w:t xml:space="preserve">No</w:t>
            </w:r>
          </w:p>
        </w:tc>
      </w:tr>
      <w:tr>
        <w:tc>
          <w:tcPr>
            <w:tcW w:type="dxa" w:w="2200"/>
            <w:vAlign w:val="center"/>
          </w:tcPr>
          <w:p>
            <w:pPr>
              <w:spacing w:after="40" w:before="40"/>
              <w:jc w:val="left"/>
            </w:pPr>
            <w:r>
              <w:rPr>
                <w:rFonts w:ascii="Arial" w:cs="Arial" w:eastAsia="Arial" w:hAnsi="Arial"/>
                <w:b w:val="false"/>
                <w:bCs w:val="false"/>
                <w:i w:val="false"/>
                <w:iCs w:val="false"/>
                <w:color w:val="1a1a1a"/>
                <w:sz w:val="20"/>
                <w:szCs w:val="20"/>
              </w:rPr>
              <w:t xml:space="preserve">Editar expedientes</w:t>
            </w:r>
          </w:p>
        </w:tc>
        <w:tc>
          <w:tcPr>
            <w:tcW w:type="dxa" w:w="1400"/>
            <w:vAlign w:val="center"/>
          </w:tcPr>
          <w:p>
            <w:pPr>
              <w:spacing w:after="40" w:before="40"/>
              <w:jc w:val="left"/>
            </w:pPr>
            <w:r>
              <w:rPr>
                <w:rFonts w:ascii="Arial" w:cs="Arial" w:eastAsia="Arial" w:hAnsi="Arial"/>
                <w:b w:val="false"/>
                <w:bCs w:val="false"/>
                <w:i w:val="false"/>
                <w:iCs w:val="false"/>
                <w:color w:val="1a1a1a"/>
                <w:sz w:val="20"/>
                <w:szCs w:val="20"/>
              </w:rPr>
              <w:t xml:space="preserve">Sí</w:t>
            </w:r>
          </w:p>
        </w:tc>
        <w:tc>
          <w:tcPr>
            <w:tcW w:type="dxa" w:w="1600"/>
            <w:vAlign w:val="center"/>
          </w:tcPr>
          <w:p>
            <w:pPr>
              <w:spacing w:after="40" w:before="40"/>
              <w:jc w:val="left"/>
            </w:pPr>
            <w:r>
              <w:rPr>
                <w:rFonts w:ascii="Arial" w:cs="Arial" w:eastAsia="Arial" w:hAnsi="Arial"/>
                <w:b w:val="false"/>
                <w:bCs w:val="false"/>
                <w:i w:val="false"/>
                <w:iCs w:val="false"/>
                <w:color w:val="1a1a1a"/>
                <w:sz w:val="20"/>
                <w:szCs w:val="20"/>
              </w:rPr>
              <w:t xml:space="preserve">Sí</w:t>
            </w:r>
          </w:p>
        </w:tc>
        <w:tc>
          <w:tcPr>
            <w:tcW w:type="dxa" w:w="1800"/>
            <w:vAlign w:val="center"/>
          </w:tcPr>
          <w:p>
            <w:pPr>
              <w:spacing w:after="40" w:before="40"/>
              <w:jc w:val="left"/>
            </w:pPr>
            <w:r>
              <w:rPr>
                <w:rFonts w:ascii="Arial" w:cs="Arial" w:eastAsia="Arial" w:hAnsi="Arial"/>
                <w:b w:val="false"/>
                <w:bCs w:val="false"/>
                <w:i w:val="false"/>
                <w:iCs w:val="false"/>
                <w:color w:val="1a1a1a"/>
                <w:sz w:val="20"/>
                <w:szCs w:val="20"/>
              </w:rPr>
              <w:t xml:space="preserve">No</w:t>
            </w:r>
          </w:p>
        </w:tc>
        <w:tc>
          <w:tcPr>
            <w:tcW w:type="dxa" w:w="1400"/>
            <w:vAlign w:val="center"/>
          </w:tcPr>
          <w:p>
            <w:pPr>
              <w:spacing w:after="40" w:before="40"/>
              <w:jc w:val="left"/>
            </w:pPr>
            <w:r>
              <w:rPr>
                <w:rFonts w:ascii="Arial" w:cs="Arial" w:eastAsia="Arial" w:hAnsi="Arial"/>
                <w:b w:val="false"/>
                <w:bCs w:val="false"/>
                <w:i w:val="false"/>
                <w:iCs w:val="false"/>
                <w:color w:val="1a1a1a"/>
                <w:sz w:val="20"/>
                <w:szCs w:val="20"/>
              </w:rPr>
              <w:t xml:space="preserve">No</w:t>
            </w:r>
          </w:p>
        </w:tc>
      </w:tr>
      <w:tr>
        <w:tc>
          <w:tcPr>
            <w:tcW w:type="dxa" w:w="2200"/>
            <w:shd w:fill="f0f7f4" w:val="clear"/>
            <w:vAlign w:val="center"/>
          </w:tcPr>
          <w:p>
            <w:pPr>
              <w:spacing w:after="40" w:before="40"/>
              <w:jc w:val="left"/>
            </w:pPr>
            <w:r>
              <w:rPr>
                <w:rFonts w:ascii="Arial" w:cs="Arial" w:eastAsia="Arial" w:hAnsi="Arial"/>
                <w:b w:val="false"/>
                <w:bCs w:val="false"/>
                <w:i w:val="false"/>
                <w:iCs w:val="false"/>
                <w:color w:val="1a1a1a"/>
                <w:sz w:val="20"/>
                <w:szCs w:val="20"/>
              </w:rPr>
              <w:t xml:space="preserve">Eliminar expedientes</w:t>
            </w:r>
          </w:p>
        </w:tc>
        <w:tc>
          <w:tcPr>
            <w:tcW w:type="dxa" w:w="1400"/>
            <w:shd w:fill="f0f7f4" w:val="clear"/>
            <w:vAlign w:val="center"/>
          </w:tcPr>
          <w:p>
            <w:pPr>
              <w:spacing w:after="40" w:before="40"/>
              <w:jc w:val="left"/>
            </w:pPr>
            <w:r>
              <w:rPr>
                <w:rFonts w:ascii="Arial" w:cs="Arial" w:eastAsia="Arial" w:hAnsi="Arial"/>
                <w:b w:val="false"/>
                <w:bCs w:val="false"/>
                <w:i w:val="false"/>
                <w:iCs w:val="false"/>
                <w:color w:val="1a1a1a"/>
                <w:sz w:val="20"/>
                <w:szCs w:val="20"/>
              </w:rPr>
              <w:t xml:space="preserve">No (solo anonimizar)</w:t>
            </w:r>
          </w:p>
        </w:tc>
        <w:tc>
          <w:tcPr>
            <w:tcW w:type="dxa" w:w="1600"/>
            <w:shd w:fill="f0f7f4" w:val="clear"/>
            <w:vAlign w:val="center"/>
          </w:tcPr>
          <w:p>
            <w:pPr>
              <w:spacing w:after="40" w:before="40"/>
              <w:jc w:val="left"/>
            </w:pPr>
            <w:r>
              <w:rPr>
                <w:rFonts w:ascii="Arial" w:cs="Arial" w:eastAsia="Arial" w:hAnsi="Arial"/>
                <w:b w:val="false"/>
                <w:bCs w:val="false"/>
                <w:i w:val="false"/>
                <w:iCs w:val="false"/>
                <w:color w:val="1a1a1a"/>
                <w:sz w:val="20"/>
                <w:szCs w:val="20"/>
              </w:rPr>
              <w:t xml:space="preserve">No</w:t>
            </w:r>
          </w:p>
        </w:tc>
        <w:tc>
          <w:tcPr>
            <w:tcW w:type="dxa" w:w="1800"/>
            <w:shd w:fill="f0f7f4" w:val="clear"/>
            <w:vAlign w:val="center"/>
          </w:tcPr>
          <w:p>
            <w:pPr>
              <w:spacing w:after="40" w:before="40"/>
              <w:jc w:val="left"/>
            </w:pPr>
            <w:r>
              <w:rPr>
                <w:rFonts w:ascii="Arial" w:cs="Arial" w:eastAsia="Arial" w:hAnsi="Arial"/>
                <w:b w:val="false"/>
                <w:bCs w:val="false"/>
                <w:i w:val="false"/>
                <w:iCs w:val="false"/>
                <w:color w:val="1a1a1a"/>
                <w:sz w:val="20"/>
                <w:szCs w:val="20"/>
              </w:rPr>
              <w:t xml:space="preserve">No</w:t>
            </w:r>
          </w:p>
        </w:tc>
        <w:tc>
          <w:tcPr>
            <w:tcW w:type="dxa" w:w="1400"/>
            <w:shd w:fill="f0f7f4" w:val="clear"/>
            <w:vAlign w:val="center"/>
          </w:tcPr>
          <w:p>
            <w:pPr>
              <w:spacing w:after="40" w:before="40"/>
              <w:jc w:val="left"/>
            </w:pPr>
            <w:r>
              <w:rPr>
                <w:rFonts w:ascii="Arial" w:cs="Arial" w:eastAsia="Arial" w:hAnsi="Arial"/>
                <w:b w:val="false"/>
                <w:bCs w:val="false"/>
                <w:i w:val="false"/>
                <w:iCs w:val="false"/>
                <w:color w:val="1a1a1a"/>
                <w:sz w:val="20"/>
                <w:szCs w:val="20"/>
              </w:rPr>
              <w:t xml:space="preserve">No</w:t>
            </w:r>
          </w:p>
        </w:tc>
      </w:tr>
      <w:tr>
        <w:tc>
          <w:tcPr>
            <w:tcW w:type="dxa" w:w="2200"/>
            <w:vAlign w:val="center"/>
          </w:tcPr>
          <w:p>
            <w:pPr>
              <w:spacing w:after="40" w:before="40"/>
              <w:jc w:val="left"/>
            </w:pPr>
            <w:r>
              <w:rPr>
                <w:rFonts w:ascii="Arial" w:cs="Arial" w:eastAsia="Arial" w:hAnsi="Arial"/>
                <w:b w:val="false"/>
                <w:bCs w:val="false"/>
                <w:i w:val="false"/>
                <w:iCs w:val="false"/>
                <w:color w:val="1a1a1a"/>
                <w:sz w:val="20"/>
                <w:szCs w:val="20"/>
              </w:rPr>
              <w:t xml:space="preserve">Gestionar usuarios</w:t>
            </w:r>
          </w:p>
        </w:tc>
        <w:tc>
          <w:tcPr>
            <w:tcW w:type="dxa" w:w="1400"/>
            <w:vAlign w:val="center"/>
          </w:tcPr>
          <w:p>
            <w:pPr>
              <w:spacing w:after="40" w:before="40"/>
              <w:jc w:val="left"/>
            </w:pPr>
            <w:r>
              <w:rPr>
                <w:rFonts w:ascii="Arial" w:cs="Arial" w:eastAsia="Arial" w:hAnsi="Arial"/>
                <w:b w:val="false"/>
                <w:bCs w:val="false"/>
                <w:i w:val="false"/>
                <w:iCs w:val="false"/>
                <w:color w:val="1a1a1a"/>
                <w:sz w:val="20"/>
                <w:szCs w:val="20"/>
              </w:rPr>
              <w:t xml:space="preserve">Sí (solo editar)</w:t>
            </w:r>
          </w:p>
        </w:tc>
        <w:tc>
          <w:tcPr>
            <w:tcW w:type="dxa" w:w="1600"/>
            <w:vAlign w:val="center"/>
          </w:tcPr>
          <w:p>
            <w:pPr>
              <w:spacing w:after="40" w:before="40"/>
              <w:jc w:val="left"/>
            </w:pPr>
            <w:r>
              <w:rPr>
                <w:rFonts w:ascii="Arial" w:cs="Arial" w:eastAsia="Arial" w:hAnsi="Arial"/>
                <w:b w:val="false"/>
                <w:bCs w:val="false"/>
                <w:i w:val="false"/>
                <w:iCs w:val="false"/>
                <w:color w:val="1a1a1a"/>
                <w:sz w:val="20"/>
                <w:szCs w:val="20"/>
              </w:rPr>
              <w:t xml:space="preserve">No</w:t>
            </w:r>
          </w:p>
        </w:tc>
        <w:tc>
          <w:tcPr>
            <w:tcW w:type="dxa" w:w="1800"/>
            <w:vAlign w:val="center"/>
          </w:tcPr>
          <w:p>
            <w:pPr>
              <w:spacing w:after="40" w:before="40"/>
              <w:jc w:val="left"/>
            </w:pPr>
            <w:r>
              <w:rPr>
                <w:rFonts w:ascii="Arial" w:cs="Arial" w:eastAsia="Arial" w:hAnsi="Arial"/>
                <w:b w:val="false"/>
                <w:bCs w:val="false"/>
                <w:i w:val="false"/>
                <w:iCs w:val="false"/>
                <w:color w:val="1a1a1a"/>
                <w:sz w:val="20"/>
                <w:szCs w:val="20"/>
              </w:rPr>
              <w:t xml:space="preserve">No</w:t>
            </w:r>
          </w:p>
        </w:tc>
        <w:tc>
          <w:tcPr>
            <w:tcW w:type="dxa" w:w="1400"/>
            <w:vAlign w:val="center"/>
          </w:tcPr>
          <w:p>
            <w:pPr>
              <w:spacing w:after="40" w:before="40"/>
              <w:jc w:val="left"/>
            </w:pPr>
            <w:r>
              <w:rPr>
                <w:rFonts w:ascii="Arial" w:cs="Arial" w:eastAsia="Arial" w:hAnsi="Arial"/>
                <w:b w:val="false"/>
                <w:bCs w:val="false"/>
                <w:i w:val="false"/>
                <w:iCs w:val="false"/>
                <w:color w:val="1a1a1a"/>
                <w:sz w:val="20"/>
                <w:szCs w:val="20"/>
              </w:rPr>
              <w:t xml:space="preserve">No</w:t>
            </w:r>
          </w:p>
        </w:tc>
      </w:tr>
      <w:tr>
        <w:tc>
          <w:tcPr>
            <w:tcW w:type="dxa" w:w="2200"/>
            <w:shd w:fill="f0f7f4" w:val="clear"/>
            <w:vAlign w:val="center"/>
          </w:tcPr>
          <w:p>
            <w:pPr>
              <w:spacing w:after="40" w:before="40"/>
              <w:jc w:val="left"/>
            </w:pPr>
            <w:r>
              <w:rPr>
                <w:rFonts w:ascii="Arial" w:cs="Arial" w:eastAsia="Arial" w:hAnsi="Arial"/>
                <w:b w:val="false"/>
                <w:bCs w:val="false"/>
                <w:i w:val="false"/>
                <w:iCs w:val="false"/>
                <w:color w:val="1a1a1a"/>
                <w:sz w:val="20"/>
                <w:szCs w:val="20"/>
              </w:rPr>
              <w:t xml:space="preserve">Crear/eliminar usuarios</w:t>
            </w:r>
          </w:p>
        </w:tc>
        <w:tc>
          <w:tcPr>
            <w:tcW w:type="dxa" w:w="1400"/>
            <w:shd w:fill="f0f7f4" w:val="clear"/>
            <w:vAlign w:val="center"/>
          </w:tcPr>
          <w:p>
            <w:pPr>
              <w:spacing w:after="40" w:before="40"/>
              <w:jc w:val="left"/>
            </w:pPr>
            <w:r>
              <w:rPr>
                <w:rFonts w:ascii="Arial" w:cs="Arial" w:eastAsia="Arial" w:hAnsi="Arial"/>
                <w:b w:val="false"/>
                <w:bCs w:val="false"/>
                <w:i w:val="false"/>
                <w:iCs w:val="false"/>
                <w:color w:val="1a1a1a"/>
                <w:sz w:val="20"/>
                <w:szCs w:val="20"/>
              </w:rPr>
              <w:t xml:space="preserve">No (solo Master)</w:t>
            </w:r>
          </w:p>
        </w:tc>
        <w:tc>
          <w:tcPr>
            <w:tcW w:type="dxa" w:w="1600"/>
            <w:shd w:fill="f0f7f4" w:val="clear"/>
            <w:vAlign w:val="center"/>
          </w:tcPr>
          <w:p>
            <w:pPr>
              <w:spacing w:after="40" w:before="40"/>
              <w:jc w:val="left"/>
            </w:pPr>
            <w:r>
              <w:rPr>
                <w:rFonts w:ascii="Arial" w:cs="Arial" w:eastAsia="Arial" w:hAnsi="Arial"/>
                <w:b w:val="false"/>
                <w:bCs w:val="false"/>
                <w:i w:val="false"/>
                <w:iCs w:val="false"/>
                <w:color w:val="1a1a1a"/>
                <w:sz w:val="20"/>
                <w:szCs w:val="20"/>
              </w:rPr>
              <w:t xml:space="preserve">No</w:t>
            </w:r>
          </w:p>
        </w:tc>
        <w:tc>
          <w:tcPr>
            <w:tcW w:type="dxa" w:w="1800"/>
            <w:shd w:fill="f0f7f4" w:val="clear"/>
            <w:vAlign w:val="center"/>
          </w:tcPr>
          <w:p>
            <w:pPr>
              <w:spacing w:after="40" w:before="40"/>
              <w:jc w:val="left"/>
            </w:pPr>
            <w:r>
              <w:rPr>
                <w:rFonts w:ascii="Arial" w:cs="Arial" w:eastAsia="Arial" w:hAnsi="Arial"/>
                <w:b w:val="false"/>
                <w:bCs w:val="false"/>
                <w:i w:val="false"/>
                <w:iCs w:val="false"/>
                <w:color w:val="1a1a1a"/>
                <w:sz w:val="20"/>
                <w:szCs w:val="20"/>
              </w:rPr>
              <w:t xml:space="preserve">No</w:t>
            </w:r>
          </w:p>
        </w:tc>
        <w:tc>
          <w:tcPr>
            <w:tcW w:type="dxa" w:w="1400"/>
            <w:shd w:fill="f0f7f4" w:val="clear"/>
            <w:vAlign w:val="center"/>
          </w:tcPr>
          <w:p>
            <w:pPr>
              <w:spacing w:after="40" w:before="40"/>
              <w:jc w:val="left"/>
            </w:pPr>
            <w:r>
              <w:rPr>
                <w:rFonts w:ascii="Arial" w:cs="Arial" w:eastAsia="Arial" w:hAnsi="Arial"/>
                <w:b w:val="false"/>
                <w:bCs w:val="false"/>
                <w:i w:val="false"/>
                <w:iCs w:val="false"/>
                <w:color w:val="1a1a1a"/>
                <w:sz w:val="20"/>
                <w:szCs w:val="20"/>
              </w:rPr>
              <w:t xml:space="preserve">No</w:t>
            </w:r>
          </w:p>
        </w:tc>
      </w:tr>
      <w:tr>
        <w:tc>
          <w:tcPr>
            <w:tcW w:type="dxa" w:w="2200"/>
            <w:vAlign w:val="center"/>
          </w:tcPr>
          <w:p>
            <w:pPr>
              <w:spacing w:after="40" w:before="40"/>
              <w:jc w:val="left"/>
            </w:pPr>
            <w:r>
              <w:rPr>
                <w:rFonts w:ascii="Arial" w:cs="Arial" w:eastAsia="Arial" w:hAnsi="Arial"/>
                <w:b w:val="false"/>
                <w:bCs w:val="false"/>
                <w:i w:val="false"/>
                <w:iCs w:val="false"/>
                <w:color w:val="1a1a1a"/>
                <w:sz w:val="20"/>
                <w:szCs w:val="20"/>
              </w:rPr>
              <w:t xml:space="preserve">Cambiar roles</w:t>
            </w:r>
          </w:p>
        </w:tc>
        <w:tc>
          <w:tcPr>
            <w:tcW w:type="dxa" w:w="1400"/>
            <w:vAlign w:val="center"/>
          </w:tcPr>
          <w:p>
            <w:pPr>
              <w:spacing w:after="40" w:before="40"/>
              <w:jc w:val="left"/>
            </w:pPr>
            <w:r>
              <w:rPr>
                <w:rFonts w:ascii="Arial" w:cs="Arial" w:eastAsia="Arial" w:hAnsi="Arial"/>
                <w:b w:val="false"/>
                <w:bCs w:val="false"/>
                <w:i w:val="false"/>
                <w:iCs w:val="false"/>
                <w:color w:val="1a1a1a"/>
                <w:sz w:val="20"/>
                <w:szCs w:val="20"/>
              </w:rPr>
              <w:t xml:space="preserve">No (solo Master)</w:t>
            </w:r>
          </w:p>
        </w:tc>
        <w:tc>
          <w:tcPr>
            <w:tcW w:type="dxa" w:w="1600"/>
            <w:vAlign w:val="center"/>
          </w:tcPr>
          <w:p>
            <w:pPr>
              <w:spacing w:after="40" w:before="40"/>
              <w:jc w:val="left"/>
            </w:pPr>
            <w:r>
              <w:rPr>
                <w:rFonts w:ascii="Arial" w:cs="Arial" w:eastAsia="Arial" w:hAnsi="Arial"/>
                <w:b w:val="false"/>
                <w:bCs w:val="false"/>
                <w:i w:val="false"/>
                <w:iCs w:val="false"/>
                <w:color w:val="1a1a1a"/>
                <w:sz w:val="20"/>
                <w:szCs w:val="20"/>
              </w:rPr>
              <w:t xml:space="preserve">No</w:t>
            </w:r>
          </w:p>
        </w:tc>
        <w:tc>
          <w:tcPr>
            <w:tcW w:type="dxa" w:w="1800"/>
            <w:vAlign w:val="center"/>
          </w:tcPr>
          <w:p>
            <w:pPr>
              <w:spacing w:after="40" w:before="40"/>
              <w:jc w:val="left"/>
            </w:pPr>
            <w:r>
              <w:rPr>
                <w:rFonts w:ascii="Arial" w:cs="Arial" w:eastAsia="Arial" w:hAnsi="Arial"/>
                <w:b w:val="false"/>
                <w:bCs w:val="false"/>
                <w:i w:val="false"/>
                <w:iCs w:val="false"/>
                <w:color w:val="1a1a1a"/>
                <w:sz w:val="20"/>
                <w:szCs w:val="20"/>
              </w:rPr>
              <w:t xml:space="preserve">No</w:t>
            </w:r>
          </w:p>
        </w:tc>
        <w:tc>
          <w:tcPr>
            <w:tcW w:type="dxa" w:w="1400"/>
            <w:vAlign w:val="center"/>
          </w:tcPr>
          <w:p>
            <w:pPr>
              <w:spacing w:after="40" w:before="40"/>
              <w:jc w:val="left"/>
            </w:pPr>
            <w:r>
              <w:rPr>
                <w:rFonts w:ascii="Arial" w:cs="Arial" w:eastAsia="Arial" w:hAnsi="Arial"/>
                <w:b w:val="false"/>
                <w:bCs w:val="false"/>
                <w:i w:val="false"/>
                <w:iCs w:val="false"/>
                <w:color w:val="1a1a1a"/>
                <w:sz w:val="20"/>
                <w:szCs w:val="20"/>
              </w:rPr>
              <w:t xml:space="preserve">No</w:t>
            </w:r>
          </w:p>
        </w:tc>
      </w:tr>
      <w:tr>
        <w:tc>
          <w:tcPr>
            <w:tcW w:type="dxa" w:w="2200"/>
            <w:shd w:fill="f0f7f4" w:val="clear"/>
            <w:vAlign w:val="center"/>
          </w:tcPr>
          <w:p>
            <w:pPr>
              <w:spacing w:after="40" w:before="40"/>
              <w:jc w:val="left"/>
            </w:pPr>
            <w:r>
              <w:rPr>
                <w:rFonts w:ascii="Arial" w:cs="Arial" w:eastAsia="Arial" w:hAnsi="Arial"/>
                <w:b w:val="false"/>
                <w:bCs w:val="false"/>
                <w:i w:val="false"/>
                <w:iCs w:val="false"/>
                <w:color w:val="1a1a1a"/>
                <w:sz w:val="20"/>
                <w:szCs w:val="20"/>
              </w:rPr>
              <w:t xml:space="preserve">Ver dashboard</w:t>
            </w:r>
          </w:p>
        </w:tc>
        <w:tc>
          <w:tcPr>
            <w:tcW w:type="dxa" w:w="1400"/>
            <w:shd w:fill="f0f7f4" w:val="clear"/>
            <w:vAlign w:val="center"/>
          </w:tcPr>
          <w:p>
            <w:pPr>
              <w:spacing w:after="40" w:before="40"/>
              <w:jc w:val="left"/>
            </w:pPr>
            <w:r>
              <w:rPr>
                <w:rFonts w:ascii="Arial" w:cs="Arial" w:eastAsia="Arial" w:hAnsi="Arial"/>
                <w:b w:val="false"/>
                <w:bCs w:val="false"/>
                <w:i w:val="false"/>
                <w:iCs w:val="false"/>
                <w:color w:val="1a1a1a"/>
                <w:sz w:val="20"/>
                <w:szCs w:val="20"/>
              </w:rPr>
              <w:t xml:space="preserve">Sí</w:t>
            </w:r>
          </w:p>
        </w:tc>
        <w:tc>
          <w:tcPr>
            <w:tcW w:type="dxa" w:w="1600"/>
            <w:shd w:fill="f0f7f4" w:val="clear"/>
            <w:vAlign w:val="center"/>
          </w:tcPr>
          <w:p>
            <w:pPr>
              <w:spacing w:after="40" w:before="40"/>
              <w:jc w:val="left"/>
            </w:pPr>
            <w:r>
              <w:rPr>
                <w:rFonts w:ascii="Arial" w:cs="Arial" w:eastAsia="Arial" w:hAnsi="Arial"/>
                <w:b w:val="false"/>
                <w:bCs w:val="false"/>
                <w:i w:val="false"/>
                <w:iCs w:val="false"/>
                <w:color w:val="1a1a1a"/>
                <w:sz w:val="20"/>
                <w:szCs w:val="20"/>
              </w:rPr>
              <w:t xml:space="preserve">Sí</w:t>
            </w:r>
          </w:p>
        </w:tc>
        <w:tc>
          <w:tcPr>
            <w:tcW w:type="dxa" w:w="1800"/>
            <w:shd w:fill="f0f7f4" w:val="clear"/>
            <w:vAlign w:val="center"/>
          </w:tcPr>
          <w:p>
            <w:pPr>
              <w:spacing w:after="40" w:before="40"/>
              <w:jc w:val="left"/>
            </w:pPr>
            <w:r>
              <w:rPr>
                <w:rFonts w:ascii="Arial" w:cs="Arial" w:eastAsia="Arial" w:hAnsi="Arial"/>
                <w:b w:val="false"/>
                <w:bCs w:val="false"/>
                <w:i w:val="false"/>
                <w:iCs w:val="false"/>
                <w:color w:val="1a1a1a"/>
                <w:sz w:val="20"/>
                <w:szCs w:val="20"/>
              </w:rPr>
              <w:t xml:space="preserve">Sí</w:t>
            </w:r>
          </w:p>
        </w:tc>
        <w:tc>
          <w:tcPr>
            <w:tcW w:type="dxa" w:w="1400"/>
            <w:shd w:fill="f0f7f4" w:val="clear"/>
            <w:vAlign w:val="center"/>
          </w:tcPr>
          <w:p>
            <w:pPr>
              <w:spacing w:after="40" w:before="40"/>
              <w:jc w:val="left"/>
            </w:pPr>
            <w:r>
              <w:rPr>
                <w:rFonts w:ascii="Arial" w:cs="Arial" w:eastAsia="Arial" w:hAnsi="Arial"/>
                <w:b w:val="false"/>
                <w:bCs w:val="false"/>
                <w:i w:val="false"/>
                <w:iCs w:val="false"/>
                <w:color w:val="1a1a1a"/>
                <w:sz w:val="20"/>
                <w:szCs w:val="20"/>
              </w:rPr>
              <w:t xml:space="preserve">Sí (limitado)</w:t>
            </w:r>
          </w:p>
        </w:tc>
      </w:tr>
      <w:tr>
        <w:tc>
          <w:tcPr>
            <w:tcW w:type="dxa" w:w="2200"/>
            <w:vAlign w:val="center"/>
          </w:tcPr>
          <w:p>
            <w:pPr>
              <w:spacing w:after="40" w:before="40"/>
              <w:jc w:val="left"/>
            </w:pPr>
            <w:r>
              <w:rPr>
                <w:rFonts w:ascii="Arial" w:cs="Arial" w:eastAsia="Arial" w:hAnsi="Arial"/>
                <w:b w:val="false"/>
                <w:bCs w:val="false"/>
                <w:i w:val="false"/>
                <w:iCs w:val="false"/>
                <w:color w:val="1a1a1a"/>
                <w:sz w:val="20"/>
                <w:szCs w:val="20"/>
              </w:rPr>
              <w:t xml:space="preserve">Configurar MFA</w:t>
            </w:r>
          </w:p>
        </w:tc>
        <w:tc>
          <w:tcPr>
            <w:tcW w:type="dxa" w:w="1400"/>
            <w:vAlign w:val="center"/>
          </w:tcPr>
          <w:p>
            <w:pPr>
              <w:spacing w:after="40" w:before="40"/>
              <w:jc w:val="left"/>
            </w:pPr>
            <w:r>
              <w:rPr>
                <w:rFonts w:ascii="Arial" w:cs="Arial" w:eastAsia="Arial" w:hAnsi="Arial"/>
                <w:b w:val="false"/>
                <w:bCs w:val="false"/>
                <w:i w:val="false"/>
                <w:iCs w:val="false"/>
                <w:color w:val="1a1a1a"/>
                <w:sz w:val="20"/>
                <w:szCs w:val="20"/>
              </w:rPr>
              <w:t xml:space="preserve">Sí</w:t>
            </w:r>
          </w:p>
        </w:tc>
        <w:tc>
          <w:tcPr>
            <w:tcW w:type="dxa" w:w="1600"/>
            <w:vAlign w:val="center"/>
          </w:tcPr>
          <w:p>
            <w:pPr>
              <w:spacing w:after="40" w:before="40"/>
              <w:jc w:val="left"/>
            </w:pPr>
            <w:r>
              <w:rPr>
                <w:rFonts w:ascii="Arial" w:cs="Arial" w:eastAsia="Arial" w:hAnsi="Arial"/>
                <w:b w:val="false"/>
                <w:bCs w:val="false"/>
                <w:i w:val="false"/>
                <w:iCs w:val="false"/>
                <w:color w:val="1a1a1a"/>
                <w:sz w:val="20"/>
                <w:szCs w:val="20"/>
              </w:rPr>
              <w:t xml:space="preserve">Sí</w:t>
            </w:r>
          </w:p>
        </w:tc>
        <w:tc>
          <w:tcPr>
            <w:tcW w:type="dxa" w:w="1800"/>
            <w:vAlign w:val="center"/>
          </w:tcPr>
          <w:p>
            <w:pPr>
              <w:spacing w:after="40" w:before="40"/>
              <w:jc w:val="left"/>
            </w:pPr>
            <w:r>
              <w:rPr>
                <w:rFonts w:ascii="Arial" w:cs="Arial" w:eastAsia="Arial" w:hAnsi="Arial"/>
                <w:b w:val="false"/>
                <w:bCs w:val="false"/>
                <w:i w:val="false"/>
                <w:iCs w:val="false"/>
                <w:color w:val="1a1a1a"/>
                <w:sz w:val="20"/>
                <w:szCs w:val="20"/>
              </w:rPr>
              <w:t xml:space="preserve">Sí</w:t>
            </w:r>
          </w:p>
        </w:tc>
        <w:tc>
          <w:tcPr>
            <w:tcW w:type="dxa" w:w="1400"/>
            <w:vAlign w:val="center"/>
          </w:tcPr>
          <w:p>
            <w:pPr>
              <w:spacing w:after="40" w:before="40"/>
              <w:jc w:val="left"/>
            </w:pPr>
            <w:r>
              <w:rPr>
                <w:rFonts w:ascii="Arial" w:cs="Arial" w:eastAsia="Arial" w:hAnsi="Arial"/>
                <w:b w:val="false"/>
                <w:bCs w:val="false"/>
                <w:i w:val="false"/>
                <w:iCs w:val="false"/>
                <w:color w:val="1a1a1a"/>
                <w:sz w:val="20"/>
                <w:szCs w:val="20"/>
              </w:rPr>
              <w:t xml:space="preserve">Sí</w:t>
            </w:r>
          </w:p>
        </w:tc>
      </w:tr>
      <w:tr>
        <w:tc>
          <w:tcPr>
            <w:tcW w:type="dxa" w:w="2200"/>
            <w:shd w:fill="f0f7f4" w:val="clear"/>
            <w:vAlign w:val="center"/>
          </w:tcPr>
          <w:p>
            <w:pPr>
              <w:spacing w:after="40" w:before="40"/>
              <w:jc w:val="left"/>
            </w:pPr>
            <w:r>
              <w:rPr>
                <w:rFonts w:ascii="Arial" w:cs="Arial" w:eastAsia="Arial" w:hAnsi="Arial"/>
                <w:b w:val="false"/>
                <w:bCs w:val="false"/>
                <w:i w:val="false"/>
                <w:iCs w:val="false"/>
                <w:color w:val="1a1a1a"/>
                <w:sz w:val="20"/>
                <w:szCs w:val="20"/>
              </w:rPr>
              <w:t xml:space="preserve">GDPR-delete</w:t>
            </w:r>
          </w:p>
        </w:tc>
        <w:tc>
          <w:tcPr>
            <w:tcW w:type="dxa" w:w="1400"/>
            <w:shd w:fill="f0f7f4" w:val="clear"/>
            <w:vAlign w:val="center"/>
          </w:tcPr>
          <w:p>
            <w:pPr>
              <w:spacing w:after="40" w:before="40"/>
              <w:jc w:val="left"/>
            </w:pPr>
            <w:r>
              <w:rPr>
                <w:rFonts w:ascii="Arial" w:cs="Arial" w:eastAsia="Arial" w:hAnsi="Arial"/>
                <w:b w:val="false"/>
                <w:bCs w:val="false"/>
                <w:i w:val="false"/>
                <w:iCs w:val="false"/>
                <w:color w:val="1a1a1a"/>
                <w:sz w:val="20"/>
                <w:szCs w:val="20"/>
              </w:rPr>
              <w:t xml:space="preserve">Sí</w:t>
            </w:r>
          </w:p>
        </w:tc>
        <w:tc>
          <w:tcPr>
            <w:tcW w:type="dxa" w:w="1600"/>
            <w:shd w:fill="f0f7f4" w:val="clear"/>
            <w:vAlign w:val="center"/>
          </w:tcPr>
          <w:p>
            <w:pPr>
              <w:spacing w:after="40" w:before="40"/>
              <w:jc w:val="left"/>
            </w:pPr>
            <w:r>
              <w:rPr>
                <w:rFonts w:ascii="Arial" w:cs="Arial" w:eastAsia="Arial" w:hAnsi="Arial"/>
                <w:b w:val="false"/>
                <w:bCs w:val="false"/>
                <w:i w:val="false"/>
                <w:iCs w:val="false"/>
                <w:color w:val="1a1a1a"/>
                <w:sz w:val="20"/>
                <w:szCs w:val="20"/>
              </w:rPr>
              <w:t xml:space="preserve">No</w:t>
            </w:r>
          </w:p>
        </w:tc>
        <w:tc>
          <w:tcPr>
            <w:tcW w:type="dxa" w:w="1800"/>
            <w:shd w:fill="f0f7f4" w:val="clear"/>
            <w:vAlign w:val="center"/>
          </w:tcPr>
          <w:p>
            <w:pPr>
              <w:spacing w:after="40" w:before="40"/>
              <w:jc w:val="left"/>
            </w:pPr>
            <w:r>
              <w:rPr>
                <w:rFonts w:ascii="Arial" w:cs="Arial" w:eastAsia="Arial" w:hAnsi="Arial"/>
                <w:b w:val="false"/>
                <w:bCs w:val="false"/>
                <w:i w:val="false"/>
                <w:iCs w:val="false"/>
                <w:color w:val="1a1a1a"/>
                <w:sz w:val="20"/>
                <w:szCs w:val="20"/>
              </w:rPr>
              <w:t xml:space="preserve">No</w:t>
            </w:r>
          </w:p>
        </w:tc>
        <w:tc>
          <w:tcPr>
            <w:tcW w:type="dxa" w:w="1400"/>
            <w:shd w:fill="f0f7f4" w:val="clear"/>
            <w:vAlign w:val="center"/>
          </w:tcPr>
          <w:p>
            <w:pPr>
              <w:spacing w:after="40" w:before="40"/>
              <w:jc w:val="left"/>
            </w:pPr>
            <w:r>
              <w:rPr>
                <w:rFonts w:ascii="Arial" w:cs="Arial" w:eastAsia="Arial" w:hAnsi="Arial"/>
                <w:b w:val="false"/>
                <w:bCs w:val="false"/>
                <w:i w:val="false"/>
                <w:iCs w:val="false"/>
                <w:color w:val="1a1a1a"/>
                <w:sz w:val="20"/>
                <w:szCs w:val="20"/>
              </w:rPr>
              <w:t xml:space="preserve">Sí (propio)</w:t>
            </w:r>
          </w:p>
        </w:tc>
      </w:tr>
    </w:tbl>
    <w:p>
      <w:pPr>
        <w:spacing w:after="0" w:before="120"/>
      </w:pPr>
    </w:p>
    <w:p>
      <w:pPr>
        <w:spacing w:line="360" w:lineRule="auto"/>
        <w:jc w:val="both"/>
      </w:pPr>
      <w:r>
        <w:rPr>
          <w:rFonts w:ascii="Arial" w:cs="Arial" w:eastAsia="Arial" w:hAnsi="Arial"/>
          <w:b w:val="false"/>
          <w:bCs w:val="false"/>
          <w:i w:val="false"/>
          <w:iCs w:val="false"/>
          <w:color w:val="1a1a1a"/>
          <w:sz w:val="24"/>
          <w:szCs w:val="24"/>
        </w:rPr>
        <w:t xml:space="preserve">Esta matriz de permisos garantiza que cada rol tenga exactamente los accesos necesarios para cumplir sus funciones, implementando el principio de mínimo privilegio (Principle of Least Privilege).</w:t>
      </w:r>
    </w:p>
    <w:p>
      <w:pPr>
        <w:spacing w:after="120" w:before="180" w:line="360" w:lineRule="auto"/>
        <w:jc w:val="left"/>
      </w:pPr>
      <w:r>
        <w:rPr>
          <w:rFonts w:ascii="Arial" w:cs="Arial" w:eastAsia="Arial" w:hAnsi="Arial"/>
          <w:b/>
          <w:bCs/>
          <w:i w:val="false"/>
          <w:iCs w:val="false"/>
          <w:color w:val="1a1a1a"/>
          <w:sz w:val="24"/>
          <w:szCs w:val="24"/>
        </w:rPr>
        <w:t xml:space="preserve">5.6 Usuario Master y seguridad en creación de cuentas</w:t>
      </w:r>
    </w:p>
    <w:p>
      <w:pPr>
        <w:spacing w:line="360" w:lineRule="auto"/>
        <w:jc w:val="both"/>
      </w:pPr>
      <w:r>
        <w:rPr>
          <w:rFonts w:ascii="Arial" w:cs="Arial" w:eastAsia="Arial" w:hAnsi="Arial"/>
          <w:b w:val="false"/>
          <w:bCs w:val="false"/>
          <w:i w:val="false"/>
          <w:iCs w:val="false"/>
          <w:color w:val="1a1a1a"/>
          <w:sz w:val="24"/>
          <w:szCs w:val="24"/>
        </w:rPr>
        <w:t xml:space="preserve">A diferencia de la mayoría de las plataformas web que permiten el registro público de usuarios, MedSecure eliminó el endpoint de registro público. En su lugar, solo el usuario Master (rol master) puede crear nuevas cuentas de usuario a través de la interfaz de administración. Esta decisión de diseño responde a varios principios de seguridad:</w:t>
      </w:r>
    </w:p>
    <w:p>
      <w:pPr>
        <w:spacing w:line="360" w:lineRule="auto"/>
        <w:jc w:val="both"/>
      </w:pPr>
      <w:r>
        <w:rPr>
          <w:rFonts w:ascii="Arial" w:cs="Arial" w:eastAsia="Arial" w:hAnsi="Arial"/>
          <w:b w:val="false"/>
          <w:bCs w:val="false"/>
          <w:i w:val="false"/>
          <w:iCs w:val="false"/>
          <w:color w:val="1a1a1a"/>
          <w:sz w:val="24"/>
          <w:szCs w:val="24"/>
        </w:rPr>
        <w:t xml:space="preserve">(1) Prevención de creación masiva de cuentas: Eliminar el registro público impide que atacantes creen cuentas de forma automatizada para realizar ataques de fuerza bruta o enumeración. (2) Control de acceso granular: El Master puede asignar el rol correcto a cada usuario desde el momento de la creación, garantizando que ningún usuario tenga más privilegios de los necesarios. (3) Responsabilidad y trazabilidad: Cada cuenta creada queda registrada en audit_logs con el ID del Master que la creó, proporcionando una cadena de custodia clara.</w:t>
      </w:r>
    </w:p>
    <w:p>
      <w:pPr>
        <w:spacing w:line="360" w:lineRule="auto"/>
        <w:jc w:val="both"/>
      </w:pPr>
      <w:r>
        <w:rPr>
          <w:rFonts w:ascii="Arial" w:cs="Arial" w:eastAsia="Arial" w:hAnsi="Arial"/>
          <w:b w:val="false"/>
          <w:bCs w:val="false"/>
          <w:i w:val="false"/>
          <w:iCs w:val="false"/>
          <w:color w:val="1a1a1a"/>
          <w:sz w:val="24"/>
          <w:szCs w:val="24"/>
        </w:rPr>
        <w:t xml:space="preserve">El usuario Master también es el único que puede cambiar contraseñas de otros usuarios (sin requerir la contraseña actual), cambiar roles y eliminar cuentas. Esta concentración de privilegios está compensada por la necesidad de autenticación MFA y la inmutabilidad de los logs de auditoría.</w:t>
      </w:r>
    </w:p>
    <w:p>
      <w:pPr>
        <w:spacing w:line="360" w:lineRule="auto"/>
        <w:jc w:val="both"/>
      </w:pPr>
      <w:r>
        <w:rPr>
          <w:rFonts w:ascii="Arial" w:cs="Arial" w:eastAsia="Arial" w:hAnsi="Arial"/>
          <w:b w:val="false"/>
          <w:bCs w:val="false"/>
          <w:i w:val="false"/>
          <w:iCs w:val="false"/>
          <w:color w:val="1a1a1a"/>
          <w:sz w:val="24"/>
          <w:szCs w:val="24"/>
        </w:rPr>
        <w:t xml:space="preserve">Esta implementación se relaciona directamente con el principio de mínimo privilegio descrito en la tesina de referencia, donde las extensiones VoIP reciben solo los permisos necesarios para su operación. Ambos proyectos reconocen que el control centralizado de la creación de cuentas es una medida de seguridad fundamental.</w:t>
      </w:r>
    </w:p>
    <w:p>
      <w:pPr>
        <w:spacing w:after="240" w:before="240" w:line="360" w:lineRule="auto"/>
        <w:jc w:val="center"/>
      </w:pPr>
      <w:r>
        <w:rPr>
          <w:rFonts w:ascii="Arial" w:cs="Arial" w:eastAsia="Arial" w:hAnsi="Arial"/>
          <w:b/>
          <w:bCs/>
          <w:i w:val="false"/>
          <w:iCs w:val="false"/>
          <w:color w:val="1a1a1a"/>
          <w:sz w:val="28"/>
          <w:szCs w:val="28"/>
        </w:rPr>
        <w:t xml:space="preserve">CAPÍTULO 6: CONCLUSIONES</w:t>
      </w:r>
    </w:p>
    <w:p>
      <w:pPr>
        <w:spacing w:line="360" w:lineRule="auto"/>
        <w:jc w:val="both"/>
      </w:pPr>
      <w:r>
        <w:rPr>
          <w:rFonts w:ascii="Arial" w:cs="Arial" w:eastAsia="Arial" w:hAnsi="Arial"/>
          <w:b w:val="false"/>
          <w:bCs w:val="false"/>
          <w:i w:val="false"/>
          <w:iCs w:val="false"/>
          <w:color w:val="1a1a1a"/>
          <w:sz w:val="24"/>
          <w:szCs w:val="24"/>
        </w:rPr>
        <w:t xml:space="preserve">MedSecure demuestra que es posible diseñar e implementar una plataforma médica siguiendo el principio de "security by design" desde las etapas iniciales del desarrollo, integrando 14 capas de ciberseguridad que abordan las principales amenazas documentadas en el sector salud. Las conclusiones más relevantes son:</w:t>
      </w:r>
    </w:p>
    <w:p>
      <w:pPr>
        <w:spacing w:line="360" w:lineRule="auto"/>
        <w:jc w:val="both"/>
      </w:pPr>
      <w:r>
        <w:rPr>
          <w:rFonts w:ascii="Arial" w:cs="Arial" w:eastAsia="Arial" w:hAnsi="Arial"/>
          <w:b w:val="false"/>
          <w:bCs w:val="false"/>
          <w:i w:val="false"/>
          <w:iCs w:val="false"/>
          <w:color w:val="1a1a1a"/>
          <w:sz w:val="24"/>
          <w:szCs w:val="24"/>
        </w:rPr>
        <w:t xml:space="preserve">Primero, el sector salud requiere ir más allá del cumplimiento mínimo normativo. Las estadísticas de brechas de datos muestran que las instituciones que se limitan a cumplir los requisitos legales básicos siguen siendo vulnerables a ataques avanzados. MedSecure demuestra que es posible implementar medidas de seguridad de nivel empresarial (AES-256-GCM, Zero Trust, MFA) sin incurrir en costos de licenciamiento, utilizando tecnologías open source y arquitecturas modulares.</w:t>
      </w:r>
    </w:p>
    <w:p>
      <w:pPr>
        <w:spacing w:line="360" w:lineRule="auto"/>
        <w:jc w:val="both"/>
      </w:pPr>
      <w:r>
        <w:rPr>
          <w:rFonts w:ascii="Arial" w:cs="Arial" w:eastAsia="Arial" w:hAnsi="Arial"/>
          <w:b w:val="false"/>
          <w:bCs w:val="false"/>
          <w:i w:val="false"/>
          <w:iCs w:val="false"/>
          <w:color w:val="1a1a1a"/>
          <w:sz w:val="24"/>
          <w:szCs w:val="24"/>
        </w:rPr>
        <w:t xml:space="preserve">Segundo, las 14 capas de seguridad abordan amenazas reales documentadas en la literatura académica y en casos de estudio. Cada capa fue diseñada para mitigar vectores de ataque específicos, desde la autenticación multifactor (suplantación de identidad) hasta la segmentación de red (movimiento lateral).</w:t>
      </w:r>
    </w:p>
    <w:p>
      <w:pPr>
        <w:spacing w:line="360" w:lineRule="auto"/>
        <w:jc w:val="both"/>
      </w:pPr>
      <w:r>
        <w:rPr>
          <w:rFonts w:ascii="Arial" w:cs="Arial" w:eastAsia="Arial" w:hAnsi="Arial"/>
          <w:b w:val="false"/>
          <w:bCs w:val="false"/>
          <w:i w:val="false"/>
          <w:iCs w:val="false"/>
          <w:color w:val="1a1a1a"/>
          <w:sz w:val="24"/>
          <w:szCs w:val="24"/>
        </w:rPr>
        <w:t xml:space="preserve">Tercero, la relación con la tesina de VoIP confirma que la seguridad en redes es un conocimiento transversal a todos los dominios tecnológicos. Los principios de firewall, segmentación, autenticación y monitoreo son aplicables tanto a sistemas de telefonía IP como a plataformas de datos médicos. El Tecnólogo en Redes de la Información del ITLA posee los fundamentos necesarios para abordar ambos desafíos.</w:t>
      </w:r>
    </w:p>
    <w:p>
      <w:pPr>
        <w:spacing w:line="360" w:lineRule="auto"/>
        <w:jc w:val="both"/>
      </w:pPr>
      <w:r>
        <w:rPr>
          <w:rFonts w:ascii="Arial" w:cs="Arial" w:eastAsia="Arial" w:hAnsi="Arial"/>
          <w:b w:val="false"/>
          <w:bCs w:val="false"/>
          <w:i w:val="false"/>
          <w:iCs w:val="false"/>
          <w:color w:val="1a1a1a"/>
          <w:sz w:val="24"/>
          <w:szCs w:val="24"/>
        </w:rPr>
        <w:t xml:space="preserve">Cuarto, MedSecure es replicable en cualquier institución de salud de la República Dominicana. Al utilizar tecnologías open source y Docker, los requisitos de infraestructura son mínimos: un servidor Linux con Docker Engine. El diseño modular permite implementar selectivamente las capas de seguridad según las necesidades de cada institución.</w:t>
      </w:r>
    </w:p>
    <w:p>
      <w:pPr>
        <w:spacing w:line="360" w:lineRule="auto"/>
        <w:jc w:val="both"/>
      </w:pPr>
      <w:r>
        <w:rPr>
          <w:rFonts w:ascii="Arial" w:cs="Arial" w:eastAsia="Arial" w:hAnsi="Arial"/>
          <w:b w:val="false"/>
          <w:bCs w:val="false"/>
          <w:i w:val="false"/>
          <w:iCs w:val="false"/>
          <w:color w:val="1a1a1a"/>
          <w:sz w:val="24"/>
          <w:szCs w:val="24"/>
        </w:rPr>
        <w:t xml:space="preserve">Quinto, la implementación del cifrado AES-256-GCM con IV único por campo demuestra que la protección de datos PHI puede realizarse sin afectar significativamente el rendimiento del sistema. Las pruebas realizadas confirman que la sobrecarga del cifrado es imperceptible para el usuario final (menos de 50ms por operación de cifrado/descifrado).</w:t>
      </w:r>
    </w:p>
    <w:p>
      <w:pPr>
        <w:spacing w:line="360" w:lineRule="auto"/>
        <w:jc w:val="both"/>
      </w:pPr>
      <w:r>
        <w:rPr>
          <w:rFonts w:ascii="Arial" w:cs="Arial" w:eastAsia="Arial" w:hAnsi="Arial"/>
          <w:b w:val="false"/>
          <w:bCs w:val="false"/>
          <w:i w:val="false"/>
          <w:iCs w:val="false"/>
          <w:color w:val="1a1a1a"/>
          <w:sz w:val="24"/>
          <w:szCs w:val="24"/>
        </w:rPr>
        <w:t xml:space="preserve">Sexto, el sistema de auditoría inmutable garantiza trazabilidad completa de todos los accesos a datos médicos, cumpliendo con los requisitos de HIPAA Security Rule y proporcionando las evidencias necesarias para investigaciones forenses en caso de incidentes de seguridad.</w:t>
      </w:r>
    </w:p>
    <w:p>
      <w:pPr>
        <w:spacing w:after="240" w:before="240" w:line="360" w:lineRule="auto"/>
        <w:jc w:val="center"/>
      </w:pPr>
      <w:r>
        <w:rPr>
          <w:rFonts w:ascii="Arial" w:cs="Arial" w:eastAsia="Arial" w:hAnsi="Arial"/>
          <w:b/>
          <w:bCs/>
          <w:i w:val="false"/>
          <w:iCs w:val="false"/>
          <w:color w:val="1a1a1a"/>
          <w:sz w:val="28"/>
          <w:szCs w:val="28"/>
        </w:rPr>
        <w:t xml:space="preserve">CAPÍTULO 7: RECOMENDACIONES</w:t>
      </w:r>
    </w:p>
    <w:p>
      <w:pPr>
        <w:spacing w:line="360" w:lineRule="auto"/>
        <w:jc w:val="both"/>
      </w:pPr>
      <w:r>
        <w:rPr>
          <w:rFonts w:ascii="Arial" w:cs="Arial" w:eastAsia="Arial" w:hAnsi="Arial"/>
          <w:b w:val="false"/>
          <w:bCs w:val="false"/>
          <w:i w:val="false"/>
          <w:iCs w:val="false"/>
          <w:color w:val="1a1a1a"/>
          <w:sz w:val="24"/>
          <w:szCs w:val="24"/>
        </w:rPr>
        <w:t xml:space="preserve">Basado en los resultados obtenidos y el análisis realizado, se formulan las siguientes recomendaciones para el desarrollo futuro de MedSecure y su implementación en entornos productivos:</w:t>
      </w:r>
    </w:p>
    <w:p>
      <w:pPr>
        <w:spacing w:line="360" w:lineRule="auto"/>
        <w:jc w:val="both"/>
      </w:pPr>
      <w:r>
        <w:rPr>
          <w:rFonts w:ascii="Arial" w:cs="Arial" w:eastAsia="Arial" w:hAnsi="Arial"/>
          <w:b w:val="false"/>
          <w:bCs w:val="false"/>
          <w:i w:val="false"/>
          <w:iCs w:val="false"/>
          <w:color w:val="1a1a1a"/>
          <w:sz w:val="24"/>
          <w:szCs w:val="24"/>
        </w:rPr>
        <w:t xml:space="preserve">Realizar penetration testing externo por parte de un equipo especializado, utilizando herramientas como OWASP ZAP para escaneo automatizado, Metasploit para pruebas de explotación controladas y Burp Suite Pro para análisis avanzado de tráfico HTTP. Se recomienda que estas pruebas se realicen trimestralmente y después de cada actualización significativa del sistema.</w:t>
      </w:r>
    </w:p>
    <w:p>
      <w:pPr>
        <w:spacing w:line="360" w:lineRule="auto"/>
        <w:jc w:val="both"/>
      </w:pPr>
      <w:r>
        <w:rPr>
          <w:rFonts w:ascii="Arial" w:cs="Arial" w:eastAsia="Arial" w:hAnsi="Arial"/>
          <w:b w:val="false"/>
          <w:bCs w:val="false"/>
          <w:i w:val="false"/>
          <w:iCs w:val="false"/>
          <w:color w:val="1a1a1a"/>
          <w:sz w:val="24"/>
          <w:szCs w:val="24"/>
        </w:rPr>
        <w:t xml:space="preserve">Implementar certificados SSL/TLS reales emitidos por una autoridad certificadora de confianza, como Let's Encrypt (gratuito) o DigiCert (empresarial), en lugar de certificados autofirmados o configuraciones de desarrollo. Esto es crítico para la implementación en producción y el cumplimiento de HIPAA.</w:t>
      </w:r>
    </w:p>
    <w:p>
      <w:pPr>
        <w:spacing w:line="360" w:lineRule="auto"/>
        <w:jc w:val="both"/>
      </w:pPr>
      <w:r>
        <w:rPr>
          <w:rFonts w:ascii="Arial" w:cs="Arial" w:eastAsia="Arial" w:hAnsi="Arial"/>
          <w:b w:val="false"/>
          <w:bCs w:val="false"/>
          <w:i w:val="false"/>
          <w:iCs w:val="false"/>
          <w:color w:val="1a1a1a"/>
          <w:sz w:val="24"/>
          <w:szCs w:val="24"/>
        </w:rPr>
        <w:t xml:space="preserve">Conectar MedSecure con un sistema SIEM empresarial como Splunk o ELK Stack (Elasticsearch, Logstash, Kibana) para centralizar la correlación de eventos de seguridad, generar alertas en tiempo real y facilitar el análisis forense. Los audit_logs inmutables de MedSecure están diseñados para integrarse con cualquier SIEM mediante salida JSON estructurada.</w:t>
      </w:r>
    </w:p>
    <w:p>
      <w:pPr>
        <w:spacing w:line="360" w:lineRule="auto"/>
        <w:jc w:val="both"/>
      </w:pPr>
      <w:r>
        <w:rPr>
          <w:rFonts w:ascii="Arial" w:cs="Arial" w:eastAsia="Arial" w:hAnsi="Arial"/>
          <w:b w:val="false"/>
          <w:bCs w:val="false"/>
          <w:i w:val="false"/>
          <w:iCs w:val="false"/>
          <w:color w:val="1a1a1a"/>
          <w:sz w:val="24"/>
          <w:szCs w:val="24"/>
        </w:rPr>
        <w:t xml:space="preserve">Capacitar al personal médico en ciberseguridad básica, incluyendo identificación de correos de phishing, gestión segura de contraseñas, uso correcto de MFA y procedimientos de notificación de incidentes. La seguridad técnica es tan fuerte como el eslabón más débil de la cadena, que frecuentemente es el factor humano.</w:t>
      </w:r>
    </w:p>
    <w:p>
      <w:pPr>
        <w:spacing w:line="360" w:lineRule="auto"/>
        <w:jc w:val="both"/>
      </w:pPr>
      <w:r>
        <w:rPr>
          <w:rFonts w:ascii="Arial" w:cs="Arial" w:eastAsia="Arial" w:hAnsi="Arial"/>
          <w:b w:val="false"/>
          <w:bCs w:val="false"/>
          <w:i w:val="false"/>
          <w:iCs w:val="false"/>
          <w:color w:val="1a1a1a"/>
          <w:sz w:val="24"/>
          <w:szCs w:val="24"/>
        </w:rPr>
        <w:t xml:space="preserve">Explorar la integración con sistemas VoIP seguros para la comunicación interna del hospital. Como se analizó en el Capítulo 2, MedSecure y la tesina de VoIP son sistemas complementarios que deberían coexistir en un entorno hospitalario. La integración permitiría, por ejemplo, notificaciones automáticas de citas mediante llamadas VoIP o la verificación de identidad del paciente mediante voz.</w:t>
      </w:r>
    </w:p>
    <w:p>
      <w:pPr>
        <w:spacing w:line="360" w:lineRule="auto"/>
        <w:jc w:val="both"/>
      </w:pPr>
      <w:r>
        <w:rPr>
          <w:rFonts w:ascii="Arial" w:cs="Arial" w:eastAsia="Arial" w:hAnsi="Arial"/>
          <w:b w:val="false"/>
          <w:bCs w:val="false"/>
          <w:i w:val="false"/>
          <w:iCs w:val="false"/>
          <w:color w:val="1a1a1a"/>
          <w:sz w:val="24"/>
          <w:szCs w:val="24"/>
        </w:rPr>
        <w:t xml:space="preserve">Implementar un sistema de backup con la regla 3-2-1 (3 copias, 2 soportes diferentes, 1 copia fuera del sitio) con cifrado AES-256 para las copias de seguridad, garantizando la disponibilidad de los datos incluso ante desastres naturales o ataques ransomware que comprometan el sistema principal.</w:t>
      </w:r>
    </w:p>
    <w:p>
      <w:pPr>
        <w:spacing w:line="360" w:lineRule="auto"/>
        <w:jc w:val="both"/>
      </w:pPr>
      <w:r>
        <w:rPr>
          <w:rFonts w:ascii="Arial" w:cs="Arial" w:eastAsia="Arial" w:hAnsi="Arial"/>
          <w:b w:val="false"/>
          <w:bCs w:val="false"/>
          <w:i w:val="false"/>
          <w:iCs w:val="false"/>
          <w:color w:val="1a1a1a"/>
          <w:sz w:val="24"/>
          <w:szCs w:val="24"/>
        </w:rPr>
        <w:t xml:space="preserve">Establecer un proceso formal de gestión de vulnerabilidades que incluya escaneo semanal automatizado con herramientas como Trivy o Snyk para dependencias, y pruebas de penetración trimestrales para la aplicación completa.</w:t>
      </w:r>
    </w:p>
    <w:p>
      <w:pPr>
        <w:spacing w:after="240" w:before="240" w:line="360" w:lineRule="auto"/>
        <w:jc w:val="center"/>
      </w:pPr>
      <w:r>
        <w:rPr>
          <w:rFonts w:ascii="Arial" w:cs="Arial" w:eastAsia="Arial" w:hAnsi="Arial"/>
          <w:b/>
          <w:bCs/>
          <w:i w:val="false"/>
          <w:iCs w:val="false"/>
          <w:color w:val="1a1a1a"/>
          <w:sz w:val="28"/>
          <w:szCs w:val="28"/>
        </w:rPr>
        <w:t xml:space="preserve">REFERENCIAS</w:t>
      </w:r>
    </w:p>
    <w:p>
      <w:pPr>
        <w:spacing w:after="60" w:before="60" w:line="360" w:lineRule="auto"/>
        <w:ind w:left="360" w:hanging="360"/>
        <w:jc w:val="both"/>
      </w:pPr>
      <w:r>
        <w:rPr>
          <w:rFonts w:ascii="Arial" w:cs="Arial" w:eastAsia="Arial" w:hAnsi="Arial"/>
          <w:b w:val="false"/>
          <w:bCs w:val="false"/>
          <w:i w:val="false"/>
          <w:iCs w:val="false"/>
          <w:color w:val="1a1a1a"/>
          <w:sz w:val="22"/>
          <w:szCs w:val="22"/>
        </w:rPr>
        <w:t xml:space="preserve">1. Anthem Inc. (2015). Anthem announces customer data breach. Anthem Press Release.</w:t>
      </w:r>
    </w:p>
    <w:p>
      <w:pPr>
        <w:spacing w:after="60" w:before="60" w:line="360" w:lineRule="auto"/>
        <w:ind w:left="360" w:hanging="360"/>
        <w:jc w:val="both"/>
      </w:pPr>
      <w:r>
        <w:rPr>
          <w:rFonts w:ascii="Arial" w:cs="Arial" w:eastAsia="Arial" w:hAnsi="Arial"/>
          <w:b w:val="false"/>
          <w:bCs w:val="false"/>
          <w:i w:val="false"/>
          <w:iCs w:val="false"/>
          <w:color w:val="1a1a1a"/>
          <w:sz w:val="22"/>
          <w:szCs w:val="22"/>
        </w:rPr>
        <w:t xml:space="preserve">2. Cheng, L., Liu, F., &amp; Yao, D. (2019). Enterprise data breach: causes, challenges, prevention, and future directions. Wiley Interdisciplinary Reviews: Data Mining and Knowledge Discovery, 9(5), e1310.</w:t>
      </w:r>
    </w:p>
    <w:p>
      <w:pPr>
        <w:spacing w:after="60" w:before="60" w:line="360" w:lineRule="auto"/>
        <w:ind w:left="360" w:hanging="360"/>
        <w:jc w:val="both"/>
      </w:pPr>
      <w:r>
        <w:rPr>
          <w:rFonts w:ascii="Arial" w:cs="Arial" w:eastAsia="Arial" w:hAnsi="Arial"/>
          <w:b w:val="false"/>
          <w:bCs w:val="false"/>
          <w:i w:val="false"/>
          <w:iCs w:val="false"/>
          <w:color w:val="1a1a1a"/>
          <w:sz w:val="22"/>
          <w:szCs w:val="22"/>
        </w:rPr>
        <w:t xml:space="preserve">3. Coventry, L., &amp; Branley, D. (2018). Cybersecurity in healthcare: A narrative review of trends, risks and ways forward. Maturitas, 113, 48-52.</w:t>
      </w:r>
    </w:p>
    <w:p>
      <w:pPr>
        <w:spacing w:after="60" w:before="60" w:line="360" w:lineRule="auto"/>
        <w:ind w:left="360" w:hanging="360"/>
        <w:jc w:val="both"/>
      </w:pPr>
      <w:r>
        <w:rPr>
          <w:rFonts w:ascii="Arial" w:cs="Arial" w:eastAsia="Arial" w:hAnsi="Arial"/>
          <w:b w:val="false"/>
          <w:bCs w:val="false"/>
          <w:i w:val="false"/>
          <w:iCs w:val="false"/>
          <w:color w:val="1a1a1a"/>
          <w:sz w:val="22"/>
          <w:szCs w:val="22"/>
        </w:rPr>
        <w:t xml:space="preserve">4. European Parliament. (2016). Regulation (EU) 2016/679 of the European Parliament and of the Council (General Data Protection Regulation). Official Journal of the European Union, L119, 1-88.</w:t>
      </w:r>
    </w:p>
    <w:p>
      <w:pPr>
        <w:spacing w:after="60" w:before="60" w:line="360" w:lineRule="auto"/>
        <w:ind w:left="360" w:hanging="360"/>
        <w:jc w:val="both"/>
      </w:pPr>
      <w:r>
        <w:rPr>
          <w:rFonts w:ascii="Arial" w:cs="Arial" w:eastAsia="Arial" w:hAnsi="Arial"/>
          <w:b w:val="false"/>
          <w:bCs w:val="false"/>
          <w:i w:val="false"/>
          <w:iCs w:val="false"/>
          <w:color w:val="1a1a1a"/>
          <w:sz w:val="22"/>
          <w:szCs w:val="22"/>
        </w:rPr>
        <w:t xml:space="preserve">5. HIPAA Journal. (2024). Healthcare data breach report 2024. HIPAA Journal.</w:t>
      </w:r>
    </w:p>
    <w:p>
      <w:pPr>
        <w:spacing w:after="60" w:before="60" w:line="360" w:lineRule="auto"/>
        <w:ind w:left="360" w:hanging="360"/>
        <w:jc w:val="both"/>
      </w:pPr>
      <w:r>
        <w:rPr>
          <w:rFonts w:ascii="Arial" w:cs="Arial" w:eastAsia="Arial" w:hAnsi="Arial"/>
          <w:b w:val="false"/>
          <w:bCs w:val="false"/>
          <w:i w:val="false"/>
          <w:iCs w:val="false"/>
          <w:color w:val="1a1a1a"/>
          <w:sz w:val="22"/>
          <w:szCs w:val="22"/>
        </w:rPr>
        <w:t xml:space="preserve">6. IBM Security. (2024). Cost of a data breach report 2024. IBM Corporation.</w:t>
      </w:r>
    </w:p>
    <w:p>
      <w:pPr>
        <w:spacing w:after="60" w:before="60" w:line="360" w:lineRule="auto"/>
        <w:ind w:left="360" w:hanging="360"/>
        <w:jc w:val="both"/>
      </w:pPr>
      <w:r>
        <w:rPr>
          <w:rFonts w:ascii="Arial" w:cs="Arial" w:eastAsia="Arial" w:hAnsi="Arial"/>
          <w:b w:val="false"/>
          <w:bCs w:val="false"/>
          <w:i w:val="false"/>
          <w:iCs w:val="false"/>
          <w:color w:val="1a1a1a"/>
          <w:sz w:val="22"/>
          <w:szCs w:val="22"/>
        </w:rPr>
        <w:t xml:space="preserve">7. Jones, M., Bradley, J., &amp; Sakimura, N. (2015). JSON Web Token (JWT). RFC 7519. Internet Engineering Task Force.</w:t>
      </w:r>
    </w:p>
    <w:p>
      <w:pPr>
        <w:spacing w:after="60" w:before="60" w:line="360" w:lineRule="auto"/>
        <w:ind w:left="360" w:hanging="360"/>
        <w:jc w:val="both"/>
      </w:pPr>
      <w:r>
        <w:rPr>
          <w:rFonts w:ascii="Arial" w:cs="Arial" w:eastAsia="Arial" w:hAnsi="Arial"/>
          <w:b w:val="false"/>
          <w:bCs w:val="false"/>
          <w:i w:val="false"/>
          <w:iCs w:val="false"/>
          <w:color w:val="1a1a1a"/>
          <w:sz w:val="22"/>
          <w:szCs w:val="22"/>
        </w:rPr>
        <w:t xml:space="preserve">8. Kindervag, J. (2010). No more chewy centers: Introducing the Zero Trust model of information security. Forrester Research.</w:t>
      </w:r>
    </w:p>
    <w:p>
      <w:pPr>
        <w:spacing w:after="60" w:before="60" w:line="360" w:lineRule="auto"/>
        <w:ind w:left="360" w:hanging="360"/>
        <w:jc w:val="both"/>
      </w:pPr>
      <w:r>
        <w:rPr>
          <w:rFonts w:ascii="Arial" w:cs="Arial" w:eastAsia="Arial" w:hAnsi="Arial"/>
          <w:b w:val="false"/>
          <w:bCs w:val="false"/>
          <w:i w:val="false"/>
          <w:iCs w:val="false"/>
          <w:color w:val="1a1a1a"/>
          <w:sz w:val="22"/>
          <w:szCs w:val="22"/>
        </w:rPr>
        <w:t xml:space="preserve">9. Ley No. 172-13. (2013). Ley sobre protección de datos de carácter personal. República Dominicana.</w:t>
      </w:r>
    </w:p>
    <w:p>
      <w:pPr>
        <w:spacing w:after="60" w:before="60" w:line="360" w:lineRule="auto"/>
        <w:ind w:left="360" w:hanging="360"/>
        <w:jc w:val="both"/>
      </w:pPr>
      <w:r>
        <w:rPr>
          <w:rFonts w:ascii="Arial" w:cs="Arial" w:eastAsia="Arial" w:hAnsi="Arial"/>
          <w:b w:val="false"/>
          <w:bCs w:val="false"/>
          <w:i w:val="false"/>
          <w:iCs w:val="false"/>
          <w:color w:val="1a1a1a"/>
          <w:sz w:val="22"/>
          <w:szCs w:val="22"/>
        </w:rPr>
        <w:t xml:space="preserve">10. M’Raihi, D., Machani, S., Pei, M., &amp; Rydell, J. (2011). TOTP: Time-based one-time password algorithm. RFC 6238. Internet Engineering Task Force.</w:t>
      </w:r>
    </w:p>
    <w:p>
      <w:pPr>
        <w:spacing w:after="60" w:before="60" w:line="360" w:lineRule="auto"/>
        <w:ind w:left="360" w:hanging="360"/>
        <w:jc w:val="both"/>
      </w:pPr>
      <w:r>
        <w:rPr>
          <w:rFonts w:ascii="Arial" w:cs="Arial" w:eastAsia="Arial" w:hAnsi="Arial"/>
          <w:b w:val="false"/>
          <w:bCs w:val="false"/>
          <w:i w:val="false"/>
          <w:iCs w:val="false"/>
          <w:color w:val="1a1a1a"/>
          <w:sz w:val="22"/>
          <w:szCs w:val="22"/>
        </w:rPr>
        <w:t xml:space="preserve">11. National Audit Office. (2018). Investigation: WannaCry cyber attack and the NHS. HC 1427, Session 2017-2019.</w:t>
      </w:r>
    </w:p>
    <w:p>
      <w:pPr>
        <w:spacing w:after="60" w:before="60" w:line="360" w:lineRule="auto"/>
        <w:ind w:left="360" w:hanging="360"/>
        <w:jc w:val="both"/>
      </w:pPr>
      <w:r>
        <w:rPr>
          <w:rFonts w:ascii="Arial" w:cs="Arial" w:eastAsia="Arial" w:hAnsi="Arial"/>
          <w:b w:val="false"/>
          <w:bCs w:val="false"/>
          <w:i w:val="false"/>
          <w:iCs w:val="false"/>
          <w:color w:val="1a1a1a"/>
          <w:sz w:val="22"/>
          <w:szCs w:val="22"/>
        </w:rPr>
        <w:t xml:space="preserve">12. NIST. (2007). Recommendation for block cipher modes of operation: Galois/Counter Mode (GCM) and GMAC. NIST Special Publication 800-38D.</w:t>
      </w:r>
    </w:p>
    <w:p>
      <w:pPr>
        <w:spacing w:after="60" w:before="60" w:line="360" w:lineRule="auto"/>
        <w:ind w:left="360" w:hanging="360"/>
        <w:jc w:val="both"/>
      </w:pPr>
      <w:r>
        <w:rPr>
          <w:rFonts w:ascii="Arial" w:cs="Arial" w:eastAsia="Arial" w:hAnsi="Arial"/>
          <w:b w:val="false"/>
          <w:bCs w:val="false"/>
          <w:i w:val="false"/>
          <w:iCs w:val="false"/>
          <w:color w:val="1a1a1a"/>
          <w:sz w:val="22"/>
          <w:szCs w:val="22"/>
        </w:rPr>
        <w:t xml:space="preserve">13. NIST. (2020). HIPAA security rule guidance. National Institute of Standards and Technology.</w:t>
      </w:r>
    </w:p>
    <w:p>
      <w:pPr>
        <w:spacing w:after="60" w:before="60" w:line="360" w:lineRule="auto"/>
        <w:ind w:left="360" w:hanging="360"/>
        <w:jc w:val="both"/>
      </w:pPr>
      <w:r>
        <w:rPr>
          <w:rFonts w:ascii="Arial" w:cs="Arial" w:eastAsia="Arial" w:hAnsi="Arial"/>
          <w:b w:val="false"/>
          <w:bCs w:val="false"/>
          <w:i w:val="false"/>
          <w:iCs w:val="false"/>
          <w:color w:val="1a1a1a"/>
          <w:sz w:val="22"/>
          <w:szCs w:val="22"/>
        </w:rPr>
        <w:t xml:space="preserve">14. OWASP Foundation. (2021). OWASP top ten web application security risks. Open Web Application Security Project.</w:t>
      </w:r>
    </w:p>
    <w:p>
      <w:pPr>
        <w:spacing w:after="60" w:before="60" w:line="360" w:lineRule="auto"/>
        <w:ind w:left="360" w:hanging="360"/>
        <w:jc w:val="both"/>
      </w:pPr>
      <w:r>
        <w:rPr>
          <w:rFonts w:ascii="Arial" w:cs="Arial" w:eastAsia="Arial" w:hAnsi="Arial"/>
          <w:b w:val="false"/>
          <w:bCs w:val="false"/>
          <w:i w:val="false"/>
          <w:iCs w:val="false"/>
          <w:color w:val="1a1a1a"/>
          <w:sz w:val="22"/>
          <w:szCs w:val="22"/>
        </w:rPr>
        <w:t xml:space="preserve">15. Stallings, W. (2017). Cryptography and network security: Principles and practice (7th ed.). Pearson Education.</w:t>
      </w:r>
    </w:p>
    <w:p>
      <w:pPr>
        <w:spacing w:after="240" w:before="240" w:line="360" w:lineRule="auto"/>
        <w:jc w:val="center"/>
      </w:pPr>
      <w:r>
        <w:rPr>
          <w:rFonts w:ascii="Arial" w:cs="Arial" w:eastAsia="Arial" w:hAnsi="Arial"/>
          <w:b/>
          <w:bCs/>
          <w:i w:val="false"/>
          <w:iCs w:val="false"/>
          <w:color w:val="1a1a1a"/>
          <w:sz w:val="28"/>
          <w:szCs w:val="28"/>
        </w:rPr>
        <w:t xml:space="preserve">GLOSARIO</w:t>
      </w:r>
    </w:p>
    <w:p>
      <w:pPr>
        <w:spacing w:after="80" w:before="80" w:line="360" w:lineRule="auto"/>
        <w:jc w:val="both"/>
      </w:pPr>
      <w:r>
        <w:rPr>
          <w:rFonts w:ascii="Arial" w:cs="Arial" w:eastAsia="Arial" w:hAnsi="Arial"/>
          <w:b/>
          <w:bCs/>
          <w:i w:val="false"/>
          <w:iCs w:val="false"/>
          <w:color w:val="1a1a1a"/>
          <w:sz w:val="22"/>
          <w:szCs w:val="22"/>
        </w:rPr>
        <w:t xml:space="preserve">AES-256-GCM: </w:t>
      </w:r>
      <w:r>
        <w:rPr>
          <w:rFonts w:ascii="Arial" w:cs="Arial" w:eastAsia="Arial" w:hAnsi="Arial"/>
          <w:b w:val="false"/>
          <w:bCs w:val="false"/>
          <w:i w:val="false"/>
          <w:iCs w:val="false"/>
          <w:color w:val="1a1a1a"/>
          <w:sz w:val="22"/>
          <w:szCs w:val="22"/>
        </w:rPr>
        <w:t xml:space="preserve">Advanced Encryption Standard con clave de 256 bits en modo Galois/Counter. Cifrado autenticado que provee confidencialidad e integridad simultáneamente.</w:t>
      </w:r>
    </w:p>
    <w:p>
      <w:pPr>
        <w:spacing w:after="80" w:before="80" w:line="360" w:lineRule="auto"/>
        <w:jc w:val="both"/>
      </w:pPr>
      <w:r>
        <w:rPr>
          <w:rFonts w:ascii="Arial" w:cs="Arial" w:eastAsia="Arial" w:hAnsi="Arial"/>
          <w:b/>
          <w:bCs/>
          <w:i w:val="false"/>
          <w:iCs w:val="false"/>
          <w:color w:val="1a1a1a"/>
          <w:sz w:val="22"/>
          <w:szCs w:val="22"/>
        </w:rPr>
        <w:t xml:space="preserve">Anonimización: </w:t>
      </w:r>
      <w:r>
        <w:rPr>
          <w:rFonts w:ascii="Arial" w:cs="Arial" w:eastAsia="Arial" w:hAnsi="Arial"/>
          <w:b w:val="false"/>
          <w:bCs w:val="false"/>
          <w:i w:val="false"/>
          <w:iCs w:val="false"/>
          <w:color w:val="1a1a1a"/>
          <w:sz w:val="22"/>
          <w:szCs w:val="22"/>
        </w:rPr>
        <w:t xml:space="preserve">Proceso de eliminar la posibilidad de identificación de una persona a partir de sus datos, de forma irreversible.</w:t>
      </w:r>
    </w:p>
    <w:p>
      <w:pPr>
        <w:spacing w:after="80" w:before="80" w:line="360" w:lineRule="auto"/>
        <w:jc w:val="both"/>
      </w:pPr>
      <w:r>
        <w:rPr>
          <w:rFonts w:ascii="Arial" w:cs="Arial" w:eastAsia="Arial" w:hAnsi="Arial"/>
          <w:b/>
          <w:bCs/>
          <w:i w:val="false"/>
          <w:iCs w:val="false"/>
          <w:color w:val="1a1a1a"/>
          <w:sz w:val="22"/>
          <w:szCs w:val="22"/>
        </w:rPr>
        <w:t xml:space="preserve">Audit Log: </w:t>
      </w:r>
      <w:r>
        <w:rPr>
          <w:rFonts w:ascii="Arial" w:cs="Arial" w:eastAsia="Arial" w:hAnsi="Arial"/>
          <w:b w:val="false"/>
          <w:bCs w:val="false"/>
          <w:i w:val="false"/>
          <w:iCs w:val="false"/>
          <w:color w:val="1a1a1a"/>
          <w:sz w:val="22"/>
          <w:szCs w:val="22"/>
        </w:rPr>
        <w:t xml:space="preserve">Registro cronológico de actividades del sistema, utilizado para trazabilidad y análisis forense.</w:t>
      </w:r>
    </w:p>
    <w:p>
      <w:pPr>
        <w:spacing w:after="80" w:before="80" w:line="360" w:lineRule="auto"/>
        <w:jc w:val="both"/>
      </w:pPr>
      <w:r>
        <w:rPr>
          <w:rFonts w:ascii="Arial" w:cs="Arial" w:eastAsia="Arial" w:hAnsi="Arial"/>
          <w:b/>
          <w:bCs/>
          <w:i w:val="false"/>
          <w:iCs w:val="false"/>
          <w:color w:val="1a1a1a"/>
          <w:sz w:val="22"/>
          <w:szCs w:val="22"/>
        </w:rPr>
        <w:t xml:space="preserve">bcrypt: </w:t>
      </w:r>
      <w:r>
        <w:rPr>
          <w:rFonts w:ascii="Arial" w:cs="Arial" w:eastAsia="Arial" w:hAnsi="Arial"/>
          <w:b w:val="false"/>
          <w:bCs w:val="false"/>
          <w:i w:val="false"/>
          <w:iCs w:val="false"/>
          <w:color w:val="1a1a1a"/>
          <w:sz w:val="22"/>
          <w:szCs w:val="22"/>
        </w:rPr>
        <w:t xml:space="preserve">Algoritmo de hashing de contraseñas basado en Blowfish, diseñado para ser computacionalmente costoso y resistente a ataques de fuerza bruta.</w:t>
      </w:r>
    </w:p>
    <w:p>
      <w:pPr>
        <w:spacing w:after="80" w:before="80" w:line="360" w:lineRule="auto"/>
        <w:jc w:val="both"/>
      </w:pPr>
      <w:r>
        <w:rPr>
          <w:rFonts w:ascii="Arial" w:cs="Arial" w:eastAsia="Arial" w:hAnsi="Arial"/>
          <w:b/>
          <w:bCs/>
          <w:i w:val="false"/>
          <w:iCs w:val="false"/>
          <w:color w:val="1a1a1a"/>
          <w:sz w:val="22"/>
          <w:szCs w:val="22"/>
        </w:rPr>
        <w:t xml:space="preserve">Cifrado en reposo: </w:t>
      </w:r>
      <w:r>
        <w:rPr>
          <w:rFonts w:ascii="Arial" w:cs="Arial" w:eastAsia="Arial" w:hAnsi="Arial"/>
          <w:b w:val="false"/>
          <w:bCs w:val="false"/>
          <w:i w:val="false"/>
          <w:iCs w:val="false"/>
          <w:color w:val="1a1a1a"/>
          <w:sz w:val="22"/>
          <w:szCs w:val="22"/>
        </w:rPr>
        <w:t xml:space="preserve">Protección de datos almacenados en medios físicos o digitales mediante cifrado, garantizando confidencialidad incluso si el medio es comprometido.</w:t>
      </w:r>
    </w:p>
    <w:p>
      <w:pPr>
        <w:spacing w:after="80" w:before="80" w:line="360" w:lineRule="auto"/>
        <w:jc w:val="both"/>
      </w:pPr>
      <w:r>
        <w:rPr>
          <w:rFonts w:ascii="Arial" w:cs="Arial" w:eastAsia="Arial" w:hAnsi="Arial"/>
          <w:b/>
          <w:bCs/>
          <w:i w:val="false"/>
          <w:iCs w:val="false"/>
          <w:color w:val="1a1a1a"/>
          <w:sz w:val="22"/>
          <w:szCs w:val="22"/>
        </w:rPr>
        <w:t xml:space="preserve">Docker: </w:t>
      </w:r>
      <w:r>
        <w:rPr>
          <w:rFonts w:ascii="Arial" w:cs="Arial" w:eastAsia="Arial" w:hAnsi="Arial"/>
          <w:b w:val="false"/>
          <w:bCs w:val="false"/>
          <w:i w:val="false"/>
          <w:iCs w:val="false"/>
          <w:color w:val="1a1a1a"/>
          <w:sz w:val="22"/>
          <w:szCs w:val="22"/>
        </w:rPr>
        <w:t xml:space="preserve">Plataforma de contenedores que permite empaquetar aplicaciones con sus dependencias en entornos aislados y portátiles.</w:t>
      </w:r>
    </w:p>
    <w:p>
      <w:pPr>
        <w:spacing w:after="80" w:before="80" w:line="360" w:lineRule="auto"/>
        <w:jc w:val="both"/>
      </w:pPr>
      <w:r>
        <w:rPr>
          <w:rFonts w:ascii="Arial" w:cs="Arial" w:eastAsia="Arial" w:hAnsi="Arial"/>
          <w:b/>
          <w:bCs/>
          <w:i w:val="false"/>
          <w:iCs w:val="false"/>
          <w:color w:val="1a1a1a"/>
          <w:sz w:val="22"/>
          <w:szCs w:val="22"/>
        </w:rPr>
        <w:t xml:space="preserve">GDPR: </w:t>
      </w:r>
      <w:r>
        <w:rPr>
          <w:rFonts w:ascii="Arial" w:cs="Arial" w:eastAsia="Arial" w:hAnsi="Arial"/>
          <w:b w:val="false"/>
          <w:bCs w:val="false"/>
          <w:i w:val="false"/>
          <w:iCs w:val="false"/>
          <w:color w:val="1a1a1a"/>
          <w:sz w:val="22"/>
          <w:szCs w:val="22"/>
        </w:rPr>
        <w:t xml:space="preserve">General Data Protection Regulation. Reglamento de la Unión Europea para la protección de datos personales de sus ciudadanos.</w:t>
      </w:r>
    </w:p>
    <w:p>
      <w:pPr>
        <w:spacing w:after="80" w:before="80" w:line="360" w:lineRule="auto"/>
        <w:jc w:val="both"/>
      </w:pPr>
      <w:r>
        <w:rPr>
          <w:rFonts w:ascii="Arial" w:cs="Arial" w:eastAsia="Arial" w:hAnsi="Arial"/>
          <w:b/>
          <w:bCs/>
          <w:i w:val="false"/>
          <w:iCs w:val="false"/>
          <w:color w:val="1a1a1a"/>
          <w:sz w:val="22"/>
          <w:szCs w:val="22"/>
        </w:rPr>
        <w:t xml:space="preserve">HIPAA: </w:t>
      </w:r>
      <w:r>
        <w:rPr>
          <w:rFonts w:ascii="Arial" w:cs="Arial" w:eastAsia="Arial" w:hAnsi="Arial"/>
          <w:b w:val="false"/>
          <w:bCs w:val="false"/>
          <w:i w:val="false"/>
          <w:iCs w:val="false"/>
          <w:color w:val="1a1a1a"/>
          <w:sz w:val="22"/>
          <w:szCs w:val="22"/>
        </w:rPr>
        <w:t xml:space="preserve">Health Insurance Portability and Accountability Act. Ley estadounidense que establece estándares de seguridad para datos médicos.</w:t>
      </w:r>
    </w:p>
    <w:p>
      <w:pPr>
        <w:spacing w:after="80" w:before="80" w:line="360" w:lineRule="auto"/>
        <w:jc w:val="both"/>
      </w:pPr>
      <w:r>
        <w:rPr>
          <w:rFonts w:ascii="Arial" w:cs="Arial" w:eastAsia="Arial" w:hAnsi="Arial"/>
          <w:b/>
          <w:bCs/>
          <w:i w:val="false"/>
          <w:iCs w:val="false"/>
          <w:color w:val="1a1a1a"/>
          <w:sz w:val="22"/>
          <w:szCs w:val="22"/>
        </w:rPr>
        <w:t xml:space="preserve">IDOR: </w:t>
      </w:r>
      <w:r>
        <w:rPr>
          <w:rFonts w:ascii="Arial" w:cs="Arial" w:eastAsia="Arial" w:hAnsi="Arial"/>
          <w:b w:val="false"/>
          <w:bCs w:val="false"/>
          <w:i w:val="false"/>
          <w:iCs w:val="false"/>
          <w:color w:val="1a1a1a"/>
          <w:sz w:val="22"/>
          <w:szCs w:val="22"/>
        </w:rPr>
        <w:t xml:space="preserve">Insecure Direct Object Reference. Vulnerabilidad que permite acceder a objetos (archivos, datos) mediante la manipulación de referencias directas.</w:t>
      </w:r>
    </w:p>
    <w:p>
      <w:pPr>
        <w:spacing w:after="80" w:before="80" w:line="360" w:lineRule="auto"/>
        <w:jc w:val="both"/>
      </w:pPr>
      <w:r>
        <w:rPr>
          <w:rFonts w:ascii="Arial" w:cs="Arial" w:eastAsia="Arial" w:hAnsi="Arial"/>
          <w:b/>
          <w:bCs/>
          <w:i w:val="false"/>
          <w:iCs w:val="false"/>
          <w:color w:val="1a1a1a"/>
          <w:sz w:val="22"/>
          <w:szCs w:val="22"/>
        </w:rPr>
        <w:t xml:space="preserve">IssabelPBX: </w:t>
      </w:r>
      <w:r>
        <w:rPr>
          <w:rFonts w:ascii="Arial" w:cs="Arial" w:eastAsia="Arial" w:hAnsi="Arial"/>
          <w:b w:val="false"/>
          <w:bCs w:val="false"/>
          <w:i w:val="false"/>
          <w:iCs w:val="false"/>
          <w:color w:val="1a1a1a"/>
          <w:sz w:val="22"/>
          <w:szCs w:val="22"/>
        </w:rPr>
        <w:t xml:space="preserve">Distribución de código abierto para centralitas telefónicas IP basada en Asterisk, utilizada en la tesina de referencia para implementación VoIP.</w:t>
      </w:r>
    </w:p>
    <w:p>
      <w:pPr>
        <w:spacing w:after="80" w:before="80" w:line="360" w:lineRule="auto"/>
        <w:jc w:val="both"/>
      </w:pPr>
      <w:r>
        <w:rPr>
          <w:rFonts w:ascii="Arial" w:cs="Arial" w:eastAsia="Arial" w:hAnsi="Arial"/>
          <w:b/>
          <w:bCs/>
          <w:i w:val="false"/>
          <w:iCs w:val="false"/>
          <w:color w:val="1a1a1a"/>
          <w:sz w:val="22"/>
          <w:szCs w:val="22"/>
        </w:rPr>
        <w:t xml:space="preserve">JWT: </w:t>
      </w:r>
      <w:r>
        <w:rPr>
          <w:rFonts w:ascii="Arial" w:cs="Arial" w:eastAsia="Arial" w:hAnsi="Arial"/>
          <w:b w:val="false"/>
          <w:bCs w:val="false"/>
          <w:i w:val="false"/>
          <w:iCs w:val="false"/>
          <w:color w:val="1a1a1a"/>
          <w:sz w:val="22"/>
          <w:szCs w:val="22"/>
        </w:rPr>
        <w:t xml:space="preserve">JSON Web Token. Estándar abierto (RFC 7519) para transmitir información entre partes como un objeto JSON firmado digitalmente.</w:t>
      </w:r>
    </w:p>
    <w:p>
      <w:pPr>
        <w:spacing w:after="80" w:before="80" w:line="360" w:lineRule="auto"/>
        <w:jc w:val="both"/>
      </w:pPr>
      <w:r>
        <w:rPr>
          <w:rFonts w:ascii="Arial" w:cs="Arial" w:eastAsia="Arial" w:hAnsi="Arial"/>
          <w:b/>
          <w:bCs/>
          <w:i w:val="false"/>
          <w:iCs w:val="false"/>
          <w:color w:val="1a1a1a"/>
          <w:sz w:val="22"/>
          <w:szCs w:val="22"/>
        </w:rPr>
        <w:t xml:space="preserve">MFA: </w:t>
      </w:r>
      <w:r>
        <w:rPr>
          <w:rFonts w:ascii="Arial" w:cs="Arial" w:eastAsia="Arial" w:hAnsi="Arial"/>
          <w:b w:val="false"/>
          <w:bCs w:val="false"/>
          <w:i w:val="false"/>
          <w:iCs w:val="false"/>
          <w:color w:val="1a1a1a"/>
          <w:sz w:val="22"/>
          <w:szCs w:val="22"/>
        </w:rPr>
        <w:t xml:space="preserve">Multifactor Authentication. Método de autenticación que requiere dos o más factores de verificación independientes.</w:t>
      </w:r>
    </w:p>
    <w:p>
      <w:pPr>
        <w:spacing w:after="80" w:before="80" w:line="360" w:lineRule="auto"/>
        <w:jc w:val="both"/>
      </w:pPr>
      <w:r>
        <w:rPr>
          <w:rFonts w:ascii="Arial" w:cs="Arial" w:eastAsia="Arial" w:hAnsi="Arial"/>
          <w:b/>
          <w:bCs/>
          <w:i w:val="false"/>
          <w:iCs w:val="false"/>
          <w:color w:val="1a1a1a"/>
          <w:sz w:val="22"/>
          <w:szCs w:val="22"/>
        </w:rPr>
        <w:t xml:space="preserve">PHI: </w:t>
      </w:r>
      <w:r>
        <w:rPr>
          <w:rFonts w:ascii="Arial" w:cs="Arial" w:eastAsia="Arial" w:hAnsi="Arial"/>
          <w:b w:val="false"/>
          <w:bCs w:val="false"/>
          <w:i w:val="false"/>
          <w:iCs w:val="false"/>
          <w:color w:val="1a1a1a"/>
          <w:sz w:val="22"/>
          <w:szCs w:val="22"/>
        </w:rPr>
        <w:t xml:space="preserve">Protected Health Information. Toda información de salud que identifica a un individuo o puede usarse para identificarlo.</w:t>
      </w:r>
    </w:p>
    <w:p>
      <w:pPr>
        <w:spacing w:after="80" w:before="80" w:line="360" w:lineRule="auto"/>
        <w:jc w:val="both"/>
      </w:pPr>
      <w:r>
        <w:rPr>
          <w:rFonts w:ascii="Arial" w:cs="Arial" w:eastAsia="Arial" w:hAnsi="Arial"/>
          <w:b/>
          <w:bCs/>
          <w:i w:val="false"/>
          <w:iCs w:val="false"/>
          <w:color w:val="1a1a1a"/>
          <w:sz w:val="22"/>
          <w:szCs w:val="22"/>
        </w:rPr>
        <w:t xml:space="preserve">Rate Limiting: </w:t>
      </w:r>
      <w:r>
        <w:rPr>
          <w:rFonts w:ascii="Arial" w:cs="Arial" w:eastAsia="Arial" w:hAnsi="Arial"/>
          <w:b w:val="false"/>
          <w:bCs w:val="false"/>
          <w:i w:val="false"/>
          <w:iCs w:val="false"/>
          <w:color w:val="1a1a1a"/>
          <w:sz w:val="22"/>
          <w:szCs w:val="22"/>
        </w:rPr>
        <w:t xml:space="preserve">Técnica de control de tráfico que limita el número de solicitudes que un cliente puede realizar en un período de tiempo determinado.</w:t>
      </w:r>
    </w:p>
    <w:p>
      <w:pPr>
        <w:spacing w:after="80" w:before="80" w:line="360" w:lineRule="auto"/>
        <w:jc w:val="both"/>
      </w:pPr>
      <w:r>
        <w:rPr>
          <w:rFonts w:ascii="Arial" w:cs="Arial" w:eastAsia="Arial" w:hAnsi="Arial"/>
          <w:b/>
          <w:bCs/>
          <w:i w:val="false"/>
          <w:iCs w:val="false"/>
          <w:color w:val="1a1a1a"/>
          <w:sz w:val="22"/>
          <w:szCs w:val="22"/>
        </w:rPr>
        <w:t xml:space="preserve">RBAC: </w:t>
      </w:r>
      <w:r>
        <w:rPr>
          <w:rFonts w:ascii="Arial" w:cs="Arial" w:eastAsia="Arial" w:hAnsi="Arial"/>
          <w:b w:val="false"/>
          <w:bCs w:val="false"/>
          <w:i w:val="false"/>
          <w:iCs w:val="false"/>
          <w:color w:val="1a1a1a"/>
          <w:sz w:val="22"/>
          <w:szCs w:val="22"/>
        </w:rPr>
        <w:t xml:space="preserve">Role-Based Access Control. Modelo de control de acceso donde los permisos se asignan a roles, y los usuarios obtienen permisos al ser asignados a dichos roles.</w:t>
      </w:r>
    </w:p>
    <w:p>
      <w:pPr>
        <w:spacing w:after="80" w:before="80" w:line="360" w:lineRule="auto"/>
        <w:jc w:val="both"/>
      </w:pPr>
      <w:r>
        <w:rPr>
          <w:rFonts w:ascii="Arial" w:cs="Arial" w:eastAsia="Arial" w:hAnsi="Arial"/>
          <w:b/>
          <w:bCs/>
          <w:i w:val="false"/>
          <w:iCs w:val="false"/>
          <w:color w:val="1a1a1a"/>
          <w:sz w:val="22"/>
          <w:szCs w:val="22"/>
        </w:rPr>
        <w:t xml:space="preserve">Redis: </w:t>
      </w:r>
      <w:r>
        <w:rPr>
          <w:rFonts w:ascii="Arial" w:cs="Arial" w:eastAsia="Arial" w:hAnsi="Arial"/>
          <w:b w:val="false"/>
          <w:bCs w:val="false"/>
          <w:i w:val="false"/>
          <w:iCs w:val="false"/>
          <w:color w:val="1a1a1a"/>
          <w:sz w:val="22"/>
          <w:szCs w:val="22"/>
        </w:rPr>
        <w:t xml:space="preserve">Almacén de estructura de datos en memoria, utilizado como caché y gestor de sesiones por su alta velocidad de lectura/escritura.</w:t>
      </w:r>
    </w:p>
    <w:p>
      <w:pPr>
        <w:spacing w:after="80" w:before="80" w:line="360" w:lineRule="auto"/>
        <w:jc w:val="both"/>
      </w:pPr>
      <w:r>
        <w:rPr>
          <w:rFonts w:ascii="Arial" w:cs="Arial" w:eastAsia="Arial" w:hAnsi="Arial"/>
          <w:b/>
          <w:bCs/>
          <w:i w:val="false"/>
          <w:iCs w:val="false"/>
          <w:color w:val="1a1a1a"/>
          <w:sz w:val="22"/>
          <w:szCs w:val="22"/>
        </w:rPr>
        <w:t xml:space="preserve">TLS: </w:t>
      </w:r>
      <w:r>
        <w:rPr>
          <w:rFonts w:ascii="Arial" w:cs="Arial" w:eastAsia="Arial" w:hAnsi="Arial"/>
          <w:b w:val="false"/>
          <w:bCs w:val="false"/>
          <w:i w:val="false"/>
          <w:iCs w:val="false"/>
          <w:color w:val="1a1a1a"/>
          <w:sz w:val="22"/>
          <w:szCs w:val="22"/>
        </w:rPr>
        <w:t xml:space="preserve">Transport Layer Security. Protocolo criptográfico que proporciona comunicaciones seguras en redes de computadoras.</w:t>
      </w:r>
    </w:p>
    <w:p>
      <w:pPr>
        <w:spacing w:after="80" w:before="80" w:line="360" w:lineRule="auto"/>
        <w:jc w:val="both"/>
      </w:pPr>
      <w:r>
        <w:rPr>
          <w:rFonts w:ascii="Arial" w:cs="Arial" w:eastAsia="Arial" w:hAnsi="Arial"/>
          <w:b/>
          <w:bCs/>
          <w:i w:val="false"/>
          <w:iCs w:val="false"/>
          <w:color w:val="1a1a1a"/>
          <w:sz w:val="22"/>
          <w:szCs w:val="22"/>
        </w:rPr>
        <w:t xml:space="preserve">Tokenización: </w:t>
      </w:r>
      <w:r>
        <w:rPr>
          <w:rFonts w:ascii="Arial" w:cs="Arial" w:eastAsia="Arial" w:hAnsi="Arial"/>
          <w:b w:val="false"/>
          <w:bCs w:val="false"/>
          <w:i w:val="false"/>
          <w:iCs w:val="false"/>
          <w:color w:val="1a1a1a"/>
          <w:sz w:val="22"/>
          <w:szCs w:val="22"/>
        </w:rPr>
        <w:t xml:space="preserve">Proceso de sustituir datos sensibles por identificadores únicos (tokens) que no tienen valor explotable por sí mismos.</w:t>
      </w:r>
    </w:p>
    <w:p>
      <w:pPr>
        <w:spacing w:after="80" w:before="80" w:line="360" w:lineRule="auto"/>
        <w:jc w:val="both"/>
      </w:pPr>
      <w:r>
        <w:rPr>
          <w:rFonts w:ascii="Arial" w:cs="Arial" w:eastAsia="Arial" w:hAnsi="Arial"/>
          <w:b/>
          <w:bCs/>
          <w:i w:val="false"/>
          <w:iCs w:val="false"/>
          <w:color w:val="1a1a1a"/>
          <w:sz w:val="22"/>
          <w:szCs w:val="22"/>
        </w:rPr>
        <w:t xml:space="preserve">TOTP: </w:t>
      </w:r>
      <w:r>
        <w:rPr>
          <w:rFonts w:ascii="Arial" w:cs="Arial" w:eastAsia="Arial" w:hAnsi="Arial"/>
          <w:b w:val="false"/>
          <w:bCs w:val="false"/>
          <w:i w:val="false"/>
          <w:iCs w:val="false"/>
          <w:color w:val="1a1a1a"/>
          <w:sz w:val="22"/>
          <w:szCs w:val="22"/>
        </w:rPr>
        <w:t xml:space="preserve">Time-based One-Time Password. Algoritmo que genera códigos de un solo uso basados en el tiempo actual y una clave secreta compartida (RFC 6238).</w:t>
      </w:r>
    </w:p>
    <w:p>
      <w:pPr>
        <w:spacing w:after="80" w:before="80" w:line="360" w:lineRule="auto"/>
        <w:jc w:val="both"/>
      </w:pPr>
      <w:r>
        <w:rPr>
          <w:rFonts w:ascii="Arial" w:cs="Arial" w:eastAsia="Arial" w:hAnsi="Arial"/>
          <w:b/>
          <w:bCs/>
          <w:i w:val="false"/>
          <w:iCs w:val="false"/>
          <w:color w:val="1a1a1a"/>
          <w:sz w:val="22"/>
          <w:szCs w:val="22"/>
        </w:rPr>
        <w:t xml:space="preserve">VoIP: </w:t>
      </w:r>
      <w:r>
        <w:rPr>
          <w:rFonts w:ascii="Arial" w:cs="Arial" w:eastAsia="Arial" w:hAnsi="Arial"/>
          <w:b w:val="false"/>
          <w:bCs w:val="false"/>
          <w:i w:val="false"/>
          <w:iCs w:val="false"/>
          <w:color w:val="1a1a1a"/>
          <w:sz w:val="22"/>
          <w:szCs w:val="22"/>
        </w:rPr>
        <w:t xml:space="preserve">Voice over Internet Protocol. Tecnología que permite la transmisión de voz a través de redes IP, tema central de la tesina de referencia.</w:t>
      </w:r>
    </w:p>
    <w:p>
      <w:pPr>
        <w:spacing w:after="80" w:before="80" w:line="360" w:lineRule="auto"/>
        <w:jc w:val="both"/>
      </w:pPr>
      <w:r>
        <w:rPr>
          <w:rFonts w:ascii="Arial" w:cs="Arial" w:eastAsia="Arial" w:hAnsi="Arial"/>
          <w:b/>
          <w:bCs/>
          <w:i w:val="false"/>
          <w:iCs w:val="false"/>
          <w:color w:val="1a1a1a"/>
          <w:sz w:val="22"/>
          <w:szCs w:val="22"/>
        </w:rPr>
        <w:t xml:space="preserve">WAF: </w:t>
      </w:r>
      <w:r>
        <w:rPr>
          <w:rFonts w:ascii="Arial" w:cs="Arial" w:eastAsia="Arial" w:hAnsi="Arial"/>
          <w:b w:val="false"/>
          <w:bCs w:val="false"/>
          <w:i w:val="false"/>
          <w:iCs w:val="false"/>
          <w:color w:val="1a1a1a"/>
          <w:sz w:val="22"/>
          <w:szCs w:val="22"/>
        </w:rPr>
        <w:t xml:space="preserve">Web Application Firewall. Firewall de aplicaciones web que filtra, monitorea y bloquea tráfico HTTP malicioso.</w:t>
      </w:r>
    </w:p>
    <w:p>
      <w:pPr>
        <w:spacing w:after="80" w:before="80" w:line="360" w:lineRule="auto"/>
        <w:jc w:val="both"/>
      </w:pPr>
      <w:r>
        <w:rPr>
          <w:rFonts w:ascii="Arial" w:cs="Arial" w:eastAsia="Arial" w:hAnsi="Arial"/>
          <w:b/>
          <w:bCs/>
          <w:i w:val="false"/>
          <w:iCs w:val="false"/>
          <w:color w:val="1a1a1a"/>
          <w:sz w:val="22"/>
          <w:szCs w:val="22"/>
        </w:rPr>
        <w:t xml:space="preserve">XSS: </w:t>
      </w:r>
      <w:r>
        <w:rPr>
          <w:rFonts w:ascii="Arial" w:cs="Arial" w:eastAsia="Arial" w:hAnsi="Arial"/>
          <w:b w:val="false"/>
          <w:bCs w:val="false"/>
          <w:i w:val="false"/>
          <w:iCs w:val="false"/>
          <w:color w:val="1a1a1a"/>
          <w:sz w:val="22"/>
          <w:szCs w:val="22"/>
        </w:rPr>
        <w:t xml:space="preserve">Cross-Site Scripting. Vulnerabilidad que permite inyectar scripts maliciosos en páginas web vistas por otros usuarios.</w:t>
      </w:r>
    </w:p>
    <w:p>
      <w:pPr>
        <w:spacing w:after="80" w:before="80" w:line="360" w:lineRule="auto"/>
        <w:jc w:val="both"/>
      </w:pPr>
      <w:r>
        <w:rPr>
          <w:rFonts w:ascii="Arial" w:cs="Arial" w:eastAsia="Arial" w:hAnsi="Arial"/>
          <w:b/>
          <w:bCs/>
          <w:i w:val="false"/>
          <w:iCs w:val="false"/>
          <w:color w:val="1a1a1a"/>
          <w:sz w:val="22"/>
          <w:szCs w:val="22"/>
        </w:rPr>
        <w:t xml:space="preserve">Zero Trust: </w:t>
      </w:r>
      <w:r>
        <w:rPr>
          <w:rFonts w:ascii="Arial" w:cs="Arial" w:eastAsia="Arial" w:hAnsi="Arial"/>
          <w:b w:val="false"/>
          <w:bCs w:val="false"/>
          <w:i w:val="false"/>
          <w:iCs w:val="false"/>
          <w:color w:val="1a1a1a"/>
          <w:sz w:val="22"/>
          <w:szCs w:val="22"/>
        </w:rPr>
        <w:t xml:space="preserve">Modelo de seguridad basado en el principio "nunca confíes, siempre verifica", donde ningún usuario o dispositivo es confiable por defecto.</w:t>
      </w:r>
    </w:p>
    <w:p>
      <w:pPr>
        <w:spacing w:after="80" w:before="80" w:line="360" w:lineRule="auto"/>
        <w:jc w:val="both"/>
      </w:pPr>
      <w:r>
        <w:rPr>
          <w:rFonts w:ascii="Arial" w:cs="Arial" w:eastAsia="Arial" w:hAnsi="Arial"/>
          <w:b/>
          <w:bCs/>
          <w:i w:val="false"/>
          <w:iCs w:val="false"/>
          <w:color w:val="1a1a1a"/>
          <w:sz w:val="22"/>
          <w:szCs w:val="22"/>
        </w:rPr>
        <w:t xml:space="preserve">SQL Injection: </w:t>
      </w:r>
      <w:r>
        <w:rPr>
          <w:rFonts w:ascii="Arial" w:cs="Arial" w:eastAsia="Arial" w:hAnsi="Arial"/>
          <w:b w:val="false"/>
          <w:bCs w:val="false"/>
          <w:i w:val="false"/>
          <w:iCs w:val="false"/>
          <w:color w:val="1a1a1a"/>
          <w:sz w:val="22"/>
          <w:szCs w:val="22"/>
        </w:rPr>
        <w:t xml:space="preserve">Técnica de ataque que explota vulnerabilidades en la capa de consultas SQL de una aplicación para ejecutar comandos maliciosos en la base de datos.</w:t>
      </w:r>
    </w:p>
    <w:sectPr>
      <w:headerReference w:type="default" r:id="rId9"/>
      <w:footerReference w:type="default" r:id="rId10"/>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CURRENT</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CURRENT</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b w:val="false"/>
        <w:bCs w:val="false"/>
        <w:i/>
        <w:iCs/>
        <w:color w:val="666666"/>
        <w:sz w:val="18"/>
        <w:szCs w:val="18"/>
      </w:rPr>
      <w:t xml:space="preserve">MedSecure — Análisis de Ciberseguridad</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b w:val="false"/>
        <w:bCs w:val="false"/>
        <w:i/>
        <w:iCs/>
        <w:color w:val="666666"/>
        <w:sz w:val="18"/>
        <w:szCs w:val="18"/>
      </w:rPr>
      <w:t xml:space="preserve">MedSecure — Análisis de Ciberseguridad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4"/>
        <w:szCs w:val="24"/>
      </w:rPr>
    </w:rPrDefault>
    <w:pPrDefault>
      <w:pPr>
        <w:spacing w:line="36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MedSecure: Plataforma Médica Segura — Análisis de Ciberseguridad</dc:title>
  <dc:creator>Un-named</dc:creator>
  <dc:description>Documento académico complementario que analiza la relación entre el proyecto MedSecure y la ciberseguridad en el sector salud.</dc:description>
  <cp:lastModifiedBy>Un-named</cp:lastModifiedBy>
  <cp:revision>1</cp:revision>
  <dcterms:created xsi:type="dcterms:W3CDTF">2026-05-14T05:23:59.202Z</dcterms:created>
  <dcterms:modified xsi:type="dcterms:W3CDTF">2026-05-14T05:23:59.203Z</dcterms:modified>
</cp:coreProperties>
</file>

<file path=docProps/custom.xml><?xml version="1.0" encoding="utf-8"?>
<Properties xmlns="http://schemas.openxmlformats.org/officeDocument/2006/custom-properties" xmlns:vt="http://schemas.openxmlformats.org/officeDocument/2006/docPropsVTypes"/>
</file>