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400040" cy="352107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R: pontos de presença da AWS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5179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R: diminuir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400040" cy="2992755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 verdadeiro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400040" cy="302768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R: Regiões da AWS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400040" cy="300164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R: tolerante a falhas, elástico e escalável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4925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R: verdadeiro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400040" cy="347472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R: um datacenter pode ser usado para mais de uma zona de disponibilidade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400040" cy="311848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R: uma região é um local físico que tem várias zonas de disponibilidade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cada região estão localizadas em uma área geográfica específica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400040" cy="302641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R: várias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400040" cy="300355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R: Falso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MeQWcHAkps+9hsVnvqTFxBgXeg==">AMUW2mXq+SGi6DGmk1+JLoJLB5kDewva8uLurjgYloMg1h7xHRF/D9U8zhWxE3Gf25J4BsZ3OoUaNyYSm0Hxt/A0wEllDgs/vKYuzBBmUnZlZk9DwweOtClsiYaqK3Mnm4xMn/rn8kw5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2020-06-07T14:29:00Z</dcterms:created>
  <dc:creator>Danilo sibov</dc:creator>
</cp:coreProperties>
</file>