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26215C"/>
          <w:sz w:val="44"/>
        </w:rPr>
        <w:t>PASSION DISCOVERY STUDIO</w:t>
      </w:r>
    </w:p>
    <w:p>
      <w:pPr>
        <w:jc w:val="center"/>
      </w:pPr>
      <w:r>
        <w:rPr>
          <w:color w:val="444441"/>
          <w:sz w:val="28"/>
        </w:rPr>
        <w:t>Phase 1 Detailed Budget Breakdown — Pilot School</w:t>
      </w:r>
    </w:p>
    <w:p>
      <w:pPr>
        <w:jc w:val="center"/>
      </w:pPr>
      <w:r>
        <w:rPr>
          <w:i/>
          <w:color w:val="444441"/>
          <w:sz w:val="22"/>
        </w:rPr>
        <w:t>Montréal-Nord / Saint-Michel  |  May 2026  |  Luca Urbani (GitHub: Fokerfeit)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AEEDA"/>
          </w:tcPr>
          <w:p>
            <w:pPr>
              <w:spacing w:before="120" w:after="120"/>
              <w:ind w:left="160"/>
            </w:pPr>
            <w:r>
              <w:rPr>
                <w:color w:val="412402"/>
                <w:sz w:val="22"/>
              </w:rPr>
              <w:t>Total Estimated Budget: $30,000 – $40,000 CAD</w:t>
              <w:br/>
              <w:t>Phase 1 covers one pilot school for one academic year, including setup, Summer Studio, tablet infrastructure, training, and evaluation.</w:t>
            </w:r>
          </w:p>
        </w:tc>
      </w:tr>
    </w:tbl>
    <w:p/>
    <w:p>
      <w:pPr>
        <w:keepNext/>
        <w:spacing w:before="320" w:after="80"/>
      </w:pPr>
      <w:r>
        <w:rPr>
          <w:b/>
          <w:color w:val="26215C"/>
          <w:sz w:val="36"/>
        </w:rPr>
        <w:t>Budget Overview by Category</w:t>
      </w:r>
    </w:p>
    <w:p>
      <w:pPr>
        <w:spacing w:before="80" w:after="80"/>
        <w:pBdr>
          <w:bottom w:val="single" w:sz="6" w:color="9F9BE8"/>
        </w:pBdr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26215C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26215C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Items</w:t>
            </w:r>
          </w:p>
        </w:tc>
        <w:tc>
          <w:tcPr>
            <w:tcW w:type="dxa" w:w="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26215C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Low ($)</w:t>
            </w:r>
          </w:p>
        </w:tc>
        <w:tc>
          <w:tcPr>
            <w:tcW w:type="dxa" w:w="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26215C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High ($)</w:t>
            </w:r>
          </w:p>
        </w:tc>
        <w:tc>
          <w:tcPr>
            <w:tcW w:type="dxa" w:w="25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26215C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Passion Discovery Studio — Setup</w:t>
            </w:r>
          </w:p>
        </w:tc>
        <w:tc>
          <w:tcPr>
            <w:tcW w:type="dxa" w:w="3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7 station kits (tools, materials, microscopes, water kits, Lego/gears, nature supplies, art materials)</w:t>
            </w:r>
          </w:p>
        </w:tc>
        <w:tc>
          <w:tcPr>
            <w:tcW w:type="dxa" w:w="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3,500</w:t>
            </w:r>
          </w:p>
        </w:tc>
        <w:tc>
          <w:tcPr>
            <w:tcW w:type="dxa" w:w="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5,000</w:t>
            </w:r>
          </w:p>
        </w:tc>
        <w:tc>
          <w:tcPr>
            <w:tcW w:type="dxa" w:w="25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Durable, multi-year use; replacement costs minimal after Y1</w:t>
            </w:r>
          </w:p>
        </w:tc>
      </w:tr>
      <w:tr>
        <w:tc>
          <w:tcPr>
            <w:tcW w:type="dxa" w:w="18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1EFE8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Tablet Program — Hardware</w:t>
            </w:r>
          </w:p>
        </w:tc>
        <w:tc>
          <w:tcPr>
            <w:tcW w:type="dxa" w:w="3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1EFE8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25–30 locked educational tablets (basic Android or equivalent) + protective cases</w:t>
            </w:r>
          </w:p>
        </w:tc>
        <w:tc>
          <w:tcPr>
            <w:tcW w:type="dxa" w:w="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1EFE8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7,500</w:t>
            </w:r>
          </w:p>
        </w:tc>
        <w:tc>
          <w:tcPr>
            <w:tcW w:type="dxa" w:w="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1EFE8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10,000</w:t>
            </w:r>
          </w:p>
        </w:tc>
        <w:tc>
          <w:tcPr>
            <w:tcW w:type="dxa" w:w="25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1EFE8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~$250–$333/device; kept 5 years = $50–$67/year per student</w:t>
            </w:r>
          </w:p>
        </w:tc>
      </w:tr>
      <w:tr>
        <w:tc>
          <w:tcPr>
            <w:tcW w:type="dxa" w:w="18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Tablet Program — Software &amp; Licensing</w:t>
            </w:r>
          </w:p>
        </w:tc>
        <w:tc>
          <w:tcPr>
            <w:tcW w:type="dxa" w:w="3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Educational app licenses (Lumosity-style curriculum modules), MDM lock software, 1-year subscription</w:t>
            </w:r>
          </w:p>
        </w:tc>
        <w:tc>
          <w:tcPr>
            <w:tcW w:type="dxa" w:w="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2,000</w:t>
            </w:r>
          </w:p>
        </w:tc>
        <w:tc>
          <w:tcPr>
            <w:tcW w:type="dxa" w:w="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3,000</w:t>
            </w:r>
          </w:p>
        </w:tc>
        <w:tc>
          <w:tcPr>
            <w:tcW w:type="dxa" w:w="25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Renewable annually; cost decreases with scale</w:t>
            </w:r>
          </w:p>
        </w:tc>
      </w:tr>
      <w:tr>
        <w:tc>
          <w:tcPr>
            <w:tcW w:type="dxa" w:w="18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1EFE8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Teacher Training &amp; Professional Development</w:t>
            </w:r>
          </w:p>
        </w:tc>
        <w:tc>
          <w:tcPr>
            <w:tcW w:type="dxa" w:w="3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1EFE8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2-day intensive workshop (external facilitator), ongoing monthly coaching sessions, printed guides</w:t>
            </w:r>
          </w:p>
        </w:tc>
        <w:tc>
          <w:tcPr>
            <w:tcW w:type="dxa" w:w="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1EFE8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4,000</w:t>
            </w:r>
          </w:p>
        </w:tc>
        <w:tc>
          <w:tcPr>
            <w:tcW w:type="dxa" w:w="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1EFE8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6,000</w:t>
            </w:r>
          </w:p>
        </w:tc>
        <w:tc>
          <w:tcPr>
            <w:tcW w:type="dxa" w:w="25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1EFE8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Includes substitute coverage during training days</w:t>
            </w:r>
          </w:p>
        </w:tc>
      </w:tr>
      <w:tr>
        <w:tc>
          <w:tcPr>
            <w:tcW w:type="dxa" w:w="18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Volunteer Coordination &amp; Studio Operations</w:t>
            </w:r>
          </w:p>
        </w:tc>
        <w:tc>
          <w:tcPr>
            <w:tcW w:type="dxa" w:w="3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Volunteer recruitment, screening/background checks, training sessions, coordination stipend</w:t>
            </w:r>
          </w:p>
        </w:tc>
        <w:tc>
          <w:tcPr>
            <w:tcW w:type="dxa" w:w="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1,500</w:t>
            </w:r>
          </w:p>
        </w:tc>
        <w:tc>
          <w:tcPr>
            <w:tcW w:type="dxa" w:w="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2,500</w:t>
            </w:r>
          </w:p>
        </w:tc>
        <w:tc>
          <w:tcPr>
            <w:tcW w:type="dxa" w:w="25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Volunteers are unpaid; costs cover admin and training only</w:t>
            </w:r>
          </w:p>
        </w:tc>
      </w:tr>
      <w:tr>
        <w:tc>
          <w:tcPr>
            <w:tcW w:type="dxa" w:w="18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1EFE8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Curriculum Path Design</w:t>
            </w:r>
          </w:p>
        </w:tc>
        <w:tc>
          <w:tcPr>
            <w:tcW w:type="dxa" w:w="3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1EFE8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Development of 7–8 differentiated learning paths mapped to Québec Education Program; consultant fees</w:t>
            </w:r>
          </w:p>
        </w:tc>
        <w:tc>
          <w:tcPr>
            <w:tcW w:type="dxa" w:w="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1EFE8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4,000</w:t>
            </w:r>
          </w:p>
        </w:tc>
        <w:tc>
          <w:tcPr>
            <w:tcW w:type="dxa" w:w="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1EFE8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5,500</w:t>
            </w:r>
          </w:p>
        </w:tc>
        <w:tc>
          <w:tcPr>
            <w:tcW w:type="dxa" w:w="25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1EFE8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One-time design cost; paths reused and refined each year</w:t>
            </w:r>
          </w:p>
        </w:tc>
      </w:tr>
      <w:tr>
        <w:tc>
          <w:tcPr>
            <w:tcW w:type="dxa" w:w="18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AI Simulation &amp; Data Analysis</w:t>
            </w:r>
          </w:p>
        </w:tc>
        <w:tc>
          <w:tcPr>
            <w:tcW w:type="dxa" w:w="3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Software tools, data preparation, Ministère de l'Éducation data licensing/access, developer time</w:t>
            </w:r>
          </w:p>
        </w:tc>
        <w:tc>
          <w:tcPr>
            <w:tcW w:type="dxa" w:w="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2,500</w:t>
            </w:r>
          </w:p>
        </w:tc>
        <w:tc>
          <w:tcPr>
            <w:tcW w:type="dxa" w:w="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3,500</w:t>
            </w:r>
          </w:p>
        </w:tc>
        <w:tc>
          <w:tcPr>
            <w:tcW w:type="dxa" w:w="25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Ongoing refinement tool; cost drops significantly after Y1</w:t>
            </w:r>
          </w:p>
        </w:tc>
      </w:tr>
      <w:tr>
        <w:tc>
          <w:tcPr>
            <w:tcW w:type="dxa" w:w="18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1EFE8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Physical Activity Infrastructure</w:t>
            </w:r>
          </w:p>
        </w:tc>
        <w:tc>
          <w:tcPr>
            <w:tcW w:type="dxa" w:w="3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1EFE8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Outdoor equipment additions, sports materials, break zone setup for high-energy students</w:t>
            </w:r>
          </w:p>
        </w:tc>
        <w:tc>
          <w:tcPr>
            <w:tcW w:type="dxa" w:w="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1EFE8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1,500</w:t>
            </w:r>
          </w:p>
        </w:tc>
        <w:tc>
          <w:tcPr>
            <w:tcW w:type="dxa" w:w="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1EFE8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2,000</w:t>
            </w:r>
          </w:p>
        </w:tc>
        <w:tc>
          <w:tcPr>
            <w:tcW w:type="dxa" w:w="25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1EFE8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Leverages existing school infrastructure where possible</w:t>
            </w:r>
          </w:p>
        </w:tc>
      </w:tr>
      <w:tr>
        <w:tc>
          <w:tcPr>
            <w:tcW w:type="dxa" w:w="18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Communication &amp; Stakeholder Engagement</w:t>
            </w:r>
          </w:p>
        </w:tc>
        <w:tc>
          <w:tcPr>
            <w:tcW w:type="dxa" w:w="3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Parent information sessions, printed materials, translation (French/English), community events</w:t>
            </w:r>
          </w:p>
        </w:tc>
        <w:tc>
          <w:tcPr>
            <w:tcW w:type="dxa" w:w="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800</w:t>
            </w:r>
          </w:p>
        </w:tc>
        <w:tc>
          <w:tcPr>
            <w:tcW w:type="dxa" w:w="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1,200</w:t>
            </w:r>
          </w:p>
        </w:tc>
        <w:tc>
          <w:tcPr>
            <w:tcW w:type="dxa" w:w="25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Critical for buy-in; underinvestment here is a risk</w:t>
            </w:r>
          </w:p>
        </w:tc>
      </w:tr>
      <w:tr>
        <w:tc>
          <w:tcPr>
            <w:tcW w:type="dxa" w:w="18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1EFE8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Evaluation &amp; Documentation</w:t>
            </w:r>
          </w:p>
        </w:tc>
        <w:tc>
          <w:tcPr>
            <w:tcW w:type="dxa" w:w="3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1EFE8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Independent progress evaluation, data collection tools, final pilot report production</w:t>
            </w:r>
          </w:p>
        </w:tc>
        <w:tc>
          <w:tcPr>
            <w:tcW w:type="dxa" w:w="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1EFE8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2,000</w:t>
            </w:r>
          </w:p>
        </w:tc>
        <w:tc>
          <w:tcPr>
            <w:tcW w:type="dxa" w:w="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1EFE8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3,000</w:t>
            </w:r>
          </w:p>
        </w:tc>
        <w:tc>
          <w:tcPr>
            <w:tcW w:type="dxa" w:w="25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1EFE8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Required for Phase 2 funding applications</w:t>
            </w:r>
          </w:p>
        </w:tc>
      </w:tr>
      <w:tr>
        <w:tc>
          <w:tcPr>
            <w:tcW w:type="dxa" w:w="18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Contingency Reserve</w:t>
            </w:r>
          </w:p>
        </w:tc>
        <w:tc>
          <w:tcPr>
            <w:tcW w:type="dxa" w:w="3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Unforeseen costs, equipment replacement, staff absence, logistics overruns</w:t>
            </w:r>
          </w:p>
        </w:tc>
        <w:tc>
          <w:tcPr>
            <w:tcW w:type="dxa" w:w="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700</w:t>
            </w:r>
          </w:p>
        </w:tc>
        <w:tc>
          <w:tcPr>
            <w:tcW w:type="dxa" w:w="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1,300</w:t>
            </w:r>
          </w:p>
        </w:tc>
        <w:tc>
          <w:tcPr>
            <w:tcW w:type="dxa" w:w="25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~2–3% contingency; standard for pilot programs</w:t>
            </w:r>
          </w:p>
        </w:tc>
      </w:tr>
      <w:tr>
        <w:tc>
          <w:tcPr>
            <w:tcW w:type="dxa" w:w="18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AEEDA"/>
          </w:tcPr>
          <w:p>
            <w:pPr>
              <w:spacing w:before="80" w:after="80"/>
            </w:pPr>
            <w:r>
              <w:rPr>
                <w:b/>
                <w:color w:val="412402"/>
                <w:sz w:val="20"/>
              </w:rPr>
              <w:t>TOTAL</w:t>
            </w:r>
          </w:p>
        </w:tc>
        <w:tc>
          <w:tcPr>
            <w:tcW w:type="dxa" w:w="3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AEEDA"/>
          </w:tcPr>
          <w:p>
            <w:pPr>
              <w:spacing w:before="80" w:after="80"/>
            </w:pPr>
            <w:r>
              <w:rPr>
                <w:b/>
                <w:color w:val="412402"/>
                <w:sz w:val="20"/>
              </w:rPr>
            </w:r>
          </w:p>
        </w:tc>
        <w:tc>
          <w:tcPr>
            <w:tcW w:type="dxa" w:w="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AEEDA"/>
          </w:tcPr>
          <w:p>
            <w:pPr>
              <w:spacing w:before="80" w:after="80"/>
            </w:pPr>
            <w:r>
              <w:rPr>
                <w:b/>
                <w:color w:val="412402"/>
                <w:sz w:val="20"/>
              </w:rPr>
              <w:t>30,000</w:t>
            </w:r>
          </w:p>
        </w:tc>
        <w:tc>
          <w:tcPr>
            <w:tcW w:type="dxa" w:w="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AEEDA"/>
          </w:tcPr>
          <w:p>
            <w:pPr>
              <w:spacing w:before="80" w:after="80"/>
            </w:pPr>
            <w:r>
              <w:rPr>
                <w:b/>
                <w:color w:val="412402"/>
                <w:sz w:val="20"/>
              </w:rPr>
              <w:t>40,000</w:t>
            </w:r>
          </w:p>
        </w:tc>
        <w:tc>
          <w:tcPr>
            <w:tcW w:type="dxa" w:w="25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AEEDA"/>
          </w:tcPr>
          <w:p>
            <w:pPr>
              <w:spacing w:before="80" w:after="80"/>
            </w:pPr>
            <w:r>
              <w:rPr>
                <w:b/>
                <w:color w:val="412402"/>
                <w:sz w:val="20"/>
              </w:rPr>
              <w:t>Phase 1: 1 school, 1 academic year</w:t>
            </w:r>
          </w:p>
        </w:tc>
      </w:tr>
    </w:tbl>
    <w:p/>
    <w:p>
      <w:pPr>
        <w:keepNext/>
        <w:spacing w:before="320" w:after="80"/>
      </w:pPr>
      <w:r>
        <w:rPr>
          <w:b/>
          <w:color w:val="26215C"/>
          <w:sz w:val="36"/>
        </w:rPr>
        <w:t>Year-Over-Year Cost Projection</w:t>
      </w:r>
    </w:p>
    <w:p>
      <w:pPr>
        <w:spacing w:before="80" w:after="80"/>
        <w:pBdr>
          <w:bottom w:val="single" w:sz="6" w:color="9F9BE8"/>
        </w:pBdr>
      </w:pPr>
    </w:p>
    <w:p>
      <w:pPr>
        <w:spacing w:after="120"/>
      </w:pPr>
      <w:r>
        <w:rPr>
          <w:b w:val="0"/>
          <w:i w:val="0"/>
          <w:sz w:val="22"/>
        </w:rPr>
        <w:t>Phase 1 is the most expensive year due to setup costs. From Year 2 onward, costs reduce significantly: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26215C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Year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26215C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Key Costs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26215C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Estimated Total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Year 1 (Pilot)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Full setup: Studio, tablets, training, path design, evaluation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$30,000 – $40,000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E1F5EE"/>
          </w:tcPr>
          <w:p>
            <w:pPr>
              <w:spacing w:before="80" w:after="80"/>
            </w:pPr>
            <w:r>
              <w:rPr>
                <w:b w:val="0"/>
                <w:color w:val="0F6E56"/>
                <w:sz w:val="20"/>
              </w:rPr>
              <w:t>Year 2 (Refinement)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E1F5EE"/>
          </w:tcPr>
          <w:p>
            <w:pPr>
              <w:spacing w:before="80" w:after="80"/>
            </w:pPr>
            <w:r>
              <w:rPr>
                <w:b w:val="0"/>
                <w:color w:val="0F6E56"/>
                <w:sz w:val="20"/>
              </w:rPr>
              <w:t>Tablet software renewal, ongoing training, refined paths, evaluation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E1F5EE"/>
          </w:tcPr>
          <w:p>
            <w:pPr>
              <w:spacing w:before="80" w:after="80"/>
            </w:pPr>
            <w:r>
              <w:rPr>
                <w:b w:val="0"/>
                <w:color w:val="0F6E56"/>
                <w:sz w:val="20"/>
              </w:rPr>
              <w:t>$12,000 – $18,000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Year 3+ (Optimized)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Software renewals, minor equipment refresh, volunteer coordination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$8,000 – $12,000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E1F5EE"/>
          </w:tcPr>
          <w:p>
            <w:pPr>
              <w:spacing w:before="80" w:after="80"/>
            </w:pPr>
            <w:r>
              <w:rPr>
                <w:b w:val="0"/>
                <w:color w:val="0F6E56"/>
                <w:sz w:val="20"/>
              </w:rPr>
              <w:t>Per-student cost (Y1)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E1F5EE"/>
          </w:tcPr>
          <w:p>
            <w:pPr>
              <w:spacing w:before="80" w:after="80"/>
            </w:pPr>
            <w:r>
              <w:rPr>
                <w:b w:val="0"/>
                <w:color w:val="0F6E56"/>
                <w:sz w:val="20"/>
              </w:rPr>
              <w:t>Based on 25–30 students in pilot class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E1F5EE"/>
          </w:tcPr>
          <w:p>
            <w:pPr>
              <w:spacing w:before="80" w:after="80"/>
            </w:pPr>
            <w:r>
              <w:rPr>
                <w:b w:val="0"/>
                <w:color w:val="0F6E56"/>
                <w:sz w:val="20"/>
              </w:rPr>
              <w:t>$1,000 – $1,600 / student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Per-student cost (Y3+)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Mature program, costs amortized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444441"/>
                <w:sz w:val="20"/>
              </w:rPr>
              <w:t>$270 – $480 / student</w:t>
            </w:r>
          </w:p>
        </w:tc>
      </w:tr>
    </w:tbl>
    <w:p/>
    <w:p>
      <w:pPr>
        <w:keepNext/>
        <w:spacing w:before="320" w:after="80"/>
      </w:pPr>
      <w:r>
        <w:rPr>
          <w:b/>
          <w:color w:val="26215C"/>
          <w:sz w:val="36"/>
        </w:rPr>
        <w:t>Funding &amp; Subsidy Strategy</w:t>
      </w:r>
    </w:p>
    <w:p>
      <w:pPr>
        <w:spacing w:before="80" w:after="80"/>
        <w:pBdr>
          <w:bottom w:val="single" w:sz="6" w:color="9F9BE8"/>
        </w:pBdr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26215C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Potential Funding Source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26215C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Relevance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E1F5EE"/>
          </w:tcPr>
          <w:p>
            <w:pPr>
              <w:spacing w:before="80" w:after="80"/>
            </w:pPr>
            <w:r>
              <w:rPr>
                <w:color w:val="0F6E56"/>
                <w:sz w:val="20"/>
              </w:rPr>
              <w:t>Ministère de l'Éducation du Québec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E1F5EE"/>
          </w:tcPr>
          <w:p>
            <w:pPr>
              <w:spacing w:before="80" w:after="80"/>
            </w:pPr>
            <w:r>
              <w:rPr>
                <w:color w:val="0F6E56"/>
                <w:sz w:val="20"/>
              </w:rPr>
              <w:t>Pilot innovation grants, curriculum alignment funding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color w:val="444441"/>
                <w:sz w:val="20"/>
              </w:rPr>
              <w:t>Fondation Lucie et André Chagnon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color w:val="444441"/>
                <w:sz w:val="20"/>
              </w:rPr>
              <w:t>Child development and education equity focus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E1F5EE"/>
          </w:tcPr>
          <w:p>
            <w:pPr>
              <w:spacing w:before="80" w:after="80"/>
            </w:pPr>
            <w:r>
              <w:rPr>
                <w:color w:val="0F6E56"/>
                <w:sz w:val="20"/>
              </w:rPr>
              <w:t>Centraide du Grand Montréal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E1F5EE"/>
          </w:tcPr>
          <w:p>
            <w:pPr>
              <w:spacing w:before="80" w:after="80"/>
            </w:pPr>
            <w:r>
              <w:rPr>
                <w:color w:val="0F6E56"/>
                <w:sz w:val="20"/>
              </w:rPr>
              <w:t>Disadvantaged community programs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color w:val="444441"/>
                <w:sz w:val="20"/>
              </w:rPr>
              <w:t>Federal Community Foundations (CAN)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color w:val="444441"/>
                <w:sz w:val="20"/>
              </w:rPr>
              <w:t>Innovative community education projects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E1F5EE"/>
          </w:tcPr>
          <w:p>
            <w:pPr>
              <w:spacing w:before="80" w:after="80"/>
            </w:pPr>
            <w:r>
              <w:rPr>
                <w:color w:val="0F6E56"/>
                <w:sz w:val="20"/>
              </w:rPr>
              <w:t>Corporate partnerships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E1F5EE"/>
          </w:tcPr>
          <w:p>
            <w:pPr>
              <w:spacing w:before="80" w:after="80"/>
            </w:pPr>
            <w:r>
              <w:rPr>
                <w:color w:val="0F6E56"/>
                <w:sz w:val="20"/>
              </w:rPr>
              <w:t>Tech companies for tablet hardware/software sponsorship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color w:val="444441"/>
                <w:sz w:val="20"/>
              </w:rPr>
              <w:t>Parent tablet purchase program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  <w:shd w:val="clear" w:color="auto" w:fill="FFFFFF"/>
          </w:tcPr>
          <w:p>
            <w:pPr>
              <w:spacing w:before="80" w:after="80"/>
            </w:pPr>
            <w:r>
              <w:rPr>
                <w:color w:val="444441"/>
                <w:sz w:val="20"/>
              </w:rPr>
              <w:t>Subsidized sliding-scale purchase; families keep asset for 5 years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