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26215C"/>
          <w:sz w:val="52"/>
        </w:rPr>
        <w:t>PASSION DISCOVERY STUDIO</w:t>
      </w:r>
    </w:p>
    <w:p>
      <w:pPr>
        <w:jc w:val="center"/>
      </w:pPr>
      <w:r>
        <w:rPr>
          <w:color w:val="444441"/>
          <w:sz w:val="28"/>
        </w:rPr>
        <w:t>Pilot Project for Personalized, Passion-Driven Elementary Education</w:t>
      </w:r>
    </w:p>
    <w:p>
      <w:pPr>
        <w:jc w:val="center"/>
      </w:pPr>
      <w:r>
        <w:rPr>
          <w:color w:val="444441"/>
          <w:sz w:val="28"/>
        </w:rPr>
        <w:t>in Disadvantaged Montreal Neighbourhoods</w:t>
      </w:r>
    </w:p>
    <w:p/>
    <w:tbl>
      <w:tblPr>
        <w:tblW w:type="auto" w:w="0"/>
        <w:jc w:val="left"/>
        <w:tblLook w:firstColumn="1" w:firstRow="1" w:lastColumn="0" w:lastRow="0" w:noHBand="0" w:noVBand="1" w:val="04A0"/>
      </w:tblPr>
      <w:tblGrid>
        <w:gridCol w:w="9360"/>
      </w:tblGrid>
      <w:tr>
        <w:tc>
          <w:tcPr>
            <w:tcW w:type="dxa" w:w="9360"/>
            <w:shd w:val="clear" w:color="auto" w:fill="EEEDFE"/>
          </w:tcPr>
          <w:p>
            <w:pPr>
              <w:spacing w:before="120" w:after="120"/>
              <w:ind w:left="160"/>
            </w:pPr>
            <w:r>
              <w:rPr>
                <w:color w:val="26215C"/>
                <w:sz w:val="22"/>
              </w:rPr>
              <w:t>Submitted by: Luca Urbani  |  GitHub: Fokerfeit  |  Date: May 2026</w:t>
              <w:br/>
              <w:t>Location: Montréal-Nord / Saint-Michel, Québec, Canada</w:t>
            </w:r>
          </w:p>
        </w:tc>
      </w:tr>
    </w:tbl>
    <w:p/>
    <w:p>
      <w:r>
        <w:br w:type="page"/>
      </w:r>
    </w:p>
    <w:p>
      <w:pPr>
        <w:keepNext/>
        <w:spacing w:before="320" w:after="80"/>
      </w:pPr>
      <w:r>
        <w:rPr>
          <w:b/>
          <w:color w:val="26215C"/>
          <w:sz w:val="36"/>
        </w:rPr>
        <w:t>Executive Summary</w:t>
      </w:r>
    </w:p>
    <w:p>
      <w:pPr>
        <w:spacing w:before="80" w:after="80"/>
        <w:pBdr>
          <w:bottom w:val="single" w:sz="6" w:color="9F9BE8"/>
        </w:pBdr>
      </w:pPr>
    </w:p>
    <w:p>
      <w:pPr>
        <w:spacing w:after="120"/>
      </w:pPr>
      <w:r>
        <w:rPr>
          <w:b w:val="0"/>
          <w:i w:val="0"/>
          <w:sz w:val="22"/>
        </w:rPr>
        <w:t>Passion Discovery Studio is a groundbreaking pilot program designed for one high-need elementary school in Montréal-Nord or Saint-Michel. Its core promise is non-negotiable and simple: every student will fully master the official Québec Education Program curriculum by the end of each school year. The only difference is the path.</w:t>
      </w:r>
    </w:p>
    <w:p>
      <w:pPr>
        <w:spacing w:after="120"/>
      </w:pPr>
      <w:r>
        <w:rPr>
          <w:b w:val="0"/>
          <w:i w:val="0"/>
          <w:sz w:val="22"/>
        </w:rPr>
        <w:t>Instead of forcing all children through a single rigid route, we identify each child's genuine passion at age 5–6 and use it as their personal on-ramp to the full curriculum. High-energy students — many of whom come from difficult home situations and thrive in physical activity — receive more movement, sports breaks, and outdoor time. More cerebral or high-IQ students use their breaks for the library, tablets, studio exploration, or early homework completion. Every child arrives at the same destination. The path is what changes.</w:t>
      </w:r>
    </w:p>
    <w:p>
      <w:pPr>
        <w:spacing w:after="120"/>
      </w:pPr>
      <w:r>
        <w:rPr>
          <w:b/>
          <w:i w:val="0"/>
          <w:color w:val="26215C"/>
          <w:sz w:val="22"/>
        </w:rPr>
        <w:t>This is not an experiment in lowering standards. It is a precision upgrade in how we deliver them.</w:t>
      </w:r>
    </w:p>
    <w:p>
      <w:pPr>
        <w:spacing w:before="80" w:after="80"/>
        <w:pBdr>
          <w:bottom w:val="single" w:sz="6" w:color="9F9BE8"/>
        </w:pBdr>
      </w:pPr>
    </w:p>
    <w:p>
      <w:pPr>
        <w:keepNext/>
        <w:spacing w:before="320" w:after="80"/>
      </w:pPr>
      <w:r>
        <w:rPr>
          <w:b/>
          <w:color w:val="26215C"/>
          <w:sz w:val="36"/>
        </w:rPr>
        <w:t>What Led to This Idea — The Personal Story</w:t>
      </w:r>
    </w:p>
    <w:p>
      <w:pPr>
        <w:spacing w:after="120"/>
      </w:pPr>
      <w:r>
        <w:rPr>
          <w:b w:val="0"/>
          <w:i w:val="0"/>
          <w:sz w:val="22"/>
        </w:rPr>
        <w:t>I never connected with school as a child. Subjects were forced upon me with no regard for what actually interested me, and I mentally disengaged very early. Traditional schooling felt like a system designed for someone else.</w:t>
      </w:r>
    </w:p>
    <w:p>
      <w:pPr>
        <w:spacing w:after="120"/>
      </w:pPr>
      <w:r>
        <w:rPr>
          <w:b w:val="0"/>
          <w:i w:val="0"/>
          <w:sz w:val="22"/>
        </w:rPr>
        <w:t>When my son was born — a beautiful but completely unexpected gift — I needed stability fast. I became a mechanic out of pure necessity, not passion. I dedicated myself to the Canadian Armed Forces as an Aviation Technician (RCAF), earning QL5, POM, and Level A qualifications, working in propulsion shops, engine test cells, and hazardous materials management, rising to acting Master Corporal and building lead. I won Platinum Test Force awards. I was good at it. But it was not my calling.</w:t>
      </w:r>
    </w:p>
    <w:p>
      <w:pPr>
        <w:spacing w:after="120"/>
      </w:pPr>
      <w:r>
        <w:rPr>
          <w:b w:val="0"/>
          <w:i w:val="0"/>
          <w:sz w:val="22"/>
        </w:rPr>
        <w:t>It was not until I was 34 years old that I discovered my real passions: working with metal, diamonds, and micrology. For the first time in my life, learning became effortless and electrifying. I taught myself advanced knowledge because I wanted to — not because I had to.</w:t>
      </w:r>
    </w:p>
    <w:p>
      <w:pPr>
        <w:spacing w:after="120"/>
      </w:pPr>
      <w:r>
        <w:rPr>
          <w:b w:val="0"/>
          <w:i w:val="0"/>
          <w:sz w:val="22"/>
        </w:rPr>
        <w:t>This project is a direct response to that experience. I spent decades in a system that never once asked what I cared about. I do not want any more children — especially those from low-income, high-risk neighbourhoods like the ones I know in Montréal-Nord — to lose years of irreplaceable potential the way I did.</w:t>
      </w:r>
    </w:p>
    <w:tbl>
      <w:tblPr>
        <w:tblW w:type="auto" w:w="0"/>
        <w:jc w:val="left"/>
        <w:tblLook w:firstColumn="1" w:firstRow="1" w:lastColumn="0" w:lastRow="0" w:noHBand="0" w:noVBand="1" w:val="04A0"/>
      </w:tblPr>
      <w:tblGrid>
        <w:gridCol w:w="9360"/>
      </w:tblGrid>
      <w:tr>
        <w:tc>
          <w:tcPr>
            <w:tcW w:type="dxa" w:w="9360"/>
            <w:shd w:val="clear" w:color="auto" w:fill="EEEDFE"/>
          </w:tcPr>
          <w:p>
            <w:pPr>
              <w:spacing w:before="120" w:after="120"/>
              <w:ind w:left="160"/>
            </w:pPr>
            <w:r>
              <w:rPr>
                <w:color w:val="26215C"/>
                <w:sz w:val="22"/>
              </w:rPr>
              <w:t>"The spark was always there. The school just never looked for it. This program will."</w:t>
            </w:r>
          </w:p>
        </w:tc>
      </w:tr>
    </w:tbl>
    <w:p/>
    <w:p>
      <w:pPr>
        <w:keepNext/>
        <w:spacing w:before="320" w:after="80"/>
      </w:pPr>
      <w:r>
        <w:rPr>
          <w:b/>
          <w:color w:val="26215C"/>
          <w:sz w:val="36"/>
        </w:rPr>
        <w:t>The Problem We Are Solving</w:t>
      </w:r>
    </w:p>
    <w:p>
      <w:pPr>
        <w:spacing w:before="80" w:after="80"/>
        <w:pBdr>
          <w:bottom w:val="single" w:sz="6" w:color="9F9BE8"/>
        </w:pBdr>
      </w:pPr>
    </w:p>
    <w:p>
      <w:pPr>
        <w:spacing w:after="120"/>
      </w:pPr>
      <w:r>
        <w:rPr>
          <w:b w:val="0"/>
          <w:i w:val="0"/>
          <w:sz w:val="22"/>
        </w:rPr>
        <w:t>In many disadvantaged neighbourhoods across Montréal, children begin to disengage from school between ages 5 and 7. By the time they reach secondary school, a significant number have already mentally checked out — not because they lack intelligence or potential, but because nothing in the classroom has ever connected to who they actually are.</w:t>
      </w:r>
    </w:p>
    <w:p>
      <w:pPr>
        <w:spacing w:after="120"/>
      </w:pPr>
      <w:r>
        <w:rPr>
          <w:b w:val="0"/>
          <w:i w:val="0"/>
          <w:sz w:val="22"/>
        </w:rPr>
        <w:t>This early disengagement creates a predictable and tragic cascade:</w:t>
      </w:r>
    </w:p>
    <w:p>
      <w:pPr>
        <w:pStyle w:val="ListBullet"/>
        <w:spacing w:after="60"/>
      </w:pPr>
      <w:r>
        <w:rPr>
          <w:color w:val="444441"/>
          <w:sz w:val="22"/>
        </w:rPr>
        <w:t>Lower academic performance and confidence</w:t>
      </w:r>
    </w:p>
    <w:p>
      <w:pPr>
        <w:pStyle w:val="ListBullet"/>
        <w:spacing w:after="60"/>
      </w:pPr>
      <w:r>
        <w:rPr>
          <w:color w:val="444441"/>
          <w:sz w:val="22"/>
        </w:rPr>
        <w:t>Higher dropout rates at the secondary level</w:t>
      </w:r>
    </w:p>
    <w:p>
      <w:pPr>
        <w:pStyle w:val="ListBullet"/>
        <w:spacing w:after="60"/>
      </w:pPr>
      <w:r>
        <w:rPr>
          <w:color w:val="444441"/>
          <w:sz w:val="22"/>
        </w:rPr>
        <w:t>Greater exposure to risk factors including criminalization</w:t>
      </w:r>
    </w:p>
    <w:p>
      <w:pPr>
        <w:pStyle w:val="ListBullet"/>
        <w:spacing w:after="60"/>
      </w:pPr>
      <w:r>
        <w:rPr>
          <w:color w:val="444441"/>
          <w:sz w:val="22"/>
        </w:rPr>
        <w:t>A cycle of disengagement that repeats across generations</w:t>
      </w:r>
    </w:p>
    <w:p>
      <w:pPr>
        <w:spacing w:after="120"/>
      </w:pPr>
      <w:r>
        <w:rPr>
          <w:b w:val="0"/>
          <w:i w:val="0"/>
          <w:sz w:val="22"/>
        </w:rPr>
        <w:t>In tough neighbourhoods, we also see a specific pattern: many children — especially boys — have very high physical energy, often because being outside is their escape from chaotic or difficult home situations. These children are not a problem. They are kids with unmet needs. The current system treats their energy as a behaviour issue. This program treats it as information.</w:t>
      </w:r>
    </w:p>
    <w:p/>
    <w:p>
      <w:pPr>
        <w:keepNext/>
        <w:spacing w:before="320" w:after="80"/>
      </w:pPr>
      <w:r>
        <w:rPr>
          <w:b/>
          <w:color w:val="26215C"/>
          <w:sz w:val="36"/>
        </w:rPr>
        <w:t>Core Components of the Program</w:t>
      </w:r>
    </w:p>
    <w:p>
      <w:pPr>
        <w:spacing w:before="80" w:after="80"/>
        <w:pBdr>
          <w:bottom w:val="single" w:sz="6" w:color="9F9BE8"/>
        </w:pBdr>
      </w:pPr>
    </w:p>
    <w:p>
      <w:pPr>
        <w:spacing w:before="200" w:after="80"/>
      </w:pPr>
      <w:r>
        <w:rPr>
          <w:b/>
          <w:color w:val="0F6E56"/>
          <w:sz w:val="28"/>
        </w:rPr>
        <w:t>1. The Passion Discovery Studio</w:t>
      </w:r>
    </w:p>
    <w:p>
      <w:pPr>
        <w:spacing w:after="120"/>
      </w:pPr>
      <w:r>
        <w:rPr>
          <w:b w:val="0"/>
          <w:i w:val="0"/>
          <w:sz w:val="22"/>
        </w:rPr>
        <w:t>A hands-on discovery experience run immediately after kindergarten, in summer sessions of 15–20 minutes per child (1–2 children at a time). Seven stations allow children to explore and identify what genuinely excites them:</w:t>
      </w:r>
    </w:p>
    <w:p>
      <w:pPr>
        <w:pStyle w:val="ListBullet"/>
        <w:spacing w:after="60"/>
      </w:pPr>
      <w:r>
        <w:rPr>
          <w:color w:val="0F6E56"/>
          <w:sz w:val="22"/>
        </w:rPr>
        <w:t>Metal &amp; tools — hands-on material science and basic mechanics</w:t>
      </w:r>
    </w:p>
    <w:p>
      <w:pPr>
        <w:pStyle w:val="ListBullet"/>
        <w:spacing w:after="60"/>
      </w:pPr>
      <w:r>
        <w:rPr>
          <w:color w:val="0F6E56"/>
          <w:sz w:val="22"/>
        </w:rPr>
        <w:t>Jewelry &amp; diamonds — precision, beauty, gemology fundamentals</w:t>
      </w:r>
    </w:p>
    <w:p>
      <w:pPr>
        <w:pStyle w:val="ListBullet"/>
        <w:spacing w:after="60"/>
      </w:pPr>
      <w:r>
        <w:rPr>
          <w:color w:val="0F6E56"/>
          <w:sz w:val="22"/>
        </w:rPr>
        <w:t>Microscope / micrology — the invisible world, science curiosity</w:t>
      </w:r>
    </w:p>
    <w:p>
      <w:pPr>
        <w:pStyle w:val="ListBullet"/>
        <w:spacing w:after="60"/>
      </w:pPr>
      <w:r>
        <w:rPr>
          <w:color w:val="0F6E56"/>
          <w:sz w:val="22"/>
        </w:rPr>
        <w:t>Water physics — forces, flow, fluid dynamics through play</w:t>
      </w:r>
    </w:p>
    <w:p>
      <w:pPr>
        <w:pStyle w:val="ListBullet"/>
        <w:spacing w:after="60"/>
      </w:pPr>
      <w:r>
        <w:rPr>
          <w:color w:val="0F6E56"/>
          <w:sz w:val="22"/>
        </w:rPr>
        <w:t>Construction — Lego, gears, structural thinking and engineering</w:t>
      </w:r>
    </w:p>
    <w:p>
      <w:pPr>
        <w:pStyle w:val="ListBullet"/>
        <w:spacing w:after="60"/>
      </w:pPr>
      <w:r>
        <w:rPr>
          <w:color w:val="0F6E56"/>
          <w:sz w:val="22"/>
        </w:rPr>
        <w:t>Nature — ecosystems, biology, outdoor observation</w:t>
      </w:r>
    </w:p>
    <w:p>
      <w:pPr>
        <w:pStyle w:val="ListBullet"/>
        <w:spacing w:after="60"/>
      </w:pPr>
      <w:r>
        <w:rPr>
          <w:color w:val="0F6E56"/>
          <w:sz w:val="22"/>
        </w:rPr>
        <w:t>Art &amp; creation — visual expression, design, storytelling</w:t>
      </w:r>
    </w:p>
    <w:p>
      <w:pPr>
        <w:spacing w:after="120"/>
      </w:pPr>
      <w:r>
        <w:rPr>
          <w:b w:val="0"/>
          <w:i w:val="0"/>
          <w:sz w:val="22"/>
        </w:rPr>
        <w:t>Critically, the Studio does not close after summer. It remains open throughout the school year, run by trained volunteers, so that children can return during breaks to go deeper into whatever captured their imagination. Teachers supervise outdoor activity areas during breaks; volunteers staff the Studio. This division of supervision is deliberate and practical.</w:t>
      </w:r>
    </w:p>
    <w:p>
      <w:pPr>
        <w:spacing w:before="200" w:after="80"/>
      </w:pPr>
      <w:r>
        <w:rPr>
          <w:b/>
          <w:color w:val="0F6E56"/>
          <w:sz w:val="28"/>
        </w:rPr>
        <w:t>2. Personalized Learning Paths</w:t>
      </w:r>
    </w:p>
    <w:p>
      <w:pPr>
        <w:spacing w:after="120"/>
      </w:pPr>
      <w:r>
        <w:rPr>
          <w:b w:val="0"/>
          <w:i w:val="0"/>
          <w:sz w:val="22"/>
        </w:rPr>
        <w:t>In a single classroom, 7–8 different learning paths run simultaneously. Every path leads to the same curriculum destination. Each path uses the student's identified passion as the context for learning mathematics, French, science, arts, and all other required subjects.</w:t>
      </w:r>
    </w:p>
    <w:p>
      <w:pPr>
        <w:spacing w:after="120"/>
      </w:pPr>
      <w:r>
        <w:rPr>
          <w:b w:val="0"/>
          <w:i w:val="0"/>
          <w:sz w:val="22"/>
        </w:rPr>
        <w:t>Differentiated break structure respects individual needs:</w:t>
      </w:r>
    </w:p>
    <w:p>
      <w:pPr>
        <w:pStyle w:val="ListBullet"/>
        <w:spacing w:after="60"/>
      </w:pPr>
      <w:r>
        <w:rPr>
          <w:color w:val="444441"/>
          <w:sz w:val="22"/>
        </w:rPr>
        <w:t>High-energy students receive more frequent and longer physical activity breaks, outdoor sports time, and movement-based learning opportunities</w:t>
      </w:r>
    </w:p>
    <w:p>
      <w:pPr>
        <w:pStyle w:val="ListBullet"/>
        <w:spacing w:after="60"/>
      </w:pPr>
      <w:r>
        <w:rPr>
          <w:color w:val="444441"/>
          <w:sz w:val="22"/>
        </w:rPr>
        <w:t>High-IQ or cerebral students can use break time for library access, tablet-based exploration, peer discussion, early homework completion, or returning to the Passion Studio</w:t>
      </w:r>
    </w:p>
    <w:p>
      <w:pPr>
        <w:pStyle w:val="ListBullet"/>
        <w:spacing w:after="60"/>
      </w:pPr>
      <w:r>
        <w:rPr>
          <w:color w:val="444441"/>
          <w:sz w:val="22"/>
        </w:rPr>
        <w:t>This means high-energy students return to class physically settled and able to focus; cerebral students arrive with less homework pressure and greater intrinsic motivation</w:t>
      </w:r>
    </w:p>
    <w:p>
      <w:pPr>
        <w:spacing w:before="200" w:after="80"/>
      </w:pPr>
      <w:r>
        <w:rPr>
          <w:b/>
          <w:color w:val="0F6E56"/>
          <w:sz w:val="28"/>
        </w:rPr>
        <w:t>3. The Tablet Program</w:t>
      </w:r>
    </w:p>
    <w:p>
      <w:pPr>
        <w:spacing w:after="120"/>
      </w:pPr>
      <w:r>
        <w:rPr>
          <w:b w:val="0"/>
          <w:i w:val="0"/>
          <w:sz w:val="22"/>
        </w:rPr>
        <w:t>Every student will use a basic, locked-down educational tablet — modelled on the minimal-function devices used successfully in ultra-Orthodox Jewish communities for focused learning. The tablet performs only the educational functions required: curriculum modules, visual learning games, and teacher-assigned tasks. No social media. No open internet. No distractions.</w:t>
      </w:r>
    </w:p>
    <w:p>
      <w:pPr>
        <w:spacing w:after="120"/>
      </w:pPr>
      <w:r>
        <w:rPr>
          <w:b w:val="0"/>
          <w:i w:val="0"/>
          <w:sz w:val="22"/>
        </w:rPr>
        <w:t>Each student keeps the same tablet for all five years of primary school. This builds digital familiarity and responsibility while preparing students for an increasingly digital world — on controlled, age-appropriate terms.</w:t>
      </w:r>
    </w:p>
    <w:p>
      <w:pPr>
        <w:spacing w:after="120"/>
      </w:pPr>
      <w:r>
        <w:rPr>
          <w:b w:val="0"/>
          <w:i w:val="0"/>
          <w:sz w:val="22"/>
        </w:rPr>
        <w:t>Learning delivery is primarily visual and game-based, inspired by the engagement design of platforms like Lumosity: curriculum content is embedded in interactive, game-like modules that make learning feel rewarding rather than obligatory.</w:t>
      </w:r>
    </w:p>
    <w:p>
      <w:pPr>
        <w:spacing w:before="200" w:after="80"/>
      </w:pPr>
      <w:r>
        <w:rPr>
          <w:b/>
          <w:color w:val="0F6E56"/>
          <w:sz w:val="28"/>
        </w:rPr>
        <w:t>4. The Evolved Teacher Role</w:t>
      </w:r>
    </w:p>
    <w:p>
      <w:pPr>
        <w:spacing w:after="120"/>
      </w:pPr>
      <w:r>
        <w:rPr>
          <w:b w:val="0"/>
          <w:i w:val="0"/>
          <w:sz w:val="22"/>
        </w:rPr>
        <w:t>Teachers remain absolutely essential — but their role evolves. In this model:</w:t>
      </w:r>
    </w:p>
    <w:p>
      <w:pPr>
        <w:pStyle w:val="ListBullet"/>
        <w:spacing w:after="60"/>
      </w:pPr>
      <w:r>
        <w:rPr>
          <w:color w:val="444441"/>
          <w:sz w:val="22"/>
        </w:rPr>
        <w:t>60% of teacher time: coaching, differentiated support, IT facilitation, path monitoring, and individual student guidance</w:t>
      </w:r>
    </w:p>
    <w:p>
      <w:pPr>
        <w:pStyle w:val="ListBullet"/>
        <w:spacing w:after="60"/>
      </w:pPr>
      <w:r>
        <w:rPr>
          <w:color w:val="444441"/>
          <w:sz w:val="22"/>
        </w:rPr>
        <w:t>40% of teacher time: direct instruction for whole-class content delivery, concept introduction, and curriculum anchoring</w:t>
      </w:r>
    </w:p>
    <w:p>
      <w:pPr>
        <w:spacing w:after="120"/>
      </w:pPr>
      <w:r>
        <w:rPr>
          <w:b w:val="0"/>
          <w:i w:val="0"/>
          <w:sz w:val="22"/>
        </w:rPr>
        <w:t>This shift is not a reduction in teaching — it is an expansion of teaching effectiveness. Teachers become skilled facilitators rather than performers for a single reluctant audience.</w:t>
      </w:r>
    </w:p>
    <w:p>
      <w:pPr>
        <w:spacing w:before="200" w:after="80"/>
      </w:pPr>
      <w:r>
        <w:rPr>
          <w:b/>
          <w:color w:val="0F6E56"/>
          <w:sz w:val="28"/>
        </w:rPr>
        <w:t>5. Continuous AI-Driven Improvement</w:t>
      </w:r>
    </w:p>
    <w:p>
      <w:pPr>
        <w:spacing w:after="120"/>
      </w:pPr>
      <w:r>
        <w:rPr>
          <w:b w:val="0"/>
          <w:i w:val="0"/>
          <w:sz w:val="22"/>
        </w:rPr>
        <w:t>This is an evolving, evidence-based program. Before rollout and throughout operation, we will run AI-powered simulations using real data from the Ministère de l'Éducation du Québec to:</w:t>
      </w:r>
    </w:p>
    <w:p>
      <w:pPr>
        <w:pStyle w:val="ListBullet"/>
        <w:spacing w:after="60"/>
      </w:pPr>
      <w:r>
        <w:rPr>
          <w:color w:val="444441"/>
          <w:sz w:val="22"/>
        </w:rPr>
        <w:t>Model student engagement and curriculum coverage across different path designs</w:t>
      </w:r>
    </w:p>
    <w:p>
      <w:pPr>
        <w:pStyle w:val="ListBullet"/>
        <w:spacing w:after="60"/>
      </w:pPr>
      <w:r>
        <w:rPr>
          <w:color w:val="444441"/>
          <w:sz w:val="22"/>
        </w:rPr>
        <w:t>Debate and stress-test assumptions with scenario analysis</w:t>
      </w:r>
    </w:p>
    <w:p>
      <w:pPr>
        <w:pStyle w:val="ListBullet"/>
        <w:spacing w:after="60"/>
      </w:pPr>
      <w:r>
        <w:rPr>
          <w:color w:val="444441"/>
          <w:sz w:val="22"/>
        </w:rPr>
        <w:t>Fine-tune path structures, break schedules, and resource allocations</w:t>
      </w:r>
    </w:p>
    <w:p>
      <w:pPr>
        <w:pStyle w:val="ListBullet"/>
        <w:spacing w:after="60"/>
      </w:pPr>
      <w:r>
        <w:rPr>
          <w:color w:val="444441"/>
          <w:sz w:val="22"/>
        </w:rPr>
        <w:t>Generate continuous improvement cycles based on observed outcomes</w:t>
      </w:r>
    </w:p>
    <w:p>
      <w:pPr>
        <w:spacing w:after="120"/>
      </w:pPr>
      <w:r>
        <w:rPr>
          <w:b w:val="0"/>
          <w:i w:val="0"/>
          <w:sz w:val="22"/>
        </w:rPr>
        <w:t>My background in aviation diagnostics, engine test cells, and high-stakes performance optimization under variable conditions directly informs this approach. You identify the problem precisely, test rigorously, and optimize continuously. Education is no different.</w:t>
      </w:r>
    </w:p>
    <w:p/>
    <w:p>
      <w:pPr>
        <w:keepNext/>
        <w:spacing w:before="320" w:after="80"/>
      </w:pPr>
      <w:r>
        <w:rPr>
          <w:b/>
          <w:color w:val="26215C"/>
          <w:sz w:val="36"/>
        </w:rPr>
        <w:t>Expected Benefits</w:t>
      </w:r>
    </w:p>
    <w:p>
      <w:pPr>
        <w:spacing w:before="80" w:after="80"/>
        <w:pBdr>
          <w:bottom w:val="single" w:sz="6" w:color="9F9BE8"/>
        </w:pBdr>
      </w:pPr>
    </w:p>
    <w:p>
      <w:pPr>
        <w:spacing w:after="80"/>
      </w:pPr>
      <w:r>
        <w:rPr>
          <w:b/>
          <w:color w:val="0F6E56"/>
          <w:sz w:val="22"/>
        </w:rPr>
        <w:t xml:space="preserve">Higher engagement and motivation: </w:t>
      </w:r>
      <w:r>
        <w:rPr>
          <w:color w:val="444441"/>
          <w:sz w:val="22"/>
        </w:rPr>
        <w:t>Children stay curious and invested from age 5–6, preventing the early disengagement that predicts dropout.</w:t>
      </w:r>
    </w:p>
    <w:p>
      <w:pPr>
        <w:spacing w:after="80"/>
      </w:pPr>
      <w:r>
        <w:rPr>
          <w:b/>
          <w:color w:val="0F6E56"/>
          <w:sz w:val="22"/>
        </w:rPr>
        <w:t xml:space="preserve">Full curriculum mastery guaranteed: </w:t>
      </w:r>
      <w:r>
        <w:rPr>
          <w:color w:val="444441"/>
          <w:sz w:val="22"/>
        </w:rPr>
        <w:t>Every student meets official Québec Education Program standards — different path, same rigorous destination.</w:t>
      </w:r>
    </w:p>
    <w:p>
      <w:pPr>
        <w:spacing w:after="80"/>
      </w:pPr>
      <w:r>
        <w:rPr>
          <w:b/>
          <w:color w:val="0F6E56"/>
          <w:sz w:val="22"/>
        </w:rPr>
        <w:t xml:space="preserve">Respect for diverse learning needs: </w:t>
      </w:r>
      <w:r>
        <w:rPr>
          <w:color w:val="444441"/>
          <w:sz w:val="22"/>
        </w:rPr>
        <w:t>High-energy kids get movement. Cerebral kids get depth. Nobody is forced into a single ill-fitting mould.</w:t>
      </w:r>
    </w:p>
    <w:p>
      <w:pPr>
        <w:spacing w:after="80"/>
      </w:pPr>
      <w:r>
        <w:rPr>
          <w:b/>
          <w:color w:val="0F6E56"/>
          <w:sz w:val="22"/>
        </w:rPr>
        <w:t xml:space="preserve">Digital readiness: </w:t>
      </w:r>
      <w:r>
        <w:rPr>
          <w:color w:val="444441"/>
          <w:sz w:val="22"/>
        </w:rPr>
        <w:t>Controlled tablet use builds genuine digital literacy without the risks of open, unstructured internet access.</w:t>
      </w:r>
    </w:p>
    <w:p>
      <w:pPr>
        <w:spacing w:after="80"/>
      </w:pPr>
      <w:r>
        <w:rPr>
          <w:b/>
          <w:color w:val="0F6E56"/>
          <w:sz w:val="22"/>
        </w:rPr>
        <w:t xml:space="preserve">Teacher sustainability: </w:t>
      </w:r>
      <w:r>
        <w:rPr>
          <w:color w:val="444441"/>
          <w:sz w:val="22"/>
        </w:rPr>
        <w:t>A evolved role that leverages teachers' strengths as coaches rather than burning them out as performers.</w:t>
      </w:r>
    </w:p>
    <w:p>
      <w:pPr>
        <w:spacing w:after="80"/>
      </w:pPr>
      <w:r>
        <w:rPr>
          <w:b/>
          <w:color w:val="0F6E56"/>
          <w:sz w:val="22"/>
        </w:rPr>
        <w:t xml:space="preserve">Scalable equity: </w:t>
      </w:r>
      <w:r>
        <w:rPr>
          <w:color w:val="444441"/>
          <w:sz w:val="22"/>
        </w:rPr>
        <w:t>A data-proven pilot in Montréal-Nord becomes the template for province-wide public school reform.</w:t>
      </w:r>
    </w:p>
    <w:p>
      <w:pPr>
        <w:spacing w:after="80"/>
      </w:pPr>
      <w:r>
        <w:rPr>
          <w:b/>
          <w:color w:val="0F6E56"/>
          <w:sz w:val="22"/>
        </w:rPr>
        <w:t xml:space="preserve">Community strength integration: </w:t>
      </w:r>
      <w:r>
        <w:rPr>
          <w:color w:val="444441"/>
          <w:sz w:val="22"/>
        </w:rPr>
        <w:t>In tough neighbourhoods, sports culture and physical energy are assets, not problems. This program uses them.</w:t>
      </w:r>
    </w:p>
    <w:p>
      <w:pPr>
        <w:keepNext/>
        <w:spacing w:before="320" w:after="80"/>
      </w:pPr>
      <w:r>
        <w:rPr>
          <w:b/>
          <w:color w:val="26215C"/>
          <w:sz w:val="36"/>
        </w:rPr>
        <w:t>Acknowledged Challenges and Mitigations</w:t>
      </w:r>
    </w:p>
    <w:p>
      <w:pPr>
        <w:spacing w:before="80" w:after="80"/>
        <w:pBdr>
          <w:bottom w:val="single" w:sz="6" w:color="9F9BE8"/>
        </w:pBdr>
      </w:pPr>
    </w:p>
    <w:p>
      <w:pPr>
        <w:spacing w:after="80"/>
      </w:pPr>
      <w:r>
        <w:rPr>
          <w:b/>
          <w:color w:val="993C1D"/>
          <w:sz w:val="22"/>
        </w:rPr>
        <w:t xml:space="preserve">Tablet acquisition cost: </w:t>
      </w:r>
      <w:r>
        <w:rPr>
          <w:color w:val="444441"/>
          <w:sz w:val="22"/>
        </w:rPr>
        <w:t>Subsidized purchase programs, government partnerships, and a community fundraising model will be developed. Sliding-scale pricing ensures low-income families are not excluded.</w:t>
      </w:r>
    </w:p>
    <w:p>
      <w:pPr>
        <w:spacing w:after="80"/>
      </w:pPr>
      <w:r>
        <w:rPr>
          <w:b/>
          <w:color w:val="993C1D"/>
          <w:sz w:val="22"/>
        </w:rPr>
        <w:t xml:space="preserve">Teacher training and mindset shift: </w:t>
      </w:r>
      <w:r>
        <w:rPr>
          <w:color w:val="444441"/>
          <w:sz w:val="22"/>
        </w:rPr>
        <w:t>Phased onboarding, structured professional development, and peer coaching networks. Teachers become champions of the model, not reluctant recipients of it.</w:t>
      </w:r>
    </w:p>
    <w:p>
      <w:pPr>
        <w:spacing w:after="80"/>
      </w:pPr>
      <w:r>
        <w:rPr>
          <w:b/>
          <w:color w:val="993C1D"/>
          <w:sz w:val="22"/>
        </w:rPr>
        <w:t xml:space="preserve">Multi-path classroom logistics: </w:t>
      </w:r>
      <w:r>
        <w:rPr>
          <w:color w:val="444441"/>
          <w:sz w:val="22"/>
        </w:rPr>
        <w:t>AI scheduling tools and Ministry data simulations will optimize path assignments, break schedules, and resource allocation before pilot launch.</w:t>
      </w:r>
    </w:p>
    <w:p>
      <w:pPr>
        <w:spacing w:after="80"/>
      </w:pPr>
      <w:r>
        <w:rPr>
          <w:b/>
          <w:color w:val="993C1D"/>
          <w:sz w:val="22"/>
        </w:rPr>
        <w:t xml:space="preserve">Assessment and curriculum parity: </w:t>
      </w:r>
      <w:r>
        <w:rPr>
          <w:color w:val="444441"/>
          <w:sz w:val="22"/>
        </w:rPr>
        <w:t>Standardized year-end benchmarks shared across all paths ensure rigorous, measurable outcomes regardless of which path a student followed.</w:t>
      </w:r>
    </w:p>
    <w:p>
      <w:pPr>
        <w:spacing w:after="80"/>
      </w:pPr>
      <w:r>
        <w:rPr>
          <w:b/>
          <w:color w:val="993C1D"/>
          <w:sz w:val="22"/>
        </w:rPr>
        <w:t xml:space="preserve">Community and parental buy-in: </w:t>
      </w:r>
      <w:r>
        <w:rPr>
          <w:color w:val="444441"/>
          <w:sz w:val="22"/>
        </w:rPr>
        <w:t>Transparent communication, parent information sessions, and visible early results build trust progressively.</w:t>
      </w:r>
    </w:p>
    <w:p>
      <w:pPr>
        <w:spacing w:after="80"/>
      </w:pPr>
      <w:r>
        <w:rPr>
          <w:b/>
          <w:color w:val="993C1D"/>
          <w:sz w:val="22"/>
        </w:rPr>
        <w:t xml:space="preserve">Technology resistance or over-reliance: </w:t>
      </w:r>
      <w:r>
        <w:rPr>
          <w:color w:val="444441"/>
          <w:sz w:val="22"/>
        </w:rPr>
        <w:t>Locked-down, single-purpose devices with teacher-controlled access prevent over-reliance. Results speak before scaling.</w:t>
      </w:r>
    </w:p>
    <w:p>
      <w:pPr>
        <w:keepNext/>
        <w:spacing w:before="320" w:after="80"/>
      </w:pPr>
      <w:r>
        <w:rPr>
          <w:b/>
          <w:color w:val="26215C"/>
          <w:sz w:val="36"/>
        </w:rPr>
        <w:t>Objective: From Pilot to Province-Wide Reform</w:t>
      </w:r>
    </w:p>
    <w:p>
      <w:pPr>
        <w:spacing w:before="80" w:after="80"/>
        <w:pBdr>
          <w:bottom w:val="single" w:sz="6" w:color="9F9BE8"/>
        </w:pBdr>
      </w:pPr>
    </w:p>
    <w:p>
      <w:pPr>
        <w:spacing w:after="120"/>
      </w:pPr>
      <w:r>
        <w:rPr>
          <w:b w:val="0"/>
          <w:i w:val="0"/>
          <w:sz w:val="22"/>
        </w:rPr>
        <w:t>This project is explicitly designed to scale. Phase 1 proves the concept in one school. Every design decision — the tablet infrastructure, the path framework, the teacher training model, the Studio structure, the AI simulation toolkit — is built for replication.</w:t>
      </w:r>
    </w:p>
    <w:p>
      <w:pPr>
        <w:spacing w:after="120"/>
      </w:pPr>
      <w:r>
        <w:rPr>
          <w:b w:val="0"/>
          <w:i w:val="0"/>
          <w:sz w:val="22"/>
        </w:rPr>
        <w:t>The scaling roadmap:</w:t>
      </w:r>
    </w:p>
    <w:p>
      <w:pPr>
        <w:pStyle w:val="ListBullet"/>
        <w:spacing w:after="60"/>
      </w:pPr>
      <w:r>
        <w:rPr>
          <w:color w:val="444441"/>
          <w:sz w:val="22"/>
        </w:rPr>
        <w:t>Phase 1: One pilot school in Montréal-Nord or Saint-Michel — full model implementation, rigorous data collection</w:t>
      </w:r>
    </w:p>
    <w:p>
      <w:pPr>
        <w:pStyle w:val="ListBullet"/>
        <w:spacing w:after="60"/>
      </w:pPr>
      <w:r>
        <w:rPr>
          <w:color w:val="444441"/>
          <w:sz w:val="22"/>
        </w:rPr>
        <w:t>Phase 2: Expansion to 3–5 schools across disadvantaged Montréal neighbourhoods — refinement based on pilot data</w:t>
      </w:r>
    </w:p>
    <w:p>
      <w:pPr>
        <w:pStyle w:val="ListBullet"/>
        <w:spacing w:after="60"/>
      </w:pPr>
      <w:r>
        <w:rPr>
          <w:color w:val="444441"/>
          <w:sz w:val="22"/>
        </w:rPr>
        <w:t>Phase 3: Province-wide rollout across Québec public schools — a new standard for personalized elementary education</w:t>
      </w:r>
    </w:p>
    <w:p>
      <w:pPr>
        <w:spacing w:after="120"/>
      </w:pPr>
      <w:r>
        <w:rPr>
          <w:b w:val="0"/>
          <w:i w:val="0"/>
          <w:sz w:val="22"/>
        </w:rPr>
        <w:t>The goal is not to create a special school. The goal is to prove a better way — and then make it the default for every child in Québec's public system.</w:t>
      </w:r>
    </w:p>
    <w:p>
      <w:pPr>
        <w:keepNext/>
        <w:spacing w:before="320" w:after="80"/>
      </w:pPr>
      <w:r>
        <w:rPr>
          <w:b/>
          <w:color w:val="26215C"/>
          <w:sz w:val="36"/>
        </w:rPr>
        <w:t>Budget — Phase 1</w:t>
      </w:r>
    </w:p>
    <w:p>
      <w:pPr>
        <w:spacing w:before="80" w:after="80"/>
        <w:pBdr>
          <w:bottom w:val="single" w:sz="6" w:color="9F9BE8"/>
        </w:pBdr>
      </w:pPr>
    </w:p>
    <w:tbl>
      <w:tblPr>
        <w:tblW w:type="auto" w:w="0"/>
        <w:jc w:val="left"/>
        <w:tblLook w:firstColumn="1" w:firstRow="1" w:lastColumn="0" w:lastRow="0" w:noHBand="0" w:noVBand="1" w:val="04A0"/>
      </w:tblPr>
      <w:tblGrid>
        <w:gridCol w:w="9360"/>
      </w:tblGrid>
      <w:tr>
        <w:tc>
          <w:tcPr>
            <w:tcW w:type="dxa" w:w="9360"/>
            <w:shd w:val="clear" w:color="auto" w:fill="FAEEDA"/>
          </w:tcPr>
          <w:p>
            <w:pPr>
              <w:spacing w:before="120" w:after="120"/>
              <w:ind w:left="160"/>
            </w:pPr>
            <w:r>
              <w:rPr>
                <w:color w:val="412402"/>
                <w:sz w:val="22"/>
              </w:rPr>
              <w:t>Phase 1 Total Budget: $30,000 – $40,000 CAD</w:t>
              <w:br/>
              <w:t>See the accompanying Budget Breakdown document for full line-item detail.</w:t>
            </w:r>
          </w:p>
        </w:tc>
      </w:tr>
    </w:tbl>
    <w:p/>
    <w:p>
      <w:pPr>
        <w:keepNext/>
        <w:spacing w:before="320" w:after="80"/>
      </w:pPr>
      <w:r>
        <w:rPr>
          <w:b/>
          <w:color w:val="26215C"/>
          <w:sz w:val="36"/>
        </w:rPr>
        <w:t>Call to Action</w:t>
      </w:r>
    </w:p>
    <w:p>
      <w:pPr>
        <w:spacing w:before="80" w:after="80"/>
        <w:pBdr>
          <w:bottom w:val="single" w:sz="6" w:color="9F9BE8"/>
        </w:pBdr>
      </w:pPr>
    </w:p>
    <w:p>
      <w:pPr>
        <w:spacing w:after="120"/>
      </w:pPr>
      <w:r>
        <w:rPr>
          <w:b w:val="0"/>
          <w:i w:val="0"/>
          <w:sz w:val="22"/>
        </w:rPr>
        <w:t>I am ready to present this project in a 15-minute session to any interested funders, school board officials, Ministry representatives, or community partners. The research is done. The model is designed. The personal conviction is absolute.</w:t>
      </w:r>
    </w:p>
    <w:tbl>
      <w:tblPr>
        <w:tblW w:type="auto" w:w="0"/>
        <w:jc w:val="left"/>
        <w:tblLook w:firstColumn="1" w:firstRow="1" w:lastColumn="0" w:lastRow="0" w:noHBand="0" w:noVBand="1" w:val="04A0"/>
      </w:tblPr>
      <w:tblGrid>
        <w:gridCol w:w="9360"/>
      </w:tblGrid>
      <w:tr>
        <w:tc>
          <w:tcPr>
            <w:tcW w:type="dxa" w:w="9360"/>
            <w:shd w:val="clear" w:color="auto" w:fill="EEEDFE"/>
          </w:tcPr>
          <w:p>
            <w:pPr>
              <w:spacing w:before="120" w:after="120"/>
              <w:ind w:left="160"/>
            </w:pPr>
            <w:r>
              <w:rPr>
                <w:color w:val="26215C"/>
                <w:sz w:val="22"/>
              </w:rPr>
              <w:t>"Every child deserves the chance I never had: to discover what truly drives them, and let that fuel their entire education. This program gives them that chance."</w:t>
            </w:r>
          </w:p>
        </w:tc>
      </w:tr>
    </w:tbl>
    <w:p/>
    <w:p>
      <w:pPr>
        <w:spacing w:after="120"/>
      </w:pPr>
      <w:r>
        <w:rPr>
          <w:b w:val="0"/>
          <w:i/>
          <w:color w:val="444441"/>
          <w:sz w:val="22"/>
        </w:rPr>
        <w:t>Contact: Luca Urbani  |  GitHub: Fokerfeit  |  Montréal, Québec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