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lang w:val="ru-RU"/>
        </w:rPr>
      </w:pPr>
      <w:r>
        <w:rPr>
          <w:b/>
          <w:bCs/>
          <w:sz w:val="44"/>
          <w:szCs w:val="44"/>
          <w:lang w:val="ru-RU"/>
        </w:rPr>
        <w:t>Пояснительная записка</w:t>
        <w:br/>
      </w:r>
      <w:r>
        <w:rPr>
          <w:sz w:val="32"/>
          <w:szCs w:val="32"/>
          <w:lang w:val="ru-RU"/>
        </w:rPr>
        <w:t>к модели прогнозирования выработки ветроэлектростанции</w:t>
      </w:r>
    </w:p>
    <w:p>
      <w:pPr>
        <w:pStyle w:val="Normal"/>
        <w:jc w:val="center"/>
        <w:rPr>
          <w:lang w:val="ru-RU"/>
        </w:rPr>
      </w:pPr>
      <w:r>
        <w:rPr>
          <w:sz w:val="20"/>
          <w:szCs w:val="20"/>
          <w:lang w:val="ru-RU"/>
        </w:rPr>
        <w:t>“</w:t>
      </w:r>
      <w:r>
        <w:rPr>
          <w:sz w:val="20"/>
          <w:szCs w:val="20"/>
          <w:lang w:val="ru-RU"/>
        </w:rPr>
        <w:t>Дикие Дики”</w:t>
        <w:br/>
        <w:t>Хакатон АРВЭ</w:t>
        <w:br/>
        <w:t>май 2026</w:t>
      </w:r>
    </w:p>
    <w:tbl>
      <w:tblPr>
        <w:tblStyle w:val="a"/>
        <w:tblW w:w="10224" w:type="dxa"/>
        <w:jc w:val="center"/>
        <w:tblInd w:w="0" w:type="dxa"/>
        <w:tblCellMar>
          <w:top w:w="0" w:type="dxa"/>
          <w:left w:w="108" w:type="dxa"/>
          <w:bottom w:w="0" w:type="dxa"/>
          <w:right w:w="108" w:type="dxa"/>
        </w:tblCellMar>
        <w:tblLook w:firstRow="0" w:noVBand="1" w:lastRow="0" w:firstColumn="0" w:lastColumn="0" w:noHBand="0" w:val="0400"/>
      </w:tblPr>
      <w:tblGrid>
        <w:gridCol w:w="10224"/>
      </w:tblGrid>
      <w:tr>
        <w:trPr/>
        <w:tc>
          <w:tcPr>
            <w:tcW w:w="10224" w:type="dxa"/>
            <w:tcBorders/>
            <w:shd w:color="auto" w:fill="EAF2F8" w:val="clear"/>
          </w:tcPr>
          <w:p>
            <w:pPr>
              <w:pStyle w:val="Normal"/>
              <w:widowControl/>
              <w:bidi w:val="0"/>
              <w:spacing w:lineRule="auto" w:line="276" w:before="0" w:after="200"/>
              <w:jc w:val="left"/>
              <w:rPr/>
            </w:pPr>
            <w:r>
              <w:rPr>
                <w:b/>
                <w:bCs/>
                <w:sz w:val="18"/>
                <w:szCs w:val="18"/>
                <w:lang w:val="ru-RU"/>
              </w:rPr>
              <w:t xml:space="preserve">Кратко: </w:t>
            </w:r>
            <w:r>
              <w:rPr>
                <w:sz w:val="18"/>
                <w:szCs w:val="18"/>
                <w:lang w:val="ru-RU"/>
              </w:rPr>
              <w:t xml:space="preserve">решение прогнозирует почасовую выработку ВЭС. Модель обучена на </w:t>
            </w:r>
            <w:r>
              <w:rPr>
                <w:sz w:val="18"/>
                <w:szCs w:val="18"/>
                <w:lang w:val="ru-RU"/>
              </w:rPr>
              <w:t xml:space="preserve">данных о выработке ВЭС за период 2023-2025 гг. </w:t>
            </w:r>
            <w:r>
              <w:rPr>
                <w:sz w:val="18"/>
                <w:szCs w:val="18"/>
                <w:lang w:val="ru-RU"/>
              </w:rPr>
              <w:t>Ее предсказание основывается на специально отобранных физических признаках, которые оказались наиболее значимыми для уменьшения средней ошибки.</w:t>
            </w:r>
          </w:p>
        </w:tc>
      </w:tr>
    </w:tbl>
    <w:p>
      <w:pPr>
        <w:pStyle w:val="Heading1"/>
        <w:rPr/>
      </w:pPr>
      <w:r>
        <w:rPr>
          <w:lang w:val="en-US"/>
        </w:rPr>
        <w:t>1</w:t>
      </w:r>
      <w:r>
        <w:rPr>
          <w:lang w:val="ru-RU"/>
        </w:rPr>
        <w:t>. Почему выбран именно такой подход</w:t>
      </w:r>
    </w:p>
    <w:p>
      <w:pPr>
        <w:pStyle w:val="Normal"/>
        <w:rPr/>
      </w:pPr>
      <w:r>
        <w:rPr>
          <w:lang w:val="ru-RU"/>
        </w:rPr>
        <w:t xml:space="preserve">На старте, </w:t>
      </w:r>
      <w:r>
        <w:rPr>
          <w:lang w:val="ru-RU"/>
        </w:rPr>
        <w:t>когда мы проанализировали задачу</w:t>
      </w:r>
      <w:r>
        <w:rPr>
          <w:lang w:val="ru-RU"/>
        </w:rPr>
        <w:t xml:space="preserve">, было предпринято </w:t>
      </w:r>
      <w:r>
        <w:rPr>
          <w:lang w:val="ru-RU"/>
        </w:rPr>
        <w:t xml:space="preserve">решение </w:t>
      </w:r>
      <w:r>
        <w:rPr>
          <w:lang w:val="ru-RU"/>
        </w:rPr>
        <w:t>реализовать сразу 2 подхода</w:t>
      </w:r>
      <w:r>
        <w:rPr>
          <w:lang w:val="ru-RU"/>
        </w:rPr>
        <w:t xml:space="preserve">: физический и </w:t>
      </w:r>
      <w:r>
        <w:rPr>
          <w:lang w:val="en-US"/>
        </w:rPr>
        <w:t>ML-</w:t>
      </w:r>
      <w:r>
        <w:rPr>
          <w:lang w:val="ru-RU"/>
        </w:rPr>
        <w:t xml:space="preserve">типа. Точная физическая модель подразумевала бы подробный учет местоположения ВЭС, </w:t>
      </w:r>
      <w:r>
        <w:rPr>
          <w:lang w:val="ru-RU"/>
        </w:rPr>
        <w:t>ориентация</w:t>
      </w:r>
      <w:r>
        <w:rPr>
          <w:lang w:val="ru-RU"/>
        </w:rPr>
        <w:t xml:space="preserve"> турбин, а также профиля ветряного потока, в свою очередь подход на основе машинного обучения решал бы исключительно техническую задачу наиболее точного предсказания на основе факторов, относящихся не только к метеорол</w:t>
      </w:r>
      <w:r>
        <w:rPr>
          <w:lang w:val="ru-RU"/>
        </w:rPr>
        <w:t>огическим явлениям</w:t>
      </w:r>
      <w:r>
        <w:rPr>
          <w:lang w:val="ru-RU"/>
        </w:rPr>
        <w:t xml:space="preserve">. В итоге </w:t>
      </w:r>
      <w:r>
        <w:rPr>
          <w:lang w:val="ru-RU"/>
        </w:rPr>
        <w:t>было решено</w:t>
      </w:r>
      <w:r>
        <w:rPr>
          <w:lang w:val="ru-RU"/>
        </w:rPr>
        <w:t xml:space="preserve"> объединить два подхода в один, поскольку полная и подробная симуляция, способная выдавать прогноз с достаточной степенью </w:t>
      </w:r>
      <w:r>
        <w:rPr>
          <w:lang w:val="ru-RU"/>
        </w:rPr>
        <w:t>точности</w:t>
      </w:r>
      <w:r>
        <w:rPr>
          <w:lang w:val="ru-RU"/>
        </w:rPr>
        <w:t>, требует слишком большого вычислительного ресурса и более точных данных.</w:t>
      </w:r>
    </w:p>
    <w:p>
      <w:pPr>
        <w:pStyle w:val="Normal"/>
        <w:rPr/>
      </w:pPr>
      <w:r>
        <w:rPr>
          <w:lang w:val="ru-RU"/>
        </w:rPr>
        <w:t xml:space="preserve">Слияние двух подходов состоит в создании модели на основе машинного обучения, но с весомым влиянием физических факторов. Был проанализирован </w:t>
      </w:r>
      <w:r>
        <w:rPr>
          <w:lang w:val="ru-RU"/>
        </w:rPr>
        <w:t>ряд научных статей</w:t>
      </w:r>
      <w:r>
        <w:rPr>
          <w:lang w:val="ru-RU"/>
        </w:rPr>
        <w:t xml:space="preserve"> </w:t>
      </w:r>
      <w:r>
        <w:rPr>
          <w:lang w:val="ru-RU"/>
        </w:rPr>
        <w:t xml:space="preserve">с целью выявления наиболее значимых </w:t>
      </w:r>
      <w:r>
        <w:rPr>
          <w:lang w:val="en-US"/>
        </w:rPr>
        <w:t>features.</w:t>
      </w:r>
    </w:p>
    <w:p>
      <w:pPr>
        <w:pStyle w:val="Heading1"/>
        <w:rPr/>
      </w:pPr>
      <w:r>
        <w:rPr>
          <w:lang w:val="en-US"/>
        </w:rPr>
        <w:t>2</w:t>
      </w:r>
      <w:r>
        <w:rPr>
          <w:lang w:val="ru-RU"/>
        </w:rPr>
        <w:t>. Архитектура (Финальная модель)</w:t>
      </w:r>
    </w:p>
    <w:tbl>
      <w:tblPr>
        <w:tblStyle w:val="a0"/>
        <w:tblW w:w="10224" w:type="dxa"/>
        <w:jc w:val="center"/>
        <w:tblInd w:w="0" w:type="dxa"/>
        <w:tblCellMar>
          <w:top w:w="0" w:type="dxa"/>
          <w:left w:w="108" w:type="dxa"/>
          <w:bottom w:w="0" w:type="dxa"/>
          <w:right w:w="108" w:type="dxa"/>
        </w:tblCellMar>
        <w:tblLook w:firstRow="0" w:noVBand="1" w:lastRow="0" w:firstColumn="0" w:lastColumn="0" w:noHBand="0" w:val="0400"/>
      </w:tblPr>
      <w:tblGrid>
        <w:gridCol w:w="5112"/>
        <w:gridCol w:w="5111"/>
      </w:tblGrid>
      <w:tr>
        <w:trPr/>
        <w:tc>
          <w:tcPr>
            <w:tcW w:w="5112" w:type="dxa"/>
            <w:tcBorders>
              <w:top w:val="single" w:sz="4" w:space="0" w:color="000000"/>
              <w:left w:val="single" w:sz="4" w:space="0" w:color="000000"/>
              <w:bottom w:val="single" w:sz="4" w:space="0" w:color="000000"/>
              <w:right w:val="single" w:sz="4" w:space="0" w:color="000000"/>
            </w:tcBorders>
            <w:shd w:color="auto" w:fill="D9EAF7" w:val="clear"/>
            <w:vAlign w:val="center"/>
          </w:tcPr>
          <w:p>
            <w:pPr>
              <w:pStyle w:val="Normal"/>
              <w:widowControl/>
              <w:bidi w:val="0"/>
              <w:spacing w:lineRule="auto" w:line="276" w:before="0" w:after="200"/>
              <w:jc w:val="left"/>
              <w:rPr/>
            </w:pPr>
            <w:r>
              <w:rPr>
                <w:b/>
                <w:bCs/>
                <w:sz w:val="18"/>
                <w:szCs w:val="18"/>
              </w:rPr>
              <w:t>Компонент</w:t>
            </w:r>
          </w:p>
        </w:tc>
        <w:tc>
          <w:tcPr>
            <w:tcW w:w="5111" w:type="dxa"/>
            <w:tcBorders>
              <w:top w:val="single" w:sz="4" w:space="0" w:color="000000"/>
              <w:left w:val="single" w:sz="4" w:space="0" w:color="000000"/>
              <w:bottom w:val="single" w:sz="4" w:space="0" w:color="000000"/>
              <w:right w:val="single" w:sz="4" w:space="0" w:color="000000"/>
            </w:tcBorders>
            <w:shd w:color="auto" w:fill="D9EAF7" w:val="clear"/>
            <w:vAlign w:val="center"/>
          </w:tcPr>
          <w:p>
            <w:pPr>
              <w:pStyle w:val="Normal"/>
              <w:widowControl/>
              <w:bidi w:val="0"/>
              <w:spacing w:lineRule="auto" w:line="276" w:before="0" w:after="200"/>
              <w:jc w:val="left"/>
              <w:rPr/>
            </w:pPr>
            <w:r>
              <w:rPr>
                <w:b/>
                <w:bCs/>
                <w:sz w:val="18"/>
                <w:szCs w:val="18"/>
              </w:rPr>
              <w:t>Назначение</w:t>
            </w:r>
          </w:p>
        </w:tc>
      </w:tr>
      <w:tr>
        <w:trPr/>
        <w:tc>
          <w:tcPr>
            <w:tcW w:w="511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bidi w:val="0"/>
              <w:spacing w:lineRule="auto" w:line="276" w:before="0" w:after="200"/>
              <w:jc w:val="left"/>
              <w:rPr/>
            </w:pPr>
            <w:r>
              <w:rPr>
                <w:b/>
                <w:bCs/>
                <w:sz w:val="18"/>
                <w:szCs w:val="18"/>
              </w:rPr>
              <w:t>legacy1700</w:t>
            </w:r>
          </w:p>
        </w:tc>
        <w:tc>
          <w:tcPr>
            <w:tcW w:w="51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bidi w:val="0"/>
              <w:spacing w:lineRule="auto" w:line="276" w:before="0" w:after="200"/>
              <w:jc w:val="left"/>
              <w:rPr>
                <w:lang w:val="ru-RU"/>
              </w:rPr>
            </w:pPr>
            <w:r>
              <w:rPr>
                <w:sz w:val="18"/>
                <w:szCs w:val="18"/>
                <w:lang w:val="ru-RU"/>
              </w:rPr>
              <w:t xml:space="preserve">Консервативный </w:t>
            </w:r>
            <w:r>
              <w:rPr>
                <w:sz w:val="18"/>
                <w:szCs w:val="18"/>
              </w:rPr>
              <w:t>XGBoost</w:t>
            </w:r>
            <w:r>
              <w:rPr>
                <w:sz w:val="18"/>
                <w:szCs w:val="18"/>
                <w:lang w:val="ru-RU"/>
              </w:rPr>
              <w:t xml:space="preserve"> семейства старого сильного регрессора.</w:t>
            </w:r>
          </w:p>
        </w:tc>
      </w:tr>
      <w:tr>
        <w:trPr/>
        <w:tc>
          <w:tcPr>
            <w:tcW w:w="511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bidi w:val="0"/>
              <w:spacing w:lineRule="auto" w:line="276" w:before="0" w:after="200"/>
              <w:jc w:val="left"/>
              <w:rPr/>
            </w:pPr>
            <w:r>
              <w:rPr>
                <w:b/>
                <w:bCs/>
                <w:sz w:val="18"/>
                <w:szCs w:val="18"/>
              </w:rPr>
              <w:t>depth4_1892</w:t>
            </w:r>
          </w:p>
        </w:tc>
        <w:tc>
          <w:tcPr>
            <w:tcW w:w="51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bidi w:val="0"/>
              <w:spacing w:lineRule="auto" w:line="276" w:before="0" w:after="200"/>
              <w:jc w:val="left"/>
              <w:rPr>
                <w:lang w:val="ru-RU"/>
              </w:rPr>
            </w:pPr>
            <w:r>
              <w:rPr>
                <w:sz w:val="18"/>
                <w:szCs w:val="18"/>
                <w:lang w:val="ru-RU"/>
              </w:rPr>
              <w:t xml:space="preserve">Более глубокий </w:t>
            </w:r>
            <w:r>
              <w:rPr>
                <w:sz w:val="18"/>
                <w:szCs w:val="18"/>
              </w:rPr>
              <w:t>XGBoost</w:t>
            </w:r>
            <w:r>
              <w:rPr>
                <w:sz w:val="18"/>
                <w:szCs w:val="18"/>
                <w:lang w:val="ru-RU"/>
              </w:rPr>
              <w:t>-компаньон, добавляющий немного нелинейной емкости.</w:t>
            </w:r>
          </w:p>
        </w:tc>
      </w:tr>
      <w:tr>
        <w:trPr/>
        <w:tc>
          <w:tcPr>
            <w:tcW w:w="511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bidi w:val="0"/>
              <w:spacing w:lineRule="auto" w:line="276" w:before="0" w:after="200"/>
              <w:jc w:val="left"/>
              <w:rPr/>
            </w:pPr>
            <w:r>
              <w:rPr>
                <w:b/>
                <w:bCs/>
                <w:sz w:val="18"/>
                <w:szCs w:val="18"/>
              </w:rPr>
              <w:t>anchor70</w:t>
            </w:r>
          </w:p>
        </w:tc>
        <w:tc>
          <w:tcPr>
            <w:tcW w:w="51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bidi w:val="0"/>
              <w:spacing w:lineRule="auto" w:line="276" w:before="0" w:after="200"/>
              <w:jc w:val="left"/>
              <w:rPr/>
            </w:pPr>
            <w:r>
              <w:rPr>
                <w:sz w:val="18"/>
                <w:szCs w:val="18"/>
              </w:rPr>
              <w:t>0.70 * legacy1700 + 0.30 * depth4_1892.</w:t>
            </w:r>
          </w:p>
        </w:tc>
      </w:tr>
      <w:tr>
        <w:trPr/>
        <w:tc>
          <w:tcPr>
            <w:tcW w:w="511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bidi w:val="0"/>
              <w:spacing w:lineRule="auto" w:line="276" w:before="0" w:after="200"/>
              <w:jc w:val="left"/>
              <w:rPr/>
            </w:pPr>
            <w:r>
              <w:rPr>
                <w:b/>
                <w:bCs/>
                <w:sz w:val="18"/>
                <w:szCs w:val="18"/>
              </w:rPr>
              <w:t>catboost_companion</w:t>
            </w:r>
          </w:p>
        </w:tc>
        <w:tc>
          <w:tcPr>
            <w:tcW w:w="51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bidi w:val="0"/>
              <w:spacing w:lineRule="auto" w:line="276" w:before="0" w:after="200"/>
              <w:jc w:val="left"/>
              <w:rPr>
                <w:lang w:val="ru-RU"/>
              </w:rPr>
            </w:pPr>
            <w:r>
              <w:rPr>
                <w:sz w:val="18"/>
                <w:szCs w:val="18"/>
              </w:rPr>
              <w:t>CatBoostRegressor</w:t>
            </w:r>
            <w:r>
              <w:rPr>
                <w:sz w:val="18"/>
                <w:szCs w:val="18"/>
                <w:lang w:val="ru-RU"/>
              </w:rPr>
              <w:t xml:space="preserve"> на том же наборе признаков; дает комплементарные ошибки.</w:t>
            </w:r>
          </w:p>
        </w:tc>
      </w:tr>
      <w:tr>
        <w:trPr/>
        <w:tc>
          <w:tcPr>
            <w:tcW w:w="511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bidi w:val="0"/>
              <w:spacing w:lineRule="auto" w:line="276" w:before="0" w:after="200"/>
              <w:jc w:val="left"/>
              <w:rPr/>
            </w:pPr>
            <w:r>
              <w:rPr>
                <w:b/>
                <w:bCs/>
                <w:sz w:val="18"/>
                <w:szCs w:val="18"/>
              </w:rPr>
              <w:t>rules/profile/bias</w:t>
            </w:r>
          </w:p>
        </w:tc>
        <w:tc>
          <w:tcPr>
            <w:tcW w:w="511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bidi w:val="0"/>
              <w:spacing w:lineRule="auto" w:line="276" w:before="0" w:after="200"/>
              <w:jc w:val="left"/>
              <w:rPr/>
            </w:pPr>
            <w:r>
              <w:rPr>
                <w:sz w:val="18"/>
                <w:szCs w:val="18"/>
              </w:rPr>
              <w:t>Малые deterministic corrections: physics rules, profile delta и глобальный bias.</w:t>
            </w:r>
          </w:p>
        </w:tc>
      </w:tr>
    </w:tbl>
    <w:p>
      <w:pPr>
        <w:pStyle w:val="Normal"/>
        <w:rPr>
          <w:lang w:val="ru-RU"/>
        </w:rPr>
      </w:pPr>
      <w:r>
        <w:rPr/>
        <w:t>Финальная формула candidate</w:t>
      </w:r>
      <w:r>
        <w:rPr>
          <w:lang w:val="ru-RU"/>
        </w:rPr>
        <w:t>?</w:t>
      </w:r>
    </w:p>
    <w:p>
      <w:pPr>
        <w:pStyle w:val="Normal"/>
        <w:pBdr/>
        <w:spacing w:before="0" w:after="0"/>
        <w:ind w:left="216" w:hanging="0"/>
        <w:rPr>
          <w:rFonts w:ascii="Courier New" w:hAnsi="Courier New" w:eastAsia="Courier New" w:cs="Courier New"/>
          <w:color w:val="000000"/>
          <w:sz w:val="17"/>
          <w:szCs w:val="17"/>
        </w:rPr>
      </w:pPr>
      <w:r>
        <w:rPr>
          <w:rFonts w:eastAsia="Courier New" w:cs="Courier New" w:ascii="Courier New" w:hAnsi="Courier New"/>
          <w:color w:val="000000"/>
          <w:sz w:val="17"/>
          <w:szCs w:val="17"/>
        </w:rPr>
        <w:t>base = anchor_weight * anchor70 + (1 - anchor_weight) * catboost_companion</w:t>
      </w:r>
    </w:p>
    <w:p>
      <w:pPr>
        <w:pStyle w:val="Normal"/>
        <w:pBdr/>
        <w:spacing w:before="0" w:after="0"/>
        <w:ind w:left="216" w:hanging="0"/>
        <w:rPr>
          <w:rFonts w:ascii="Courier New" w:hAnsi="Courier New" w:eastAsia="Courier New" w:cs="Courier New"/>
          <w:color w:val="000000"/>
          <w:sz w:val="17"/>
          <w:szCs w:val="17"/>
        </w:rPr>
      </w:pPr>
      <w:r>
        <w:rPr>
          <w:rFonts w:eastAsia="Courier New" w:cs="Courier New" w:ascii="Courier New" w:hAnsi="Courier New"/>
          <w:color w:val="000000"/>
          <w:sz w:val="17"/>
          <w:szCs w:val="17"/>
        </w:rPr>
        <w:t>prediction = base + rule_delta(features, base) + profile_delta(features, base) + bias</w:t>
      </w:r>
    </w:p>
    <w:p>
      <w:pPr>
        <w:pStyle w:val="Normal"/>
        <w:pBdr/>
        <w:spacing w:before="0" w:after="0"/>
        <w:ind w:left="216" w:hanging="0"/>
        <w:rPr/>
      </w:pPr>
      <w:r>
        <w:rPr>
          <w:rFonts w:eastAsia="Courier New" w:cs="Courier New" w:ascii="Courier New" w:hAnsi="Courier New"/>
          <w:color w:val="000000"/>
          <w:sz w:val="17"/>
          <w:szCs w:val="17"/>
        </w:rPr>
        <w:t>prediction = clip(prediction, 0, 90.09)</w:t>
      </w:r>
    </w:p>
    <w:p>
      <w:pPr>
        <w:pStyle w:val="Normal"/>
        <w:pBdr/>
        <w:spacing w:before="0" w:after="0"/>
        <w:ind w:hanging="0"/>
        <w:rPr>
          <w:rFonts w:ascii="Courier New" w:hAnsi="Courier New" w:eastAsia="Courier New" w:cs="Courier New"/>
          <w:color w:val="000000"/>
          <w:sz w:val="17"/>
          <w:szCs w:val="17"/>
        </w:rPr>
      </w:pPr>
      <w:r>
        <w:rPr/>
      </w:r>
    </w:p>
    <w:p>
      <w:pPr>
        <w:pStyle w:val="Normal"/>
        <w:pBdr/>
        <w:bidi w:val="0"/>
        <w:spacing w:before="0" w:after="0"/>
        <w:ind w:hanging="0"/>
        <w:rPr/>
      </w:pPr>
      <w:bookmarkStart w:id="0" w:name="__DdeLink__234_2704937812"/>
      <w:r>
        <w:rPr>
          <w:rFonts w:eastAsia="Courier New" w:cs="Courier New" w:ascii="Verdana" w:hAnsi="Verdana"/>
          <w:b/>
          <w:bCs/>
          <w:color w:val="366091"/>
          <w:sz w:val="30"/>
          <w:szCs w:val="30"/>
          <w:lang w:val="en-US"/>
        </w:rPr>
        <w:t>2</w:t>
      </w:r>
      <w:r>
        <w:rPr>
          <w:rFonts w:eastAsia="Courier New" w:cs="Courier New" w:ascii="Verdana" w:hAnsi="Verdana"/>
          <w:b/>
          <w:bCs/>
          <w:color w:val="366091"/>
          <w:sz w:val="30"/>
          <w:szCs w:val="30"/>
          <w:lang w:val="ru-RU"/>
        </w:rPr>
        <w:t>. Архитектура (Финальная модель)</w:t>
      </w:r>
      <w:bookmarkEnd w:id="0"/>
      <w:r>
        <w:rPr>
          <w:rFonts w:eastAsia="Courier New" w:cs="Courier New" w:ascii="Courier New" w:hAnsi="Courier New"/>
          <w:color w:val="000000"/>
          <w:sz w:val="17"/>
          <w:szCs w:val="17"/>
        </w:rPr>
        <w:br/>
        <w:br/>
      </w:r>
      <w:r>
        <w:rPr>
          <w:rFonts w:eastAsia="Courier New" w:cs="Courier New" w:ascii="Verdana" w:hAnsi="Verdana"/>
          <w:color w:val="000000"/>
          <w:sz w:val="21"/>
          <w:szCs w:val="21"/>
          <w:lang w:val="ru-RU"/>
        </w:rPr>
        <w:t xml:space="preserve">В </w:t>
      </w:r>
      <w:r>
        <w:rPr>
          <w:rFonts w:eastAsia="Courier New" w:cs="Courier New" w:ascii="Verdana" w:hAnsi="Verdana"/>
          <w:color w:val="000000"/>
          <w:sz w:val="21"/>
          <w:szCs w:val="21"/>
          <w:lang w:val="ru-RU"/>
        </w:rPr>
        <w:t xml:space="preserve">решении использовали transofrmer, sequence, stacking и stacked модели. Из-за недостатка мощностей </w:t>
      </w:r>
      <w:r>
        <w:rPr>
          <w:rFonts w:eastAsia="Courier New" w:cs="Courier New" w:ascii="Verdana" w:hAnsi="Verdana"/>
          <w:color w:val="000000"/>
          <w:sz w:val="21"/>
          <w:szCs w:val="21"/>
          <w:lang w:val="ru-RU"/>
        </w:rPr>
        <w:t>и времени, не удалось дообучить модель</w:t>
      </w:r>
      <w:r>
        <w:rPr>
          <w:rFonts w:eastAsia="Courier New" w:cs="Courier New" w:ascii="Verdana" w:hAnsi="Verdana"/>
          <w:color w:val="000000"/>
          <w:sz w:val="21"/>
          <w:szCs w:val="21"/>
          <w:lang w:val="ru-RU"/>
        </w:rPr>
        <w:t xml:space="preserve">. Была выбрана нынешняя модель, остальные оставлены в соответствующих ветках на нашем репозитории. </w:t>
        <w:br/>
        <w:br/>
        <w:t xml:space="preserve">После создания базового регрессора было решено </w:t>
      </w:r>
      <w:r>
        <w:rPr>
          <w:rFonts w:eastAsia="Courier New" w:cs="Courier New" w:ascii="Verdana" w:hAnsi="Verdana"/>
          <w:color w:val="000000"/>
          <w:sz w:val="21"/>
          <w:szCs w:val="21"/>
          <w:lang w:val="ru-RU"/>
        </w:rPr>
        <w:t xml:space="preserve">улучшать модель методом </w:t>
      </w:r>
      <w:r>
        <w:rPr>
          <w:rFonts w:eastAsia="Courier New" w:cs="Courier New" w:ascii="Verdana" w:hAnsi="Verdana"/>
          <w:color w:val="000000"/>
          <w:sz w:val="21"/>
          <w:szCs w:val="21"/>
          <w:lang w:val="en-US"/>
        </w:rPr>
        <w:t>probing</w:t>
      </w:r>
      <w:r>
        <w:rPr>
          <w:rFonts w:eastAsia="Courier New" w:cs="Courier New" w:ascii="Verdana" w:hAnsi="Verdana"/>
          <w:color w:val="000000"/>
          <w:sz w:val="21"/>
          <w:szCs w:val="21"/>
          <w:lang w:val="ru-RU"/>
        </w:rPr>
        <w:t>. Был создан файл, по которому собрался ML correction model для обучения нового регрессора и выявления новых зависимостей. После получения некоторых результатов, учитель был убран. Данная модель не обучена до потенциального максимума, возможно результаты лучше, требует дополнительных вычислительных мощностей и времени.</w:t>
      </w:r>
      <w:r>
        <w:rPr>
          <w:rFonts w:eastAsia="Courier New" w:cs="Courier New" w:ascii="Verdana" w:hAnsi="Verdana"/>
          <w:color w:val="000000"/>
          <w:sz w:val="17"/>
          <w:szCs w:val="17"/>
          <w:lang w:val="ru-RU"/>
        </w:rPr>
        <w:br/>
        <w:br/>
      </w:r>
      <w:r>
        <w:rPr>
          <w:rFonts w:eastAsia="Courier New" w:cs="Courier New" w:ascii="Verdana" w:hAnsi="Verdana"/>
          <w:b/>
          <w:bCs/>
          <w:color w:val="366091"/>
          <w:sz w:val="30"/>
          <w:szCs w:val="30"/>
          <w:lang w:val="ru-RU"/>
        </w:rPr>
        <w:t>3</w:t>
      </w:r>
      <w:r>
        <w:rPr>
          <w:rFonts w:eastAsia="Courier New" w:cs="Courier New" w:ascii="Verdana" w:hAnsi="Verdana"/>
          <w:b/>
          <w:bCs/>
          <w:color w:val="366091"/>
          <w:sz w:val="30"/>
          <w:szCs w:val="30"/>
          <w:lang w:val="ru-RU"/>
        </w:rPr>
        <w:t xml:space="preserve">. </w:t>
      </w:r>
      <w:r>
        <w:rPr>
          <w:rFonts w:eastAsia="Courier New" w:cs="Courier New" w:ascii="Verdana" w:hAnsi="Verdana"/>
          <w:b/>
          <w:bCs/>
          <w:color w:val="366091"/>
          <w:sz w:val="30"/>
          <w:szCs w:val="30"/>
          <w:lang w:val="ru-RU"/>
        </w:rPr>
        <w:t>Дополнительные сведения</w:t>
      </w:r>
      <w:r>
        <w:rPr>
          <w:rFonts w:eastAsia="Courier New" w:cs="Courier New" w:ascii="Verdana" w:hAnsi="Verdana"/>
          <w:color w:val="000000"/>
          <w:sz w:val="17"/>
          <w:szCs w:val="17"/>
          <w:lang w:val="ru-RU"/>
        </w:rPr>
        <w:br/>
      </w:r>
      <w:r>
        <w:rPr>
          <w:rFonts w:eastAsia="Courier New" w:cs="Courier New" w:ascii="Verdana" w:hAnsi="Verdana"/>
          <w:color w:val="000000"/>
          <w:sz w:val="21"/>
          <w:szCs w:val="21"/>
          <w:lang w:val="ru-RU"/>
        </w:rPr>
        <w:t xml:space="preserve">В репозитории поднят pipeline для проверки корректности некоторых решений. Также создан Dockerfile, при желании, локально по нему можно запустить образ и проверять модель </w:t>
      </w:r>
      <w:r>
        <w:rPr>
          <w:rFonts w:eastAsia="Courier New" w:cs="Courier New" w:ascii="Verdana" w:hAnsi="Verdana"/>
          <w:color w:val="000000"/>
          <w:sz w:val="21"/>
          <w:szCs w:val="21"/>
          <w:lang w:val="ru-RU"/>
        </w:rPr>
        <w:t>в контейнере</w:t>
      </w:r>
      <w:r>
        <w:rPr>
          <w:rFonts w:eastAsia="Courier New" w:cs="Courier New" w:ascii="Verdana" w:hAnsi="Verdana"/>
          <w:color w:val="000000"/>
          <w:sz w:val="21"/>
          <w:szCs w:val="21"/>
          <w:lang w:val="ru-RU"/>
        </w:rPr>
        <w:t>.</w:t>
      </w:r>
    </w:p>
    <w:p>
      <w:pPr>
        <w:pStyle w:val="Heading1"/>
        <w:rPr/>
      </w:pPr>
      <w:r>
        <w:rPr/>
        <w:t>4. Feature engineering и физическая интерпретация</w:t>
      </w:r>
    </w:p>
    <w:p>
      <w:pPr>
        <w:pStyle w:val="Normal"/>
        <w:rPr>
          <w:lang w:val="ru-RU"/>
        </w:rPr>
      </w:pPr>
      <w:r>
        <w:rPr>
          <w:lang w:val="ru-RU"/>
        </w:rPr>
        <w:t>В ходе работы был проведён качественный анализ зависимостей величины почасовой выработки ВЭС, а также были изучены и частично имплементированы физические (в частности, метеорологические) явления, потенциально оказывающие влияние на итоговую выработку ВЭС. Со сводкой, различного рода наблюдениями и полной версией анализа можно ознакомиться в /</w:t>
      </w:r>
      <w:r>
        <w:rPr/>
        <w:t>misc</w:t>
      </w:r>
      <w:r>
        <w:rPr>
          <w:lang w:val="ru-RU"/>
        </w:rPr>
        <w:t xml:space="preserve">. </w:t>
      </w:r>
    </w:p>
    <w:p>
      <w:pPr>
        <w:pStyle w:val="Normal"/>
        <w:rPr>
          <w:lang w:val="ru-RU"/>
        </w:rPr>
      </w:pPr>
      <w:r>
        <w:rPr>
          <w:lang w:val="ru-RU"/>
        </w:rPr>
        <w:t>Признаки, передающиеся модели, исходя из эмперической кривой мощности и метеорологических условий работы ВЭС. Центральным признаком является кинетическая энергия движущихся воздушных масс, оцениваемая посредством зависимости от плотности воздуха (линейная зависимость) и скорости ветра (третяя степень). Стоит заменить, что именно из-за этого небольшая ошибка в величине скорости вблизи номинального режима дает большой вклад в снижение ошибки при оценке выработки.</w:t>
      </w:r>
    </w:p>
    <w:p>
      <w:pPr>
        <w:pStyle w:val="Normal"/>
        <w:rPr>
          <w:lang w:val="ru-RU"/>
        </w:rPr>
      </w:pPr>
      <w:r>
        <w:rPr>
          <w:lang w:val="ru-RU"/>
        </w:rPr>
      </w:r>
    </w:p>
    <w:p>
      <w:pPr>
        <w:pStyle w:val="Normal"/>
        <w:rPr>
          <w:lang w:val="ru-RU"/>
        </w:rPr>
      </w:pPr>
      <w:r>
        <w:rPr>
          <w:lang w:val="ru-RU"/>
        </w:rPr>
        <w:t>Также позволила значительно повысить точность имплементация лимита Беца, “жёстко” ограничивающая выработку сверху; кроме прочего были добавлены признаки, позволяющие модели рассматривать движущиеся воздушные массы как  идеальный газ, например плотность воздуха (без учёта влажности), в явном виде участвующая в уравнении кинетической энергии.</w:t>
      </w:r>
    </w:p>
    <w:p>
      <w:pPr>
        <w:pStyle w:val="Normal"/>
        <w:rPr/>
      </w:pPr>
      <w:r>
        <w:rPr>
          <w:lang w:val="ru-RU"/>
        </w:rPr>
        <w:t>В ходе работы были учтены эффекты стратификации нижних слоёв атмосферы при различных температурных условиях. Это позволило более точно описывать картину турбулентности потоков воздуха, что, опять же, положительно скзалось на улучшении точности предсказания выработки.</w:t>
      </w:r>
    </w:p>
    <w:p>
      <w:pPr>
        <w:pStyle w:val="Heading1"/>
        <w:rPr/>
      </w:pPr>
      <w:r>
        <w:rPr>
          <w:lang w:val="ru-RU"/>
        </w:rPr>
        <w:t xml:space="preserve">5. </w:t>
      </w:r>
      <w:r>
        <w:rPr/>
        <w:t>Feature</w:t>
      </w:r>
      <w:r>
        <w:rPr>
          <w:lang w:val="ru-RU"/>
        </w:rPr>
        <w:t xml:space="preserve"> </w:t>
      </w:r>
      <w:r>
        <w:rPr/>
        <w:t>engineering</w:t>
      </w:r>
      <w:r>
        <w:rPr>
          <w:lang w:val="ru-RU"/>
        </w:rPr>
        <w:t xml:space="preserve"> и техническая интерпретация</w:t>
      </w:r>
    </w:p>
    <w:p>
      <w:pPr>
        <w:pStyle w:val="Heading1"/>
        <w:rPr>
          <w:rFonts w:ascii="Times New Roman" w:hAnsi="Times New Roman" w:cs="Times New Roman"/>
          <w:b w:val="false"/>
          <w:b w:val="false"/>
          <w:bCs w:val="false"/>
          <w:color w:val="auto"/>
          <w:sz w:val="24"/>
          <w:szCs w:val="24"/>
          <w:lang w:val="ru-RU"/>
        </w:rPr>
      </w:pPr>
      <w:r>
        <w:rPr>
          <w:rFonts w:cs="Times New Roman" w:ascii="Times New Roman" w:hAnsi="Times New Roman"/>
          <w:b w:val="false"/>
          <w:bCs w:val="false"/>
          <w:color w:val="auto"/>
          <w:sz w:val="24"/>
          <w:szCs w:val="24"/>
          <w:lang w:val="ru-RU"/>
        </w:rPr>
        <w:t>Для более точного воспроизвдения прогноза наша модель была оснащена некоторым техническими особенностями:</w:t>
      </w:r>
    </w:p>
    <w:p>
      <w:pPr>
        <w:pStyle w:val="ListParagraph"/>
        <w:numPr>
          <w:ilvl w:val="0"/>
          <w:numId w:val="2"/>
        </w:numPr>
        <w:rPr>
          <w:rFonts w:ascii="Times New Roman" w:hAnsi="Times New Roman" w:eastAsia="Times New Roman" w:cs="Times New Roman"/>
          <w:sz w:val="24"/>
          <w:szCs w:val="24"/>
          <w:lang w:val="ru-RU"/>
        </w:rPr>
      </w:pPr>
      <w:r>
        <w:rPr>
          <w:rFonts w:eastAsia="Times New Roman" w:cs="Times New Roman" w:ascii="Times New Roman" w:hAnsi="Times New Roman"/>
          <w:sz w:val="24"/>
          <w:szCs w:val="24"/>
          <w:lang w:val="ru-RU"/>
        </w:rPr>
        <w:t xml:space="preserve">Выработка зависит от сезонности, суточного хода ветра и специфики первого квартала. Были добавлены </w:t>
      </w:r>
      <w:r>
        <w:rPr>
          <w:rFonts w:eastAsia="Times New Roman" w:cs="Times New Roman" w:ascii="Times New Roman" w:hAnsi="Times New Roman"/>
          <w:sz w:val="24"/>
          <w:szCs w:val="24"/>
          <w:lang w:val="en-US"/>
        </w:rPr>
        <w:t>sin</w:t>
      </w:r>
      <w:r>
        <w:rPr>
          <w:rFonts w:eastAsia="Times New Roman" w:cs="Times New Roman" w:ascii="Times New Roman" w:hAnsi="Times New Roman"/>
          <w:sz w:val="24"/>
          <w:szCs w:val="24"/>
          <w:lang w:val="ru-RU"/>
        </w:rPr>
        <w:t>/</w:t>
      </w:r>
      <w:r>
        <w:rPr>
          <w:rFonts w:eastAsia="Times New Roman" w:cs="Times New Roman" w:ascii="Times New Roman" w:hAnsi="Times New Roman"/>
          <w:sz w:val="24"/>
          <w:szCs w:val="24"/>
          <w:lang w:val="en-US"/>
        </w:rPr>
        <w:t>cos</w:t>
      </w:r>
      <w:r>
        <w:rPr>
          <w:rFonts w:eastAsia="Times New Roman" w:cs="Times New Roman" w:ascii="Times New Roman" w:hAnsi="Times New Roman"/>
          <w:sz w:val="24"/>
          <w:szCs w:val="24"/>
          <w:lang w:val="ru-RU"/>
        </w:rPr>
        <w:t>(</w:t>
      </w:r>
      <w:r>
        <w:rPr>
          <w:rFonts w:eastAsia="Times New Roman" w:cs="Times New Roman" w:ascii="Times New Roman" w:hAnsi="Times New Roman"/>
          <w:sz w:val="24"/>
          <w:szCs w:val="24"/>
          <w:lang w:val="en-US"/>
        </w:rPr>
        <w:t>time</w:t>
      </w:r>
      <w:r>
        <w:rPr>
          <w:rFonts w:eastAsia="Times New Roman" w:cs="Times New Roman" w:ascii="Times New Roman" w:hAnsi="Times New Roman"/>
          <w:sz w:val="24"/>
          <w:szCs w:val="24"/>
          <w:lang w:val="ru-RU"/>
        </w:rPr>
        <w:t xml:space="preserve">), чтобы модель понимала цикличность: 23:00 и 00:00. </w:t>
      </w:r>
    </w:p>
    <w:p>
      <w:pPr>
        <w:pStyle w:val="ListParagraph"/>
        <w:numPr>
          <w:ilvl w:val="0"/>
          <w:numId w:val="2"/>
        </w:numPr>
        <w:rPr>
          <w:lang w:val="ru-RU"/>
        </w:rPr>
      </w:pPr>
      <w:r>
        <w:rPr>
          <w:lang w:val="ru-RU"/>
        </w:rPr>
        <w:t xml:space="preserve">Максимум выработки станции подрезался сверху максимальной возможностью выработки при текущем количестве функционирующих ветряков. </w:t>
      </w:r>
    </w:p>
    <w:p>
      <w:pPr>
        <w:pStyle w:val="ListParagraph"/>
        <w:numPr>
          <w:ilvl w:val="0"/>
          <w:numId w:val="2"/>
        </w:numPr>
        <w:rPr/>
      </w:pPr>
      <w:r>
        <w:rPr>
          <w:lang w:val="ru-RU"/>
        </w:rPr>
        <w:t xml:space="preserve">Аналогично с цикличностью времени были добавлены признаки цикличности изменения направления ветра. </w:t>
      </w:r>
    </w:p>
    <w:p>
      <w:pPr>
        <w:pStyle w:val="ListParagraph"/>
        <w:ind w:hanging="0"/>
        <w:rPr/>
      </w:pPr>
      <w:r>
        <w:rPr>
          <w:lang w:val="ru-RU"/>
        </w:rPr>
        <w:t xml:space="preserve">Основные используемые идеи </w:t>
      </w:r>
      <w:r>
        <w:rPr>
          <w:lang w:val="en-US"/>
        </w:rPr>
        <w:t>feature engineering:</w:t>
      </w:r>
    </w:p>
    <w:p>
      <w:pPr>
        <w:pStyle w:val="PreformattedText"/>
        <w:ind w:hanging="0"/>
        <w:rPr/>
      </w:pPr>
      <w:r>
        <w:rPr>
          <w:lang w:val="en-US"/>
        </w:rPr>
        <w:t>hub-height wind features for 84 m</w:t>
      </w:r>
    </w:p>
    <w:p>
      <w:pPr>
        <w:pStyle w:val="PreformattedText"/>
        <w:rPr/>
      </w:pPr>
      <w:r>
        <w:rPr/>
        <w:t>wind speed squared and cubed</w:t>
      </w:r>
    </w:p>
    <w:p>
      <w:pPr>
        <w:pStyle w:val="PreformattedText"/>
        <w:rPr/>
      </w:pPr>
      <w:r>
        <w:rPr/>
        <w:t>power curve proxy</w:t>
      </w:r>
    </w:p>
    <w:p>
      <w:pPr>
        <w:pStyle w:val="PreformattedText"/>
        <w:rPr/>
      </w:pPr>
      <w:r>
        <w:rPr/>
        <w:t>availability and repair-count features</w:t>
      </w:r>
    </w:p>
    <w:p>
      <w:pPr>
        <w:pStyle w:val="PreformattedText"/>
        <w:rPr/>
      </w:pPr>
      <w:r>
        <w:rPr/>
        <w:t>wind direction sin/cos and sectors</w:t>
      </w:r>
    </w:p>
    <w:p>
      <w:pPr>
        <w:pStyle w:val="PreformattedText"/>
        <w:rPr/>
      </w:pPr>
      <w:r>
        <w:rPr/>
        <w:t>wind shear and veer features</w:t>
      </w:r>
    </w:p>
    <w:p>
      <w:pPr>
        <w:pStyle w:val="PreformattedText"/>
        <w:rPr/>
      </w:pPr>
      <w:r>
        <w:rPr/>
        <w:t>air density and density-corrected wind features</w:t>
      </w:r>
    </w:p>
    <w:p>
      <w:pPr>
        <w:pStyle w:val="PreformattedText"/>
        <w:spacing w:before="0" w:after="283"/>
        <w:rPr/>
      </w:pPr>
      <w:r>
        <w:rPr/>
        <w:t>lag, rolling and ema wind features</w:t>
      </w:r>
    </w:p>
    <w:p>
      <w:pPr>
        <w:pStyle w:val="ListParagraph"/>
        <w:ind w:hanging="0"/>
        <w:rPr>
          <w:lang w:val="en-US"/>
        </w:rPr>
      </w:pPr>
      <w:r>
        <w:rPr/>
      </w:r>
    </w:p>
    <w:p>
      <w:pPr>
        <w:pStyle w:val="Heading1"/>
        <w:rPr>
          <w:b w:val="false"/>
          <w:b w:val="false"/>
          <w:bCs w:val="false"/>
          <w:sz w:val="24"/>
          <w:szCs w:val="24"/>
          <w:lang w:val="ru-RU"/>
        </w:rPr>
      </w:pPr>
      <w:r>
        <w:rPr>
          <w:lang w:val="ru-RU"/>
        </w:rPr>
        <w:t>6. Запуск</w:t>
      </w:r>
    </w:p>
    <w:p>
      <w:pPr>
        <w:pStyle w:val="Heading1"/>
        <w:rPr/>
      </w:pPr>
      <w:r>
        <w:rPr>
          <w:b w:val="false"/>
          <w:bCs w:val="false"/>
          <w:color w:val="000000"/>
          <w:sz w:val="21"/>
          <w:szCs w:val="21"/>
          <w:lang w:val="ru-RU"/>
        </w:rPr>
        <w:t xml:space="preserve">Процесс запуска и использования модели подробно описан в файле </w:t>
      </w:r>
      <w:r>
        <w:rPr>
          <w:b w:val="false"/>
          <w:bCs w:val="false"/>
          <w:color w:val="000000"/>
          <w:sz w:val="21"/>
          <w:szCs w:val="21"/>
          <w:lang w:val="en-US"/>
        </w:rPr>
        <w:t xml:space="preserve">README.md </w:t>
      </w:r>
      <w:r>
        <w:rPr>
          <w:b w:val="false"/>
          <w:bCs w:val="false"/>
          <w:color w:val="000000"/>
          <w:sz w:val="21"/>
          <w:szCs w:val="21"/>
          <w:lang w:val="ru-RU"/>
        </w:rPr>
        <w:t xml:space="preserve">в нашем репозитории </w:t>
      </w:r>
      <w:r>
        <w:rPr>
          <w:b w:val="false"/>
          <w:bCs w:val="false"/>
          <w:color w:val="000000"/>
          <w:sz w:val="21"/>
          <w:szCs w:val="21"/>
          <w:lang w:val="en-US"/>
        </w:rPr>
        <w:t>GitHub: https://github.com/Fokkss/wildDikks</w:t>
      </w:r>
    </w:p>
    <w:p>
      <w:pPr>
        <w:pStyle w:val="Heading1"/>
        <w:rPr/>
      </w:pPr>
      <w:r>
        <w:rPr>
          <w:lang w:val="ru-RU"/>
        </w:rPr>
        <w:t>7</w:t>
      </w:r>
      <w:r>
        <w:rPr>
          <w:lang w:val="ru-RU"/>
        </w:rPr>
        <w:t>. Использованные материалы</w:t>
      </w:r>
    </w:p>
    <w:p>
      <w:pPr>
        <w:pStyle w:val="Normal"/>
        <w:numPr>
          <w:ilvl w:val="0"/>
          <w:numId w:val="1"/>
        </w:numPr>
        <w:pBdr/>
        <w:rPr/>
      </w:pPr>
      <w:hyperlink r:id="rId2">
        <w:r>
          <w:rPr>
            <w:rStyle w:val="InternetLink"/>
          </w:rPr>
          <w:t>https</w:t>
        </w:r>
        <w:r>
          <w:rPr>
            <w:rStyle w:val="InternetLink"/>
            <w:lang w:val="ru-RU"/>
          </w:rPr>
          <w:t>://</w:t>
        </w:r>
        <w:r>
          <w:rPr>
            <w:rStyle w:val="InternetLink"/>
          </w:rPr>
          <w:t>ntrs</w:t>
        </w:r>
        <w:r>
          <w:rPr>
            <w:rStyle w:val="InternetLink"/>
            <w:lang w:val="ru-RU"/>
          </w:rPr>
          <w:t>.</w:t>
        </w:r>
        <w:r>
          <w:rPr>
            <w:rStyle w:val="InternetLink"/>
          </w:rPr>
          <w:t>nasa</w:t>
        </w:r>
        <w:r>
          <w:rPr>
            <w:rStyle w:val="InternetLink"/>
            <w:lang w:val="ru-RU"/>
          </w:rPr>
          <w:t>.</w:t>
        </w:r>
        <w:r>
          <w:rPr>
            <w:rStyle w:val="InternetLink"/>
          </w:rPr>
          <w:t>gov</w:t>
        </w:r>
        <w:r>
          <w:rPr>
            <w:rStyle w:val="InternetLink"/>
            <w:lang w:val="ru-RU"/>
          </w:rPr>
          <w:t>/</w:t>
        </w:r>
        <w:r>
          <w:rPr>
            <w:rStyle w:val="InternetLink"/>
          </w:rPr>
          <w:t>api</w:t>
        </w:r>
        <w:r>
          <w:rPr>
            <w:rStyle w:val="InternetLink"/>
            <w:lang w:val="ru-RU"/>
          </w:rPr>
          <w:t>/</w:t>
        </w:r>
        <w:r>
          <w:rPr>
            <w:rStyle w:val="InternetLink"/>
          </w:rPr>
          <w:t>citations</w:t>
        </w:r>
        <w:r>
          <w:rPr>
            <w:rStyle w:val="InternetLink"/>
            <w:lang w:val="ru-RU"/>
          </w:rPr>
          <w:t>/19800017864/</w:t>
        </w:r>
        <w:r>
          <w:rPr>
            <w:rStyle w:val="InternetLink"/>
          </w:rPr>
          <w:t>downloads</w:t>
        </w:r>
        <w:r>
          <w:rPr>
            <w:rStyle w:val="InternetLink"/>
            <w:lang w:val="ru-RU"/>
          </w:rPr>
          <w:t>/19800017864.</w:t>
        </w:r>
        <w:r>
          <w:rPr>
            <w:rStyle w:val="InternetLink"/>
          </w:rPr>
          <w:t>pdf</w:t>
        </w:r>
      </w:hyperlink>
    </w:p>
    <w:p>
      <w:pPr>
        <w:pStyle w:val="Normal"/>
        <w:numPr>
          <w:ilvl w:val="0"/>
          <w:numId w:val="1"/>
        </w:numPr>
        <w:pBdr/>
        <w:rPr/>
      </w:pPr>
      <w:hyperlink r:id="rId3">
        <w:r>
          <w:rPr>
            <w:rStyle w:val="InternetLink"/>
            <w:lang w:val="ru-RU"/>
          </w:rPr>
          <w:t>https://arxiv.org/pdf/2505.10898</w:t>
        </w:r>
      </w:hyperlink>
    </w:p>
    <w:p>
      <w:pPr>
        <w:pStyle w:val="Normal"/>
        <w:numPr>
          <w:ilvl w:val="0"/>
          <w:numId w:val="1"/>
        </w:numPr>
        <w:pBdr/>
        <w:rPr/>
      </w:pPr>
      <w:hyperlink r:id="rId4">
        <w:r>
          <w:rPr>
            <w:rStyle w:val="InternetLink"/>
            <w:lang w:val="ru-RU"/>
          </w:rPr>
          <w:t>https://elar.urfu.ru/bitstream/10995/147559/1/m_th_a.s.rogovoy_2025.pdf</w:t>
        </w:r>
      </w:hyperlink>
    </w:p>
    <w:p>
      <w:pPr>
        <w:pStyle w:val="Normal"/>
        <w:numPr>
          <w:ilvl w:val="0"/>
          <w:numId w:val="1"/>
        </w:numPr>
        <w:pBdr/>
        <w:rPr/>
      </w:pPr>
      <w:hyperlink r:id="rId5">
        <w:r>
          <w:rPr>
            <w:rStyle w:val="InternetLink"/>
            <w:lang w:val="ru-RU"/>
          </w:rPr>
          <w:t>https://www.mdpi.com/1996-1073/16/2/938</w:t>
        </w:r>
      </w:hyperlink>
    </w:p>
    <w:p>
      <w:pPr>
        <w:pStyle w:val="Normal"/>
        <w:pBdr/>
        <w:spacing w:before="0" w:after="200"/>
        <w:ind w:left="360" w:hanging="0"/>
        <w:rPr/>
      </w:pPr>
      <w:r>
        <w:rPr/>
      </w:r>
    </w:p>
    <w:sectPr>
      <w:footerReference w:type="default" r:id="rId6"/>
      <w:type w:val="nextPage"/>
      <w:pgSz w:w="12240" w:h="15840"/>
      <w:pgMar w:left="1008" w:right="1008" w:header="0" w:top="936" w:footer="720" w:bottom="936" w:gutter="0"/>
      <w:pgNumType w:start="1" w:fmt="decimal"/>
      <w:formProt w:val="false"/>
      <w:textDirection w:val="lrTb"/>
      <w:docGrid w:type="default" w:linePitch="10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Times New Roman">
    <w:charset w:val="cc"/>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Verdana">
    <w:charset w:val="cc"/>
    <w:family w:val="roman"/>
    <w:pitch w:val="variable"/>
  </w:font>
  <w:font w:name="Calibri">
    <w:charset w:val="cc"/>
    <w:family w:val="roman"/>
    <w:pitch w:val="variable"/>
  </w:font>
  <w:font w:name="Arial">
    <w:charset w:val="cc"/>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Courier New">
    <w:charset w:val="cc"/>
    <w:family w:val="modern"/>
    <w:pitch w:val="fixed"/>
    <w:embedRegular r:id="rId10" w:fontKey="{0A014A78-CABC-4EF0-12AC-5CD89AEFDE0A}"/>
    <w:embedBold r:id="rId11" w:fontKey="{0B014A78-CABC-4EF0-12AC-5CD89AEFDE0B}"/>
    <w:embedItalic r:id="rId12" w:fontKey="{0C014A78-CABC-4EF0-12AC-5CD89AEFDE0C}"/>
    <w:embedBoldItalic r:id="rId13" w:fontKey="{0D014A78-CABC-4EF0-12AC-5CD89AEFDE0D}"/>
  </w:font>
  <w:font w:name="Courier New">
    <w:charset w:val="cc"/>
    <w:family w:val="roman"/>
    <w:pitch w:val="variable"/>
  </w:font>
  <w:font w:name="Verdana">
    <w:charset w:val="01"/>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Noto Sans Symbols">
    <w:charset w:val="01"/>
    <w:family w:val="auto"/>
    <w:pitch w:val="default"/>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abs>
        <w:tab w:val="clear" w:pos="720"/>
        <w:tab w:val="center" w:pos="4680" w:leader="none"/>
        <w:tab w:val="right" w:pos="9360" w:leader="none"/>
      </w:tabs>
      <w:spacing w:lineRule="auto" w:line="240" w:before="0" w:after="0"/>
      <w:jc w:val="center"/>
      <w:rPr>
        <w:color w:val="000000"/>
      </w:rPr>
    </w:pPr>
    <w:r>
      <w:rPr>
        <w:color w:val="00000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360" w:hanging="360"/>
      </w:pPr>
      <w:rPr>
        <w:rFonts w:ascii="Noto Sans Symbols" w:hAnsi="Noto Sans Symbols" w:cs="Noto Sans Symbols" w:hint="default"/>
        <w:rFonts w:cs="Noto Sans Symbols"/>
      </w:rPr>
    </w:lvl>
    <w:lvl w:ilvl="1">
      <w:start w:val="1"/>
      <w:numFmt w:val="bullet"/>
      <w:lvlText w:val=""/>
      <w:lvlJc w:val="left"/>
      <w:pPr>
        <w:ind w:left="0" w:hanging="0"/>
      </w:pPr>
      <w:rPr>
        <w:rFonts w:ascii="OpenSymbol" w:hAnsi="OpenSymbol" w:cs="OpenSymbol" w:hint="default"/>
      </w:rPr>
    </w:lvl>
    <w:lvl w:ilvl="2">
      <w:start w:val="1"/>
      <w:numFmt w:val="bullet"/>
      <w:lvlText w:val=""/>
      <w:lvlJc w:val="left"/>
      <w:pPr>
        <w:ind w:left="0" w:hanging="0"/>
      </w:pPr>
      <w:rPr>
        <w:rFonts w:ascii="OpenSymbol" w:hAnsi="OpenSymbol" w:cs="OpenSymbol" w:hint="default"/>
      </w:rPr>
    </w:lvl>
    <w:lvl w:ilvl="3">
      <w:start w:val="1"/>
      <w:numFmt w:val="bullet"/>
      <w:lvlText w:val=""/>
      <w:lvlJc w:val="left"/>
      <w:pPr>
        <w:ind w:left="0" w:hanging="0"/>
      </w:pPr>
      <w:rPr>
        <w:rFonts w:ascii="OpenSymbol" w:hAnsi="OpenSymbol" w:cs="OpenSymbol" w:hint="default"/>
      </w:rPr>
    </w:lvl>
    <w:lvl w:ilvl="4">
      <w:start w:val="1"/>
      <w:numFmt w:val="bullet"/>
      <w:lvlText w:val=""/>
      <w:lvlJc w:val="left"/>
      <w:pPr>
        <w:ind w:left="0" w:hanging="0"/>
      </w:pPr>
      <w:rPr>
        <w:rFonts w:ascii="OpenSymbol" w:hAnsi="OpenSymbol" w:cs="OpenSymbol" w:hint="default"/>
      </w:rPr>
    </w:lvl>
    <w:lvl w:ilvl="5">
      <w:start w:val="1"/>
      <w:numFmt w:val="bullet"/>
      <w:lvlText w:val=""/>
      <w:lvlJc w:val="left"/>
      <w:pPr>
        <w:ind w:left="0" w:hanging="0"/>
      </w:pPr>
      <w:rPr>
        <w:rFonts w:ascii="OpenSymbol" w:hAnsi="OpenSymbol" w:cs="OpenSymbol" w:hint="default"/>
      </w:rPr>
    </w:lvl>
    <w:lvl w:ilvl="6">
      <w:start w:val="1"/>
      <w:numFmt w:val="bullet"/>
      <w:lvlText w:val=""/>
      <w:lvlJc w:val="left"/>
      <w:pPr>
        <w:ind w:left="0" w:hanging="0"/>
      </w:pPr>
      <w:rPr>
        <w:rFonts w:ascii="OpenSymbol" w:hAnsi="OpenSymbol" w:cs="OpenSymbol" w:hint="default"/>
      </w:rPr>
    </w:lvl>
    <w:lvl w:ilvl="7">
      <w:start w:val="1"/>
      <w:numFmt w:val="bullet"/>
      <w:lvlText w:val=""/>
      <w:lvlJc w:val="left"/>
      <w:pPr>
        <w:ind w:left="0" w:hanging="0"/>
      </w:pPr>
      <w:rPr>
        <w:rFonts w:ascii="OpenSymbol" w:hAnsi="OpenSymbol" w:cs="OpenSymbol" w:hint="default"/>
      </w:rPr>
    </w:lvl>
    <w:lvl w:ilvl="8">
      <w:start w:val="1"/>
      <w:numFmt w:val="bullet"/>
      <w:lvlText w:val=""/>
      <w:lvlJc w:val="left"/>
      <w:pPr>
        <w:ind w:left="0" w:hanging="0"/>
      </w:pPr>
      <w:rPr>
        <w:rFonts w:ascii="OpenSymbol" w:hAnsi="OpenSymbol" w:cs="OpenSymbol" w:hint="default"/>
      </w:r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embedTrueTypeFonts/>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Verdana" w:hAnsi="Verdana" w:eastAsia="Verdana" w:cs="Verdana"/>
        <w:sz w:val="21"/>
        <w:szCs w:val="21"/>
        <w:lang w:val="en" w:eastAsia="ru-RU"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Verdana" w:hAnsi="Verdana" w:eastAsia="Verdana" w:cs="Verdana"/>
      <w:color w:val="auto"/>
      <w:kern w:val="0"/>
      <w:sz w:val="21"/>
      <w:szCs w:val="21"/>
      <w:lang w:val="en" w:eastAsia="ru-RU" w:bidi="ar-SA"/>
    </w:rPr>
  </w:style>
  <w:style w:type="paragraph" w:styleId="Heading1">
    <w:name w:val="Heading 1"/>
    <w:basedOn w:val="Normal"/>
    <w:next w:val="Normal"/>
    <w:link w:val="Heading1Char"/>
    <w:uiPriority w:val="9"/>
    <w:qFormat/>
    <w:pPr>
      <w:keepNext w:val="true"/>
      <w:keepLines/>
      <w:spacing w:before="480" w:after="0"/>
      <w:outlineLvl w:val="0"/>
    </w:pPr>
    <w:rPr>
      <w:b/>
      <w:bCs/>
      <w:color w:val="366091"/>
      <w:sz w:val="30"/>
      <w:szCs w:val="30"/>
    </w:rPr>
  </w:style>
  <w:style w:type="paragraph" w:styleId="Heading2">
    <w:name w:val="Heading 2"/>
    <w:basedOn w:val="Normal"/>
    <w:next w:val="Normal"/>
    <w:uiPriority w:val="9"/>
    <w:semiHidden/>
    <w:unhideWhenUsed/>
    <w:qFormat/>
    <w:pPr>
      <w:keepNext w:val="true"/>
      <w:keepLines/>
      <w:spacing w:before="200" w:after="0"/>
      <w:outlineLvl w:val="1"/>
    </w:pPr>
    <w:rPr>
      <w:b/>
      <w:bCs/>
      <w:color w:val="4F81BD"/>
      <w:sz w:val="24"/>
      <w:szCs w:val="24"/>
    </w:rPr>
  </w:style>
  <w:style w:type="paragraph" w:styleId="Heading3">
    <w:name w:val="Heading 3"/>
    <w:basedOn w:val="Normal"/>
    <w:next w:val="Normal"/>
    <w:uiPriority w:val="9"/>
    <w:semiHidden/>
    <w:unhideWhenUsed/>
    <w:qFormat/>
    <w:pPr>
      <w:keepNext w:val="true"/>
      <w:keepLines/>
      <w:spacing w:before="200" w:after="0"/>
      <w:outlineLvl w:val="2"/>
    </w:pPr>
    <w:rPr>
      <w:b/>
      <w:bCs/>
      <w:color w:val="4F81BD"/>
      <w:sz w:val="22"/>
      <w:szCs w:val="22"/>
    </w:rPr>
  </w:style>
  <w:style w:type="paragraph" w:styleId="Heading4">
    <w:name w:val="Heading 4"/>
    <w:basedOn w:val="Normal"/>
    <w:next w:val="Normal"/>
    <w:uiPriority w:val="9"/>
    <w:semiHidden/>
    <w:unhideWhenUsed/>
    <w:qFormat/>
    <w:pPr>
      <w:keepNext w:val="true"/>
      <w:keepLines/>
      <w:spacing w:before="200" w:after="0"/>
      <w:outlineLvl w:val="3"/>
    </w:pPr>
    <w:rPr>
      <w:rFonts w:ascii="Calibri" w:hAnsi="Calibri" w:eastAsia="Calibri" w:cs="Calibri"/>
      <w:b/>
      <w:bCs/>
      <w:i/>
      <w:iCs/>
      <w:color w:val="4F81BD"/>
    </w:rPr>
  </w:style>
  <w:style w:type="paragraph" w:styleId="Heading5">
    <w:name w:val="Heading 5"/>
    <w:basedOn w:val="Normal"/>
    <w:next w:val="Normal"/>
    <w:uiPriority w:val="9"/>
    <w:semiHidden/>
    <w:unhideWhenUsed/>
    <w:qFormat/>
    <w:pPr>
      <w:keepNext w:val="true"/>
      <w:keepLines/>
      <w:spacing w:before="200" w:after="0"/>
      <w:outlineLvl w:val="4"/>
    </w:pPr>
    <w:rPr>
      <w:rFonts w:ascii="Calibri" w:hAnsi="Calibri" w:eastAsia="Calibri" w:cs="Calibri"/>
      <w:color w:val="243F61"/>
    </w:rPr>
  </w:style>
  <w:style w:type="paragraph" w:styleId="Heading6">
    <w:name w:val="Heading 6"/>
    <w:basedOn w:val="Normal"/>
    <w:next w:val="Normal"/>
    <w:uiPriority w:val="9"/>
    <w:semiHidden/>
    <w:unhideWhenUsed/>
    <w:qFormat/>
    <w:pPr>
      <w:keepNext w:val="true"/>
      <w:keepLines/>
      <w:spacing w:before="200" w:after="0"/>
      <w:outlineLvl w:val="5"/>
    </w:pPr>
    <w:rPr>
      <w:rFonts w:ascii="Calibri" w:hAnsi="Calibri" w:eastAsia="Calibri" w:cs="Calibri"/>
      <w:i/>
      <w:iCs/>
      <w:color w:val="243F61"/>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01561"/>
    <w:rPr/>
  </w:style>
  <w:style w:type="character" w:styleId="FooterChar" w:customStyle="1">
    <w:name w:val="Footer Char"/>
    <w:basedOn w:val="DefaultParagraphFont"/>
    <w:link w:val="Footer"/>
    <w:uiPriority w:val="99"/>
    <w:qFormat/>
    <w:rsid w:val="00a01561"/>
    <w:rPr/>
  </w:style>
  <w:style w:type="character" w:styleId="Heading1Char" w:customStyle="1">
    <w:name w:val="Heading 1 Char"/>
    <w:basedOn w:val="DefaultParagraphFont"/>
    <w:link w:val="Heading1"/>
    <w:uiPriority w:val="9"/>
    <w:qFormat/>
    <w:rsid w:val="00bf2ddc"/>
    <w:rPr>
      <w:b/>
      <w:bCs/>
      <w:color w:val="366091"/>
      <w:sz w:val="30"/>
      <w:szCs w:val="30"/>
    </w:rPr>
  </w:style>
  <w:style w:type="character" w:styleId="InternetLink">
    <w:name w:val="Internet Link"/>
    <w:basedOn w:val="DefaultParagraphFont"/>
    <w:uiPriority w:val="99"/>
    <w:unhideWhenUsed/>
    <w:rsid w:val="00811103"/>
    <w:rPr>
      <w:color w:val="0000FF" w:themeColor="hyperlink"/>
      <w:u w:val="single"/>
    </w:rPr>
  </w:style>
  <w:style w:type="character" w:styleId="UnresolvedMention">
    <w:name w:val="Unresolved Mention"/>
    <w:basedOn w:val="DefaultParagraphFont"/>
    <w:uiPriority w:val="99"/>
    <w:semiHidden/>
    <w:unhideWhenUsed/>
    <w:qFormat/>
    <w:rsid w:val="00811103"/>
    <w:rPr>
      <w:color w:val="605E5C"/>
      <w:shd w:fill="E1DFDD" w:val="clear"/>
    </w:rPr>
  </w:style>
  <w:style w:type="character" w:styleId="ListLabel1">
    <w:name w:val="ListLabel 1"/>
    <w:qFormat/>
    <w:rPr>
      <w:rFonts w:eastAsia="Noto Sans Symbols" w:cs="Noto Sans Symbols"/>
    </w:rPr>
  </w:style>
  <w:style w:type="character" w:styleId="ListLabel2">
    <w:name w:val="ListLabel 2"/>
    <w:qFormat/>
    <w:rPr/>
  </w:style>
  <w:style w:type="character" w:styleId="ListLabel3">
    <w:name w:val="ListLabel 3"/>
    <w:qFormat/>
    <w:rPr>
      <w:lang w:val="ru-RU"/>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pPr>
      <w:pBdr>
        <w:bottom w:val="single" w:sz="8" w:space="4" w:color="4F81BD"/>
      </w:pBdr>
      <w:spacing w:lineRule="auto" w:line="240" w:before="0" w:after="300"/>
    </w:pPr>
    <w:rPr>
      <w:color w:val="17365D"/>
      <w:sz w:val="44"/>
      <w:szCs w:val="44"/>
    </w:rPr>
  </w:style>
  <w:style w:type="paragraph" w:styleId="Subtitle">
    <w:name w:val="Subtitle"/>
    <w:basedOn w:val="Normal"/>
    <w:next w:val="Normal"/>
    <w:uiPriority w:val="11"/>
    <w:qFormat/>
    <w:pPr/>
    <w:rPr>
      <w:rFonts w:ascii="Calibri" w:hAnsi="Calibri" w:eastAsia="Calibri" w:cs="Calibri"/>
      <w:i/>
      <w:iCs/>
      <w:color w:val="4F81BD"/>
      <w:sz w:val="24"/>
      <w:szCs w:val="24"/>
    </w:rPr>
  </w:style>
  <w:style w:type="paragraph" w:styleId="Header">
    <w:name w:val="Header"/>
    <w:basedOn w:val="Normal"/>
    <w:link w:val="HeaderChar"/>
    <w:uiPriority w:val="99"/>
    <w:unhideWhenUsed/>
    <w:rsid w:val="00a01561"/>
    <w:pPr>
      <w:tabs>
        <w:tab w:val="clear" w:pos="720"/>
        <w:tab w:val="center" w:pos="4677" w:leader="none"/>
        <w:tab w:val="right" w:pos="9355" w:leader="none"/>
      </w:tabs>
      <w:spacing w:lineRule="auto" w:line="240" w:before="0" w:after="0"/>
    </w:pPr>
    <w:rPr/>
  </w:style>
  <w:style w:type="paragraph" w:styleId="Footer">
    <w:name w:val="Footer"/>
    <w:basedOn w:val="Normal"/>
    <w:link w:val="FooterChar"/>
    <w:uiPriority w:val="99"/>
    <w:unhideWhenUsed/>
    <w:rsid w:val="00a01561"/>
    <w:pPr>
      <w:tabs>
        <w:tab w:val="clear" w:pos="720"/>
        <w:tab w:val="center" w:pos="4677" w:leader="none"/>
        <w:tab w:val="right" w:pos="9355" w:leader="none"/>
      </w:tabs>
      <w:spacing w:lineRule="auto" w:line="240" w:before="0" w:after="0"/>
    </w:pPr>
    <w:rPr/>
  </w:style>
  <w:style w:type="paragraph" w:styleId="ListParagraph">
    <w:name w:val="List Paragraph"/>
    <w:basedOn w:val="Normal"/>
    <w:uiPriority w:val="34"/>
    <w:qFormat/>
    <w:rsid w:val="00bf2ddc"/>
    <w:pPr>
      <w:spacing w:before="0" w:after="200"/>
      <w:ind w:left="720" w:hanging="0"/>
      <w:contextualSpacing/>
    </w:pPr>
    <w:rPr/>
  </w:style>
  <w:style w:type="paragraph" w:styleId="PreformattedText">
    <w:name w:val="Preformatted Text"/>
    <w:basedOn w:val="Normal"/>
    <w:qFormat/>
    <w:pPr>
      <w:spacing w:before="0" w:after="0"/>
    </w:pPr>
    <w:rPr>
      <w:rFonts w:ascii="Courier New" w:hAnsi="Courier New" w:eastAsia="Courier New" w:cs="Courier New"/>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trs.nasa.gov/api/citations/19800017864/downloads/19800017864.pdf" TargetMode="External"/><Relationship Id="rId3" Type="http://schemas.openxmlformats.org/officeDocument/2006/relationships/hyperlink" Target="https://arxiv.org/pdf/2505.10898" TargetMode="External"/><Relationship Id="rId4" Type="http://schemas.openxmlformats.org/officeDocument/2006/relationships/hyperlink" Target="https://elar.urfu.ru/bitstream/10995/147559/1/m_th_a.s.rogovoy_2025.pdf" TargetMode="External"/><Relationship Id="rId5" Type="http://schemas.openxmlformats.org/officeDocument/2006/relationships/hyperlink" Target="https://www.mdpi.com/1996-1073/16/2/938"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Application>Neat_Office/6.2.8.2$Windows_x86 LibreOffice_project/</Application>
  <Pages>3</Pages>
  <Words>678</Words>
  <Characters>4930</Characters>
  <CharactersWithSpaces>5560</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2026-05-18T19:56:00Z</dcterms:created>
  <dc:creator>Cherepanov Akim</dc:creator>
  <dc:description/>
  <dc:language>ru-RU</dc:language>
  <cp:lastModifiedBy/>
  <dcterms:modified xsi:type="dcterms:W3CDTF">2026-05-18T23:52:18Z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