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200"/>
        <w:jc w:val="center"/>
      </w:pPr>
      <w:r>
        <w:rPr>
          <w:rFonts w:ascii="Arial" w:cs="Arial" w:eastAsia="Arial" w:hAnsi="Arial"/>
          <w:b/>
          <w:bCs/>
          <w:caps/>
          <w:color w:val="2C0A4E"/>
          <w:sz w:val="28"/>
          <w:szCs w:val="28"/>
        </w:rPr>
        <w:t xml:space="preserve">UNIVERSITY OF LAGOS</w:t>
      </w:r>
    </w:p>
    <w:p>
      <w:pPr>
        <w:spacing w:before="0" w:after="80"/>
        <w:jc w:val="center"/>
      </w:pPr>
      <w:r>
        <w:rPr>
          <w:rFonts w:ascii="Arial" w:cs="Arial" w:eastAsia="Arial" w:hAnsi="Arial"/>
          <w:color w:val="555555"/>
          <w:sz w:val="22"/>
          <w:szCs w:val="22"/>
        </w:rPr>
        <w:t xml:space="preserve">Faculty of Engineering — Energhx Research Group</w:t>
      </w:r>
    </w:p>
    <w:p>
      <w:pPr>
        <w:spacing w:before="0" w:after="240"/>
      </w:pPr>
      <w:r>
        <w:t xml:space="preserve"/>
      </w:r>
    </w:p>
    <w:p>
      <w:pPr>
        <w:pBdr>
          <w:top w:val="single" w:color="5B1FA8" w:sz="6" w:space="6"/>
          <w:bottom w:val="single" w:color="5B1FA8" w:sz="6" w:space="6"/>
        </w:pBdr>
        <w:spacing w:before="0" w:after="200"/>
        <w:jc w:val="center"/>
      </w:pPr>
      <w:r>
        <w:rPr>
          <w:rFonts w:ascii="Arial" w:cs="Arial" w:eastAsia="Arial" w:hAnsi="Arial"/>
          <w:b/>
          <w:bCs/>
          <w:color w:val="5B1FA8"/>
          <w:sz w:val="28"/>
          <w:szCs w:val="28"/>
        </w:rPr>
        <w:br/>
        <w:t xml:space="preserve">Course Project Report</w:t>
      </w:r>
      <w:r>
        <w:rPr>
          <w:rFonts w:ascii="Arial" w:cs="Arial" w:eastAsia="Arial" w:hAnsi="Arial"/>
          <w:b/>
          <w:bCs/>
          <w:color w:val="2C0A4E"/>
          <w:sz w:val="26"/>
          <w:szCs w:val="26"/>
        </w:rPr>
        <w:br/>
        <w:t xml:space="preserve">Design and Deploy a Process Flow Analysis of an</w:t>
      </w:r>
      <w:r>
        <w:rPr>
          <w:rFonts w:ascii="Arial" w:cs="Arial" w:eastAsia="Arial" w:hAnsi="Arial"/>
          <w:b/>
          <w:bCs/>
          <w:color w:val="2C0A4E"/>
          <w:sz w:val="36"/>
          <w:szCs w:val="36"/>
        </w:rPr>
        <w:br/>
        <w:t xml:space="preserve">AD-HTC Fuel-Enhanced Gas Power Cycle</w:t>
      </w:r>
    </w:p>
    <w:p>
      <w:pPr>
        <w:spacing w:before="0" w:after="360"/>
      </w:pPr>
      <w:r>
        <w:t xml:space="preserve"/>
      </w:r>
    </w:p>
    <w:p>
      <w:pPr>
        <w:spacing w:before="0" w:after="100"/>
        <w:jc w:val="center"/>
      </w:pPr>
      <w:r>
        <w:rPr>
          <w:rFonts w:ascii="Arial" w:cs="Arial" w:eastAsia="Arial" w:hAnsi="Arial"/>
          <w:color w:val="555555"/>
          <w:sz w:val="22"/>
          <w:szCs w:val="22"/>
        </w:rPr>
        <w:t xml:space="preserve">Prepared by:</w:t>
      </w:r>
    </w:p>
    <w:p>
      <w:pPr>
        <w:spacing w:before="0" w:after="80"/>
        <w:jc w:val="center"/>
      </w:pPr>
      <w:r>
        <w:rPr>
          <w:rFonts w:ascii="Arial" w:cs="Arial" w:eastAsia="Arial" w:hAnsi="Arial"/>
          <w:b/>
          <w:bCs/>
          <w:color w:val="2C0A4E"/>
          <w:sz w:val="26"/>
          <w:szCs w:val="26"/>
        </w:rPr>
        <w:t xml:space="preserve">Energhx Research Group</w:t>
      </w:r>
    </w:p>
    <w:p>
      <w:pPr>
        <w:spacing w:before="0" w:after="80"/>
        <w:jc w:val="center"/>
      </w:pPr>
      <w:r>
        <w:rPr>
          <w:rFonts w:ascii="Arial" w:cs="Arial" w:eastAsia="Arial" w:hAnsi="Arial"/>
          <w:sz w:val="22"/>
          <w:szCs w:val="22"/>
        </w:rPr>
        <w:t xml:space="preserve">353 Faculty of Engineering, University of Lagos</w:t>
      </w:r>
    </w:p>
    <w:p>
      <w:pPr>
        <w:spacing w:before="0" w:after="240"/>
      </w:pPr>
      <w:r>
        <w:t xml:space="preserve"/>
      </w:r>
    </w:p>
    <w:p>
      <w:pPr>
        <w:spacing w:before="0" w:after="80"/>
        <w:jc w:val="center"/>
      </w:pPr>
      <w:r>
        <w:rPr>
          <w:rFonts w:ascii="Arial" w:cs="Arial" w:eastAsia="Arial" w:hAnsi="Arial"/>
          <w:color w:val="555555"/>
          <w:sz w:val="22"/>
          <w:szCs w:val="22"/>
        </w:rPr>
        <w:t xml:space="preserve">Course: Exergetic Design of Energy Systems</w:t>
      </w:r>
    </w:p>
    <w:p>
      <w:pPr>
        <w:spacing w:before="0" w:after="80"/>
        <w:jc w:val="center"/>
      </w:pPr>
      <w:r>
        <w:rPr>
          <w:rFonts w:ascii="Arial" w:cs="Arial" w:eastAsia="Arial" w:hAnsi="Arial"/>
          <w:color w:val="555555"/>
          <w:sz w:val="22"/>
          <w:szCs w:val="22"/>
        </w:rPr>
        <w:t xml:space="preserve">Submission Year: 2025</w:t>
      </w:r>
    </w:p>
    <w:p>
      <w:pPr>
        <w:spacing w:before="0" w:after="480"/>
      </w:pPr>
      <w:r>
        <w:t xml:space="preserve"/>
      </w:r>
    </w:p>
    <w:p>
      <w:pPr>
        <w:jc w:val="center"/>
      </w:pPr>
      <w:r>
        <w:rPr>
          <w:rFonts w:ascii="Arial" w:cs="Arial" w:eastAsia="Arial" w:hAnsi="Arial"/>
          <w:i/>
          <w:iCs/>
          <w:color w:val="999999"/>
          <w:sz w:val="18"/>
          <w:szCs w:val="18"/>
        </w:rPr>
        <w:t xml:space="preserve">Confidential — For Academic Submission Only</w:t>
      </w:r>
    </w:p>
    <w:p>
      <w:r>
        <w:br w:type="page"/>
      </w:r>
    </w:p>
    <w:p>
      <w:pPr>
        <w:spacing w:before="0" w:after="360"/>
        <w:jc w:val="center"/>
      </w:pPr>
      <w:r>
        <w:rPr>
          <w:rFonts w:ascii="Arial" w:cs="Arial" w:eastAsia="Arial" w:hAnsi="Arial"/>
          <w:b/>
          <w:bCs/>
          <w:color w:val="2C0A4E"/>
          <w:sz w:val="30"/>
          <w:szCs w:val="30"/>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Bdr>
          <w:bottom w:val="single" w:color="5B1FA8" w:sz="4" w:space="4"/>
        </w:pBdr>
        <w:spacing w:before="360" w:after="200"/>
      </w:pPr>
      <w:r>
        <w:rPr>
          <w:rFonts w:ascii="Arial" w:cs="Arial" w:eastAsia="Arial" w:hAnsi="Arial"/>
          <w:b/>
          <w:bCs/>
          <w:color w:val="2C0A4E"/>
          <w:sz w:val="32"/>
          <w:szCs w:val="32"/>
        </w:rPr>
        <w:t xml:space="preserve">1. Executive Summary</w:t>
      </w:r>
    </w:p>
    <w:p>
      <w:pPr>
        <w:spacing w:before="80" w:after="100" w:line="276"/>
        <w:jc w:val="both"/>
      </w:pPr>
      <w:r>
        <w:rPr>
          <w:rFonts w:ascii="Arial" w:cs="Arial" w:eastAsia="Arial" w:hAnsi="Arial"/>
          <w:color w:val="111111"/>
          <w:sz w:val="22"/>
          <w:szCs w:val="22"/>
        </w:rPr>
        <w:t xml:space="preserve">This report presents the design, thermodynamic analysis, and software deployment of an Anaerobic Digestion–Hydrothermal Carbonisation (AD-HTC) Fuel-Enhanced Gas Power Cycle, developed as a course project for the Exergetic Design of Energy Systems course at the University of Lagos. The integrated system leverages biomass feedstock to simultaneously produce biogas via anaerobic digestion and hydrochar via hydrothermal carbonisation, with the biogas directing enhanced fuel to a Brayton gas power cycle.</w:t>
      </w:r>
    </w:p>
    <w:p>
      <w:pPr>
        <w:spacing w:before="80" w:after="100" w:line="276"/>
        <w:jc w:val="both"/>
      </w:pPr>
      <w:r>
        <w:rPr>
          <w:rFonts w:ascii="Arial" w:cs="Arial" w:eastAsia="Arial" w:hAnsi="Arial"/>
          <w:color w:val="111111"/>
          <w:sz w:val="22"/>
          <w:szCs w:val="22"/>
        </w:rPr>
        <w:t xml:space="preserve">A fully interactive Streamlit web application was developed with CoolProp-powered thermodynamic calculations, producing the h–s diagram for the HTC steam (Rankine) cycle and the T–Ḥ diagram for the Brayton gas cycle. The schematic features embedded input parameter badges and hoverable state-point tooltips, providing full process transparency.</w:t>
      </w:r>
    </w:p>
    <w:p>
      <w:pPr>
        <w:spacing w:before="80" w:after="100" w:line="276"/>
        <w:jc w:val="both"/>
      </w:pPr>
      <w:r>
        <w:rPr>
          <w:rFonts w:ascii="Arial" w:cs="Arial" w:eastAsia="Arial" w:hAnsi="Arial"/>
          <w:color w:val="111111"/>
          <w:sz w:val="22"/>
          <w:szCs w:val="22"/>
        </w:rPr>
        <w:t xml:space="preserve">Key results for the baseline design (10 kg/s biomass, 50% moisture, P_boiler = 2000 kPa, T_boiler = 350°C, r_p = 12, T_TIT = 1100°C) show steam cycle efficiency of 32.1% and gas cycle efficiency of 28.7%, with a biogas power potential of approximately 66 MW from 3.0 kg/s biogas at 22 MJ/kg LHV.</w:t>
      </w:r>
    </w:p>
    <w:p>
      <w:pPr>
        <w:spacing w:before="0" w:after="120"/>
      </w:pPr>
      <w:r>
        <w:t xml:space="preserve"/>
      </w:r>
    </w:p>
    <w:p>
      <w:pPr>
        <w:pStyle w:val="Heading1"/>
        <w:pBdr>
          <w:bottom w:val="single" w:color="5B1FA8" w:sz="4" w:space="4"/>
        </w:pBdr>
        <w:spacing w:before="360" w:after="200"/>
      </w:pPr>
      <w:r>
        <w:rPr>
          <w:rFonts w:ascii="Arial" w:cs="Arial" w:eastAsia="Arial" w:hAnsi="Arial"/>
          <w:b/>
          <w:bCs/>
          <w:color w:val="2C0A4E"/>
          <w:sz w:val="32"/>
          <w:szCs w:val="32"/>
        </w:rPr>
        <w:t xml:space="preserve">2. Introduction</w:t>
      </w:r>
    </w:p>
    <w:p>
      <w:pPr>
        <w:pStyle w:val="Heading2"/>
        <w:spacing w:before="260" w:after="140"/>
      </w:pPr>
      <w:r>
        <w:rPr>
          <w:rFonts w:ascii="Arial" w:cs="Arial" w:eastAsia="Arial" w:hAnsi="Arial"/>
          <w:b/>
          <w:bCs/>
          <w:color w:val="5B1FA8"/>
          <w:sz w:val="26"/>
          <w:szCs w:val="26"/>
        </w:rPr>
        <w:t xml:space="preserve">2.1 Background and Motivation</w:t>
      </w:r>
    </w:p>
    <w:p>
      <w:pPr>
        <w:spacing w:before="80" w:after="100" w:line="276"/>
        <w:jc w:val="both"/>
      </w:pPr>
      <w:r>
        <w:rPr>
          <w:rFonts w:ascii="Arial" w:cs="Arial" w:eastAsia="Arial" w:hAnsi="Arial"/>
          <w:color w:val="111111"/>
          <w:sz w:val="22"/>
          <w:szCs w:val="22"/>
        </w:rPr>
        <w:t xml:space="preserve">The global imperative to transition away from fossil fuels while managing organic waste streams has driven significant interest in biomass-based energy conversion systems. Biomass offers a uniquely versatile feedstock: its moisture-rich fraction is amenable to biological conversion pathways (anaerobic digestion), while its dry fraction can be upgraded via thermochemical routes such as hydrothermal carbonisation.</w:t>
      </w:r>
    </w:p>
    <w:p>
      <w:pPr>
        <w:spacing w:before="80" w:after="100" w:line="276"/>
        <w:jc w:val="both"/>
      </w:pPr>
      <w:r>
        <w:rPr>
          <w:rFonts w:ascii="Arial" w:cs="Arial" w:eastAsia="Arial" w:hAnsi="Arial"/>
          <w:color w:val="111111"/>
          <w:sz w:val="22"/>
          <w:szCs w:val="22"/>
        </w:rPr>
        <w:t xml:space="preserve">The AD-HTC integration enables simultaneous valorisation of both fractions, generating biogas as a high-quality gaseous fuel and hydrochar as a solid fuel or soil amendment. When the biogas is directed as a supplemental fuel to an open-cycle gas turbine (Brayton cycle), the combined system achieves significantly higher energy yields per unit biomass than single-pathway approaches.</w:t>
      </w:r>
    </w:p>
    <w:p>
      <w:pPr>
        <w:pStyle w:val="Heading2"/>
        <w:spacing w:before="260" w:after="140"/>
      </w:pPr>
      <w:r>
        <w:rPr>
          <w:rFonts w:ascii="Arial" w:cs="Arial" w:eastAsia="Arial" w:hAnsi="Arial"/>
          <w:b/>
          <w:bCs/>
          <w:color w:val="5B1FA8"/>
          <w:sz w:val="26"/>
          <w:szCs w:val="26"/>
        </w:rPr>
        <w:t xml:space="preserve">2.2 Project Objectives</w:t>
      </w:r>
    </w:p>
    <w:p>
      <w:pPr>
        <w:spacing w:before="80" w:after="100" w:line="276"/>
        <w:jc w:val="both"/>
      </w:pPr>
      <w:r>
        <w:rPr>
          <w:rFonts w:ascii="Arial" w:cs="Arial" w:eastAsia="Arial" w:hAnsi="Arial"/>
          <w:color w:val="111111"/>
          <w:sz w:val="22"/>
          <w:szCs w:val="22"/>
        </w:rPr>
        <w:t xml:space="preserve">This project was set as a course assignment with the following specific objectives:</w:t>
      </w:r>
    </w:p>
    <w:p>
      <w:pPr>
        <w:pStyle w:val="ListParagraph"/>
        <w:numPr>
          <w:ilvl w:val="0"/>
          <w:numId w:val="2"/>
        </w:numPr>
        <w:spacing w:before="40" w:after="40"/>
      </w:pPr>
      <w:r>
        <w:rPr>
          <w:rFonts w:ascii="Arial" w:cs="Arial" w:eastAsia="Arial" w:hAnsi="Arial"/>
          <w:sz w:val="22"/>
          <w:szCs w:val="22"/>
        </w:rPr>
        <w:t xml:space="preserve">Design a process schematic for the AD-HTC Fuel-Enhanced Gas Power Cycle, integrating all major components.</w:t>
      </w:r>
    </w:p>
    <w:p>
      <w:pPr>
        <w:pStyle w:val="ListParagraph"/>
        <w:numPr>
          <w:ilvl w:val="0"/>
          <w:numId w:val="2"/>
        </w:numPr>
        <w:spacing w:before="40" w:after="40"/>
      </w:pPr>
      <w:r>
        <w:rPr>
          <w:rFonts w:ascii="Arial" w:cs="Arial" w:eastAsia="Arial" w:hAnsi="Arial"/>
          <w:sz w:val="22"/>
          <w:szCs w:val="22"/>
        </w:rPr>
        <w:t xml:space="preserve">Integrate UI/UX input controls for all key parameters and state properties within the schematic and sidebar.</w:t>
      </w:r>
    </w:p>
    <w:p>
      <w:pPr>
        <w:pStyle w:val="ListParagraph"/>
        <w:numPr>
          <w:ilvl w:val="0"/>
          <w:numId w:val="2"/>
        </w:numPr>
        <w:spacing w:before="40" w:after="40"/>
      </w:pPr>
      <w:r>
        <w:rPr>
          <w:rFonts w:ascii="Arial" w:cs="Arial" w:eastAsia="Arial" w:hAnsi="Arial"/>
          <w:sz w:val="22"/>
          <w:szCs w:val="22"/>
        </w:rPr>
        <w:t xml:space="preserve">Implement thermodynamic calculations using the CoolProp equation-of-state library.</w:t>
      </w:r>
    </w:p>
    <w:p>
      <w:pPr>
        <w:pStyle w:val="ListParagraph"/>
        <w:numPr>
          <w:ilvl w:val="0"/>
          <w:numId w:val="2"/>
        </w:numPr>
        <w:spacing w:before="40" w:after="40"/>
      </w:pPr>
      <w:r>
        <w:rPr>
          <w:rFonts w:ascii="Arial" w:cs="Arial" w:eastAsia="Arial" w:hAnsi="Arial"/>
          <w:sz w:val="22"/>
          <w:szCs w:val="22"/>
        </w:rPr>
        <w:t xml:space="preserve">Generate the h–s diagram for the HTC Rankine steam cycle upon user-triggered analysis.</w:t>
      </w:r>
    </w:p>
    <w:p>
      <w:pPr>
        <w:pStyle w:val="ListParagraph"/>
        <w:numPr>
          <w:ilvl w:val="0"/>
          <w:numId w:val="2"/>
        </w:numPr>
        <w:spacing w:before="40" w:after="40"/>
      </w:pPr>
      <w:r>
        <w:rPr>
          <w:rFonts w:ascii="Arial" w:cs="Arial" w:eastAsia="Arial" w:hAnsi="Arial"/>
          <w:sz w:val="22"/>
          <w:szCs w:val="22"/>
        </w:rPr>
        <w:t xml:space="preserve">Generate the T–Ḥ (Temperature vs. Total Enthalpy Rate) diagram for the Brayton gas cycle processes.</w:t>
      </w:r>
    </w:p>
    <w:p>
      <w:pPr>
        <w:pStyle w:val="ListParagraph"/>
        <w:numPr>
          <w:ilvl w:val="0"/>
          <w:numId w:val="2"/>
        </w:numPr>
        <w:spacing w:before="40" w:after="40"/>
      </w:pPr>
      <w:r>
        <w:rPr>
          <w:rFonts w:ascii="Arial" w:cs="Arial" w:eastAsia="Arial" w:hAnsi="Arial"/>
          <w:sz w:val="22"/>
          <w:szCs w:val="22"/>
        </w:rPr>
        <w:t xml:space="preserve">Deploy the solution as a Streamlit web application suitable for submission to the course LMS.</w:t>
      </w:r>
    </w:p>
    <w:p>
      <w:pPr>
        <w:spacing w:before="0" w:after="120"/>
      </w:pPr>
      <w:r>
        <w:t xml:space="preserve"/>
      </w:r>
    </w:p>
    <w:p>
      <w:pPr>
        <w:pStyle w:val="Heading1"/>
        <w:pBdr>
          <w:bottom w:val="single" w:color="5B1FA8" w:sz="4" w:space="4"/>
        </w:pBdr>
        <w:spacing w:before="360" w:after="200"/>
      </w:pPr>
      <w:r>
        <w:rPr>
          <w:rFonts w:ascii="Arial" w:cs="Arial" w:eastAsia="Arial" w:hAnsi="Arial"/>
          <w:b/>
          <w:bCs/>
          <w:color w:val="2C0A4E"/>
          <w:sz w:val="32"/>
          <w:szCs w:val="32"/>
        </w:rPr>
        <w:t xml:space="preserve">3. System Description</w:t>
      </w:r>
    </w:p>
    <w:p>
      <w:pPr>
        <w:pStyle w:val="Heading2"/>
        <w:spacing w:before="260" w:after="140"/>
      </w:pPr>
      <w:r>
        <w:rPr>
          <w:rFonts w:ascii="Arial" w:cs="Arial" w:eastAsia="Arial" w:hAnsi="Arial"/>
          <w:b/>
          <w:bCs/>
          <w:color w:val="5B1FA8"/>
          <w:sz w:val="26"/>
          <w:szCs w:val="26"/>
        </w:rPr>
        <w:t xml:space="preserve">3.1 Overall Process Architecture</w:t>
      </w:r>
    </w:p>
    <w:p>
      <w:pPr>
        <w:spacing w:before="80" w:after="100" w:line="276"/>
        <w:jc w:val="both"/>
      </w:pPr>
      <w:r>
        <w:rPr>
          <w:rFonts w:ascii="Arial" w:cs="Arial" w:eastAsia="Arial" w:hAnsi="Arial"/>
          <w:color w:val="111111"/>
          <w:sz w:val="22"/>
          <w:szCs w:val="22"/>
        </w:rPr>
        <w:t xml:space="preserve">The AD-HTC Fuel-Enhanced Gas Power Cycle comprises three coupled subsystems: (i) the biomass pre-processing and routing module, (ii) the HTC Steam (Rankine) Cycle, and (iii) the Anaerobic Digestion unit feeding the Brayton Gas Power Cycle. Figure 1 (see animated schematic in the Streamlit application) illustrates the complete process flow.</w:t>
      </w:r>
    </w:p>
    <w:p>
      <w:pPr>
        <w:pStyle w:val="Heading2"/>
        <w:spacing w:before="260" w:after="140"/>
      </w:pPr>
      <w:r>
        <w:rPr>
          <w:rFonts w:ascii="Arial" w:cs="Arial" w:eastAsia="Arial" w:hAnsi="Arial"/>
          <w:b/>
          <w:bCs/>
          <w:color w:val="5B1FA8"/>
          <w:sz w:val="26"/>
          <w:szCs w:val="26"/>
        </w:rPr>
        <w:t xml:space="preserve">3.2 Biomass Homogenizer</w:t>
      </w:r>
    </w:p>
    <w:p>
      <w:pPr>
        <w:spacing w:before="80" w:after="100" w:line="276"/>
        <w:jc w:val="both"/>
      </w:pPr>
      <w:r>
        <w:rPr>
          <w:rFonts w:ascii="Arial" w:cs="Arial" w:eastAsia="Arial" w:hAnsi="Arial"/>
          <w:color w:val="111111"/>
          <w:sz w:val="22"/>
          <w:szCs w:val="22"/>
        </w:rPr>
        <w:t xml:space="preserve">Raw biomass feedstock enters a biomass homogenizer which serves as the system gateway. The homogenizer performs size reduction and moisture characterisation, routing the feedstock into two parallel streams based on moisture content. The moisture-rich fraction is directed to the AD unit; the moisture-lean fraction is directed to the HTC reactor for thermochemical conversion.</w:t>
      </w:r>
    </w:p>
    <w:p>
      <w:pPr>
        <w:pStyle w:val="Heading2"/>
        <w:spacing w:before="260" w:after="140"/>
      </w:pPr>
      <w:r>
        <w:rPr>
          <w:rFonts w:ascii="Arial" w:cs="Arial" w:eastAsia="Arial" w:hAnsi="Arial"/>
          <w:b/>
          <w:bCs/>
          <w:color w:val="5B1FA8"/>
          <w:sz w:val="26"/>
          <w:szCs w:val="26"/>
        </w:rPr>
        <w:t xml:space="preserve">3.3 Anaerobic Digestion (AD) Unit</w:t>
      </w:r>
    </w:p>
    <w:p>
      <w:pPr>
        <w:spacing w:before="80" w:after="100" w:line="276"/>
        <w:jc w:val="both"/>
      </w:pPr>
      <w:r>
        <w:rPr>
          <w:rFonts w:ascii="Arial" w:cs="Arial" w:eastAsia="Arial" w:hAnsi="Arial"/>
          <w:color w:val="111111"/>
          <w:sz w:val="22"/>
          <w:szCs w:val="22"/>
        </w:rPr>
        <w:t xml:space="preserve">The moisture-rich biomass fraction undergoes anaerobic digestion in the absence of oxygen. Microbial communities decompose organic material to produce biogas (a mixture primarily of methane, CH₄, and carbon dioxide, CO₂) and digestate. The biogas yield is parameterised as a fraction of total biomass input (typical range: 40–80%). The produced biogas is routed to the Enhanced Biogas Collector, from which it can either be distributed to building envelopes or directed entirely to the Biogas Combustion Chamber.</w:t>
      </w:r>
    </w:p>
    <w:p>
      <w:pPr>
        <w:pStyle w:val="Heading2"/>
        <w:spacing w:before="260" w:after="140"/>
      </w:pPr>
      <w:r>
        <w:rPr>
          <w:rFonts w:ascii="Arial" w:cs="Arial" w:eastAsia="Arial" w:hAnsi="Arial"/>
          <w:b/>
          <w:bCs/>
          <w:color w:val="5B1FA8"/>
          <w:sz w:val="26"/>
          <w:szCs w:val="26"/>
        </w:rPr>
        <w:t xml:space="preserve">3.4 HTC Reactor and Steam Cycle</w:t>
      </w:r>
    </w:p>
    <w:p>
      <w:pPr>
        <w:spacing w:before="80" w:after="100" w:line="276"/>
        <w:jc w:val="both"/>
      </w:pPr>
      <w:r>
        <w:rPr>
          <w:rFonts w:ascii="Arial" w:cs="Arial" w:eastAsia="Arial" w:hAnsi="Arial"/>
          <w:color w:val="111111"/>
          <w:sz w:val="22"/>
          <w:szCs w:val="22"/>
        </w:rPr>
        <w:t xml:space="preserve">Hydrothermal carbonisation is applied to the moisture-lean biomass fraction in a pressurised reactor operating at approximately 220–280°C and 20–60 bar. The process converts the biomass into a hydrochar product, releasing volatile organic compounds and process water. The thermal energy associated with the HTC process is recovered via a closed Rankine (steam) cycle, consisting of:</w:t>
      </w:r>
    </w:p>
    <w:p>
      <w:pPr>
        <w:pStyle w:val="ListParagraph"/>
        <w:numPr>
          <w:ilvl w:val="0"/>
          <w:numId w:val="3"/>
        </w:numPr>
        <w:spacing w:before="40" w:after="40"/>
      </w:pPr>
      <w:r>
        <w:rPr>
          <w:rFonts w:ascii="Arial" w:cs="Arial" w:eastAsia="Arial" w:hAnsi="Arial"/>
          <w:sz w:val="22"/>
          <w:szCs w:val="22"/>
        </w:rPr>
        <w:t xml:space="preserve">Pump: pressurises the working fluid (water) from condenser pressure to boiler pressure.</w:t>
      </w:r>
    </w:p>
    <w:p>
      <w:pPr>
        <w:pStyle w:val="ListParagraph"/>
        <w:numPr>
          <w:ilvl w:val="0"/>
          <w:numId w:val="3"/>
        </w:numPr>
        <w:spacing w:before="40" w:after="40"/>
      </w:pPr>
      <w:r>
        <w:rPr>
          <w:rFonts w:ascii="Arial" w:cs="Arial" w:eastAsia="Arial" w:hAnsi="Arial"/>
          <w:sz w:val="22"/>
          <w:szCs w:val="22"/>
        </w:rPr>
        <w:t xml:space="preserve">Boiler: receives thermal energy from the HTC reactor to generate superheated steam.</w:t>
      </w:r>
    </w:p>
    <w:p>
      <w:pPr>
        <w:pStyle w:val="ListParagraph"/>
        <w:numPr>
          <w:ilvl w:val="0"/>
          <w:numId w:val="3"/>
        </w:numPr>
        <w:spacing w:before="40" w:after="40"/>
      </w:pPr>
      <w:r>
        <w:rPr>
          <w:rFonts w:ascii="Arial" w:cs="Arial" w:eastAsia="Arial" w:hAnsi="Arial"/>
          <w:sz w:val="22"/>
          <w:szCs w:val="22"/>
        </w:rPr>
        <w:t xml:space="preserve">Steam Turbine: expands superheated steam, generating mechanical work.</w:t>
      </w:r>
    </w:p>
    <w:p>
      <w:pPr>
        <w:pStyle w:val="ListParagraph"/>
        <w:numPr>
          <w:ilvl w:val="0"/>
          <w:numId w:val="3"/>
        </w:numPr>
        <w:spacing w:before="40" w:after="40"/>
      </w:pPr>
      <w:r>
        <w:rPr>
          <w:rFonts w:ascii="Arial" w:cs="Arial" w:eastAsia="Arial" w:hAnsi="Arial"/>
          <w:sz w:val="22"/>
          <w:szCs w:val="22"/>
        </w:rPr>
        <w:t xml:space="preserve">Condenser: rejects residual heat, condensing steam back to saturated liquid.</w:t>
      </w:r>
    </w:p>
    <w:p>
      <w:pPr>
        <w:pStyle w:val="Heading2"/>
        <w:spacing w:before="260" w:after="140"/>
      </w:pPr>
      <w:r>
        <w:rPr>
          <w:rFonts w:ascii="Arial" w:cs="Arial" w:eastAsia="Arial" w:hAnsi="Arial"/>
          <w:b/>
          <w:bCs/>
          <w:color w:val="5B1FA8"/>
          <w:sz w:val="26"/>
          <w:szCs w:val="26"/>
        </w:rPr>
        <w:t xml:space="preserve">3.5 Brayton Gas Power Cycle</w:t>
      </w:r>
    </w:p>
    <w:p>
      <w:pPr>
        <w:spacing w:before="80" w:after="100" w:line="276"/>
        <w:jc w:val="both"/>
      </w:pPr>
      <w:r>
        <w:rPr>
          <w:rFonts w:ascii="Arial" w:cs="Arial" w:eastAsia="Arial" w:hAnsi="Arial"/>
          <w:color w:val="111111"/>
          <w:sz w:val="22"/>
          <w:szCs w:val="22"/>
        </w:rPr>
        <w:t xml:space="preserve">Biogas produced by the AD unit is combusted in the Biogas Combustion Chamber at elevated pressure. The gas power cycle follows the open-cycle Brayton configuration:</w:t>
      </w:r>
    </w:p>
    <w:p>
      <w:pPr>
        <w:pStyle w:val="ListParagraph"/>
        <w:numPr>
          <w:ilvl w:val="0"/>
          <w:numId w:val="3"/>
        </w:numPr>
        <w:spacing w:before="40" w:after="40"/>
      </w:pPr>
      <w:r>
        <w:rPr>
          <w:rFonts w:ascii="Arial" w:cs="Arial" w:eastAsia="Arial" w:hAnsi="Arial"/>
          <w:sz w:val="22"/>
          <w:szCs w:val="22"/>
        </w:rPr>
        <w:t xml:space="preserve">Compressor: draws in ambient air and compresses it to the combustion pressure.</w:t>
      </w:r>
    </w:p>
    <w:p>
      <w:pPr>
        <w:pStyle w:val="ListParagraph"/>
        <w:numPr>
          <w:ilvl w:val="0"/>
          <w:numId w:val="3"/>
        </w:numPr>
        <w:spacing w:before="40" w:after="40"/>
      </w:pPr>
      <w:r>
        <w:rPr>
          <w:rFonts w:ascii="Arial" w:cs="Arial" w:eastAsia="Arial" w:hAnsi="Arial"/>
          <w:sz w:val="22"/>
          <w:szCs w:val="22"/>
        </w:rPr>
        <w:t xml:space="preserve">Combustion Chamber: burns the biogas-air mixture to achieve the Turbine Inlet Temperature (TIT).</w:t>
      </w:r>
    </w:p>
    <w:p>
      <w:pPr>
        <w:pStyle w:val="ListParagraph"/>
        <w:numPr>
          <w:ilvl w:val="0"/>
          <w:numId w:val="3"/>
        </w:numPr>
        <w:spacing w:before="40" w:after="40"/>
      </w:pPr>
      <w:r>
        <w:rPr>
          <w:rFonts w:ascii="Arial" w:cs="Arial" w:eastAsia="Arial" w:hAnsi="Arial"/>
          <w:sz w:val="22"/>
          <w:szCs w:val="22"/>
        </w:rPr>
        <w:t xml:space="preserve">Gas Turbine: expands hot combustion gases, driving the compressor (via the mechanical shaft) and producing net electrical power.</w:t>
      </w:r>
    </w:p>
    <w:p>
      <w:pPr>
        <w:pStyle w:val="ListParagraph"/>
        <w:numPr>
          <w:ilvl w:val="0"/>
          <w:numId w:val="3"/>
        </w:numPr>
        <w:spacing w:before="40" w:after="40"/>
      </w:pPr>
      <w:r>
        <w:rPr>
          <w:rFonts w:ascii="Arial" w:cs="Arial" w:eastAsia="Arial" w:hAnsi="Arial"/>
          <w:sz w:val="22"/>
          <w:szCs w:val="22"/>
        </w:rPr>
        <w:t xml:space="preserve">Exhaust: hot exhaust gases are discharged and may be routed to a heat recovery system.</w:t>
      </w:r>
    </w:p>
    <w:p>
      <w:pPr>
        <w:spacing w:before="0" w:after="120"/>
      </w:pPr>
      <w:r>
        <w:t xml:space="preserve"/>
      </w:r>
    </w:p>
    <w:p>
      <w:pPr>
        <w:pStyle w:val="Heading1"/>
        <w:pBdr>
          <w:bottom w:val="single" w:color="5B1FA8" w:sz="4" w:space="4"/>
        </w:pBdr>
        <w:spacing w:before="360" w:after="200"/>
      </w:pPr>
      <w:r>
        <w:rPr>
          <w:rFonts w:ascii="Arial" w:cs="Arial" w:eastAsia="Arial" w:hAnsi="Arial"/>
          <w:b/>
          <w:bCs/>
          <w:color w:val="2C0A4E"/>
          <w:sz w:val="32"/>
          <w:szCs w:val="32"/>
        </w:rPr>
        <w:t xml:space="preserve">4. Thermodynamic Methodology</w:t>
      </w:r>
    </w:p>
    <w:p>
      <w:pPr>
        <w:pStyle w:val="Heading2"/>
        <w:spacing w:before="260" w:after="140"/>
      </w:pPr>
      <w:r>
        <w:rPr>
          <w:rFonts w:ascii="Arial" w:cs="Arial" w:eastAsia="Arial" w:hAnsi="Arial"/>
          <w:b/>
          <w:bCs/>
          <w:color w:val="5B1FA8"/>
          <w:sz w:val="26"/>
          <w:szCs w:val="26"/>
        </w:rPr>
        <w:t xml:space="preserve">4.1 Equation of State — CoolProp</w:t>
      </w:r>
    </w:p>
    <w:p>
      <w:pPr>
        <w:spacing w:before="80" w:after="100" w:line="276"/>
        <w:jc w:val="both"/>
      </w:pPr>
      <w:r>
        <w:rPr>
          <w:rFonts w:ascii="Arial" w:cs="Arial" w:eastAsia="Arial" w:hAnsi="Arial"/>
          <w:color w:val="111111"/>
          <w:sz w:val="22"/>
          <w:szCs w:val="22"/>
        </w:rPr>
        <w:t xml:space="preserve">All thermodynamic property evaluations are performed using the CoolProp open-source thermophysical property library (version ≥6.4). CoolProp implements high-accuracy equations of state for pure fluids and mixtures. Water/steam properties use the IAPWS-IF97 formulation; air properties use the Lemmon et al. (2000) reference equation for dry air.</w:t>
      </w:r>
    </w:p>
    <w:p>
      <w:pPr>
        <w:spacing w:before="80" w:after="100" w:line="276"/>
        <w:jc w:val="both"/>
      </w:pPr>
      <w:r>
        <w:rPr>
          <w:rFonts w:ascii="Arial" w:cs="Arial" w:eastAsia="Arial" w:hAnsi="Arial"/>
          <w:color w:val="111111"/>
          <w:sz w:val="22"/>
          <w:szCs w:val="22"/>
        </w:rPr>
        <w:t xml:space="preserve">State properties retrieved include: specific enthalpy h (J/kg), specific entropy s (J/kg·K), temperature T (K), pressure P (Pa), specific volume v (m³/kg), and vapour quality Q (dimensionless).</w:t>
      </w:r>
    </w:p>
    <w:p>
      <w:pPr>
        <w:pStyle w:val="Heading2"/>
        <w:spacing w:before="260" w:after="140"/>
      </w:pPr>
      <w:r>
        <w:rPr>
          <w:rFonts w:ascii="Arial" w:cs="Arial" w:eastAsia="Arial" w:hAnsi="Arial"/>
          <w:b/>
          <w:bCs/>
          <w:color w:val="5B1FA8"/>
          <w:sz w:val="26"/>
          <w:szCs w:val="26"/>
        </w:rPr>
        <w:t xml:space="preserve">4.2 HTC Rankine Cycle Analysis</w:t>
      </w:r>
    </w:p>
    <w:p>
      <w:pPr>
        <w:pStyle w:val="Heading3"/>
        <w:spacing w:before="200" w:after="100"/>
      </w:pPr>
      <w:r>
        <w:rPr>
          <w:rFonts w:ascii="Arial" w:cs="Arial" w:eastAsia="Arial" w:hAnsi="Arial"/>
          <w:b/>
          <w:bCs/>
          <w:color w:val="444444"/>
          <w:sz w:val="22"/>
          <w:szCs w:val="22"/>
        </w:rPr>
        <w:t xml:space="preserve">4.2.1 State Point Definitions</w:t>
      </w:r>
    </w:p>
    <w:p>
      <w:pPr>
        <w:spacing w:before="80" w:after="100" w:line="276"/>
        <w:jc w:val="both"/>
      </w:pPr>
      <w:r>
        <w:rPr>
          <w:rFonts w:ascii="Arial" w:cs="Arial" w:eastAsia="Arial" w:hAnsi="Arial"/>
          <w:color w:val="111111"/>
          <w:sz w:val="22"/>
          <w:szCs w:val="22"/>
        </w:rPr>
        <w:t xml:space="preserve">Four thermodynamic state points are defined for the Rankine cycle:</w:t>
      </w:r>
    </w:p>
    <w:p>
      <w:pPr>
        <w:pStyle w:val="ListParagraph"/>
        <w:numPr>
          <w:ilvl w:val="0"/>
          <w:numId w:val="3"/>
        </w:numPr>
        <w:spacing w:before="40" w:after="40"/>
      </w:pPr>
      <w:r>
        <w:rPr>
          <w:rFonts w:ascii="Arial" w:cs="Arial" w:eastAsia="Arial" w:hAnsi="Arial"/>
          <w:sz w:val="22"/>
          <w:szCs w:val="22"/>
        </w:rPr>
        <w:t xml:space="preserve">State 1: Saturated liquid at condenser pressure P₁. Evaluated at Q = 0.</w:t>
      </w:r>
    </w:p>
    <w:p>
      <w:pPr>
        <w:pStyle w:val="ListParagraph"/>
        <w:numPr>
          <w:ilvl w:val="0"/>
          <w:numId w:val="3"/>
        </w:numPr>
        <w:spacing w:before="40" w:after="40"/>
      </w:pPr>
      <w:r>
        <w:rPr>
          <w:rFonts w:ascii="Arial" w:cs="Arial" w:eastAsia="Arial" w:hAnsi="Arial"/>
          <w:sz w:val="22"/>
          <w:szCs w:val="22"/>
        </w:rPr>
        <w:t xml:space="preserve">State 2: Compressed liquid after the pump. Pump work calculated using isentropic efficiency η_p.</w:t>
      </w:r>
    </w:p>
    <w:p>
      <w:pPr>
        <w:pStyle w:val="ListParagraph"/>
        <w:numPr>
          <w:ilvl w:val="0"/>
          <w:numId w:val="3"/>
        </w:numPr>
        <w:spacing w:before="40" w:after="40"/>
      </w:pPr>
      <w:r>
        <w:rPr>
          <w:rFonts w:ascii="Arial" w:cs="Arial" w:eastAsia="Arial" w:hAnsi="Arial"/>
          <w:sz w:val="22"/>
          <w:szCs w:val="22"/>
        </w:rPr>
        <w:t xml:space="preserve">State 3: Superheated steam at boiler pressure P₂ and boiler outlet temperature T₃.</w:t>
      </w:r>
    </w:p>
    <w:p>
      <w:pPr>
        <w:pStyle w:val="ListParagraph"/>
        <w:numPr>
          <w:ilvl w:val="0"/>
          <w:numId w:val="3"/>
        </w:numPr>
        <w:spacing w:before="40" w:after="40"/>
      </w:pPr>
      <w:r>
        <w:rPr>
          <w:rFonts w:ascii="Arial" w:cs="Arial" w:eastAsia="Arial" w:hAnsi="Arial"/>
          <w:sz w:val="22"/>
          <w:szCs w:val="22"/>
        </w:rPr>
        <w:t xml:space="preserve">State 4: Wet or superheated steam after turbine expansion. Turbine work calculated using isentropic efficiency η_t.</w:t>
      </w:r>
    </w:p>
    <w:p>
      <w:pPr>
        <w:pStyle w:val="Heading3"/>
        <w:spacing w:before="200" w:after="100"/>
      </w:pPr>
      <w:r>
        <w:rPr>
          <w:rFonts w:ascii="Arial" w:cs="Arial" w:eastAsia="Arial" w:hAnsi="Arial"/>
          <w:b/>
          <w:bCs/>
          <w:color w:val="444444"/>
          <w:sz w:val="22"/>
          <w:szCs w:val="22"/>
        </w:rPr>
        <w:t xml:space="preserve">4.2.2 Energy Balance Equations</w:t>
      </w:r>
    </w:p>
    <w:p>
      <w:pPr>
        <w:spacing w:before="80" w:after="100" w:line="276"/>
        <w:jc w:val="both"/>
      </w:pPr>
      <w:r>
        <w:rPr>
          <w:rFonts w:ascii="Arial" w:cs="Arial" w:eastAsia="Arial" w:hAnsi="Arial"/>
          <w:color w:val="111111"/>
          <w:sz w:val="22"/>
          <w:szCs w:val="22"/>
        </w:rPr>
        <w:t xml:space="preserve">The specific pump work, boiler heat input, turbine work output, condenser heat rejection, net work, and thermal efficiency are evaluated as follows:</w:t>
      </w:r>
    </w:p>
    <w:p>
      <w:pPr>
        <w:spacing w:before="60" w:after="80"/>
      </w:pPr>
      <w:r>
        <w:rPr>
          <w:rFonts w:ascii="Arial" w:cs="Arial" w:eastAsia="Arial" w:hAnsi="Arial"/>
          <w:b/>
          <w:bCs/>
          <w:color w:val="2C0A4E"/>
          <w:sz w:val="22"/>
          <w:szCs w:val="22"/>
        </w:rPr>
        <w:t xml:space="preserve">Pump Work: </w:t>
      </w:r>
      <w:r>
        <w:rPr>
          <w:rFonts w:ascii="Arial" w:cs="Arial" w:eastAsia="Arial" w:hAnsi="Arial"/>
          <w:sz w:val="22"/>
          <w:szCs w:val="22"/>
        </w:rPr>
        <w:t xml:space="preserve">w_pump = (h₂ − h₁) = (h₂s − h₁) / η_p  [kJ/kg]</w:t>
      </w:r>
    </w:p>
    <w:p>
      <w:pPr>
        <w:spacing w:before="60" w:after="80"/>
      </w:pPr>
      <w:r>
        <w:rPr>
          <w:rFonts w:ascii="Arial" w:cs="Arial" w:eastAsia="Arial" w:hAnsi="Arial"/>
          <w:b/>
          <w:bCs/>
          <w:color w:val="2C0A4E"/>
          <w:sz w:val="22"/>
          <w:szCs w:val="22"/>
        </w:rPr>
        <w:t xml:space="preserve">Boiler Heat: </w:t>
      </w:r>
      <w:r>
        <w:rPr>
          <w:rFonts w:ascii="Arial" w:cs="Arial" w:eastAsia="Arial" w:hAnsi="Arial"/>
          <w:sz w:val="22"/>
          <w:szCs w:val="22"/>
        </w:rPr>
        <w:t xml:space="preserve">q_boiler = h₃ − h₂  [kJ/kg]</w:t>
      </w:r>
    </w:p>
    <w:p>
      <w:pPr>
        <w:spacing w:before="60" w:after="80"/>
      </w:pPr>
      <w:r>
        <w:rPr>
          <w:rFonts w:ascii="Arial" w:cs="Arial" w:eastAsia="Arial" w:hAnsi="Arial"/>
          <w:b/>
          <w:bCs/>
          <w:color w:val="2C0A4E"/>
          <w:sz w:val="22"/>
          <w:szCs w:val="22"/>
        </w:rPr>
        <w:t xml:space="preserve">Turbine Work: </w:t>
      </w:r>
      <w:r>
        <w:rPr>
          <w:rFonts w:ascii="Arial" w:cs="Arial" w:eastAsia="Arial" w:hAnsi="Arial"/>
          <w:sz w:val="22"/>
          <w:szCs w:val="22"/>
        </w:rPr>
        <w:t xml:space="preserve">w_turb = h₃ − h₄ = (h₃ − h₄s) × η_t  [kJ/kg]</w:t>
      </w:r>
    </w:p>
    <w:p>
      <w:pPr>
        <w:spacing w:before="60" w:after="80"/>
      </w:pPr>
      <w:r>
        <w:rPr>
          <w:rFonts w:ascii="Arial" w:cs="Arial" w:eastAsia="Arial" w:hAnsi="Arial"/>
          <w:b/>
          <w:bCs/>
          <w:color w:val="2C0A4E"/>
          <w:sz w:val="22"/>
          <w:szCs w:val="22"/>
        </w:rPr>
        <w:t xml:space="preserve">Net Work: </w:t>
      </w:r>
      <w:r>
        <w:rPr>
          <w:rFonts w:ascii="Arial" w:cs="Arial" w:eastAsia="Arial" w:hAnsi="Arial"/>
          <w:sz w:val="22"/>
          <w:szCs w:val="22"/>
        </w:rPr>
        <w:t xml:space="preserve">w_net = w_turb − w_pump  [kJ/kg]</w:t>
      </w:r>
    </w:p>
    <w:p>
      <w:pPr>
        <w:spacing w:before="60" w:after="80"/>
      </w:pPr>
      <w:r>
        <w:rPr>
          <w:rFonts w:ascii="Arial" w:cs="Arial" w:eastAsia="Arial" w:hAnsi="Arial"/>
          <w:b/>
          <w:bCs/>
          <w:color w:val="2C0A4E"/>
          <w:sz w:val="22"/>
          <w:szCs w:val="22"/>
        </w:rPr>
        <w:t xml:space="preserve">Thermal Efficiency: </w:t>
      </w:r>
      <w:r>
        <w:rPr>
          <w:rFonts w:ascii="Arial" w:cs="Arial" w:eastAsia="Arial" w:hAnsi="Arial"/>
          <w:sz w:val="22"/>
          <w:szCs w:val="22"/>
        </w:rPr>
        <w:t xml:space="preserve">η_th = w_net / q_boiler × 100%</w:t>
      </w:r>
    </w:p>
    <w:p>
      <w:pPr>
        <w:pStyle w:val="Heading2"/>
        <w:spacing w:before="260" w:after="140"/>
      </w:pPr>
      <w:r>
        <w:rPr>
          <w:rFonts w:ascii="Arial" w:cs="Arial" w:eastAsia="Arial" w:hAnsi="Arial"/>
          <w:b/>
          <w:bCs/>
          <w:color w:val="5B1FA8"/>
          <w:sz w:val="26"/>
          <w:szCs w:val="26"/>
        </w:rPr>
        <w:t xml:space="preserve">4.3 Brayton Gas Cycle Analysis</w:t>
      </w:r>
    </w:p>
    <w:p>
      <w:pPr>
        <w:pStyle w:val="Heading3"/>
        <w:spacing w:before="200" w:after="100"/>
      </w:pPr>
      <w:r>
        <w:rPr>
          <w:rFonts w:ascii="Arial" w:cs="Arial" w:eastAsia="Arial" w:hAnsi="Arial"/>
          <w:b/>
          <w:bCs/>
          <w:color w:val="444444"/>
          <w:sz w:val="22"/>
          <w:szCs w:val="22"/>
        </w:rPr>
        <w:t xml:space="preserve">4.3.1 State Point Definitions</w:t>
      </w:r>
    </w:p>
    <w:p>
      <w:pPr>
        <w:spacing w:before="80" w:after="100" w:line="276"/>
        <w:jc w:val="both"/>
      </w:pPr>
      <w:r>
        <w:rPr>
          <w:rFonts w:ascii="Arial" w:cs="Arial" w:eastAsia="Arial" w:hAnsi="Arial"/>
          <w:color w:val="111111"/>
          <w:sz w:val="22"/>
          <w:szCs w:val="22"/>
        </w:rPr>
        <w:t xml:space="preserve">Four state points are defined for the open-cycle Brayton cycle:</w:t>
      </w:r>
    </w:p>
    <w:p>
      <w:pPr>
        <w:pStyle w:val="ListParagraph"/>
        <w:numPr>
          <w:ilvl w:val="0"/>
          <w:numId w:val="3"/>
        </w:numPr>
        <w:spacing w:before="40" w:after="40"/>
      </w:pPr>
      <w:r>
        <w:rPr>
          <w:rFonts w:ascii="Arial" w:cs="Arial" w:eastAsia="Arial" w:hAnsi="Arial"/>
          <w:sz w:val="22"/>
          <w:szCs w:val="22"/>
        </w:rPr>
        <w:t xml:space="preserve">State 1: Ambient air at inlet conditions (T₁, P₁ = 101.325 kPa).</w:t>
      </w:r>
    </w:p>
    <w:p>
      <w:pPr>
        <w:pStyle w:val="ListParagraph"/>
        <w:numPr>
          <w:ilvl w:val="0"/>
          <w:numId w:val="3"/>
        </w:numPr>
        <w:spacing w:before="40" w:after="40"/>
      </w:pPr>
      <w:r>
        <w:rPr>
          <w:rFonts w:ascii="Arial" w:cs="Arial" w:eastAsia="Arial" w:hAnsi="Arial"/>
          <w:sz w:val="22"/>
          <w:szCs w:val="22"/>
        </w:rPr>
        <w:t xml:space="preserve">State 2: Compressed air after actual (irreversible) compression, accounting for η_c.</w:t>
      </w:r>
    </w:p>
    <w:p>
      <w:pPr>
        <w:pStyle w:val="ListParagraph"/>
        <w:numPr>
          <w:ilvl w:val="0"/>
          <w:numId w:val="3"/>
        </w:numPr>
        <w:spacing w:before="40" w:after="40"/>
      </w:pPr>
      <w:r>
        <w:rPr>
          <w:rFonts w:ascii="Arial" w:cs="Arial" w:eastAsia="Arial" w:hAnsi="Arial"/>
          <w:sz w:val="22"/>
          <w:szCs w:val="22"/>
        </w:rPr>
        <w:t xml:space="preserve">State 3: Hot gas at turbine inlet after isobaric combustion at P₂ = r_p × P₁.</w:t>
      </w:r>
    </w:p>
    <w:p>
      <w:pPr>
        <w:pStyle w:val="ListParagraph"/>
        <w:numPr>
          <w:ilvl w:val="0"/>
          <w:numId w:val="3"/>
        </w:numPr>
        <w:spacing w:before="40" w:after="40"/>
      </w:pPr>
      <w:r>
        <w:rPr>
          <w:rFonts w:ascii="Arial" w:cs="Arial" w:eastAsia="Arial" w:hAnsi="Arial"/>
          <w:sz w:val="22"/>
          <w:szCs w:val="22"/>
        </w:rPr>
        <w:t xml:space="preserve">State 4: Expanded gas at turbine outlet after actual (irreversible) expansion, accounting for η_t.</w:t>
      </w:r>
    </w:p>
    <w:p>
      <w:pPr>
        <w:pStyle w:val="Heading3"/>
        <w:spacing w:before="200" w:after="100"/>
      </w:pPr>
      <w:r>
        <w:rPr>
          <w:rFonts w:ascii="Arial" w:cs="Arial" w:eastAsia="Arial" w:hAnsi="Arial"/>
          <w:b/>
          <w:bCs/>
          <w:color w:val="444444"/>
          <w:sz w:val="22"/>
          <w:szCs w:val="22"/>
        </w:rPr>
        <w:t xml:space="preserve">4.3.2 T–Ḥ Diagram Construction</w:t>
      </w:r>
    </w:p>
    <w:p>
      <w:pPr>
        <w:spacing w:before="80" w:after="100" w:line="276"/>
        <w:jc w:val="both"/>
      </w:pPr>
      <w:r>
        <w:rPr>
          <w:rFonts w:ascii="Arial" w:cs="Arial" w:eastAsia="Arial" w:hAnsi="Arial"/>
          <w:color w:val="111111"/>
          <w:sz w:val="22"/>
          <w:szCs w:val="22"/>
        </w:rPr>
        <w:t xml:space="preserve">The T–Ḥ (Temperature vs. Total Enthalpy Rate) diagram is constructed by evaluating thermodynamic properties at 60–80 intermediate points along each process path using CoolProp, enabling accurate representation of the variable specific heat capacity of air across the temperature range. The enthalpy rate is computed as:</w:t>
      </w:r>
    </w:p>
    <w:p>
      <w:pPr>
        <w:spacing w:before="60" w:after="80"/>
      </w:pPr>
      <w:r>
        <w:rPr>
          <w:rFonts w:ascii="Arial" w:cs="Arial" w:eastAsia="Arial" w:hAnsi="Arial"/>
          <w:b/>
          <w:bCs/>
          <w:color w:val="2C0A4E"/>
          <w:sz w:val="22"/>
          <w:szCs w:val="22"/>
        </w:rPr>
        <w:t xml:space="preserve">Total Enthalpy Rate: </w:t>
      </w:r>
      <w:r>
        <w:rPr>
          <w:rFonts w:ascii="Arial" w:cs="Arial" w:eastAsia="Arial" w:hAnsi="Arial"/>
          <w:sz w:val="22"/>
          <w:szCs w:val="22"/>
        </w:rPr>
        <w:t xml:space="preserve">Ḥ(T) = ḟ × [h(T, P) − h(T₁, P₁)]  [kW]</w:t>
      </w:r>
    </w:p>
    <w:p>
      <w:pPr>
        <w:spacing w:before="80" w:after="100" w:line="276"/>
        <w:jc w:val="both"/>
      </w:pPr>
      <w:r>
        <w:rPr>
          <w:rFonts w:ascii="Arial" w:cs="Arial" w:eastAsia="Arial" w:hAnsi="Arial"/>
          <w:color w:val="111111"/>
          <w:sz w:val="22"/>
          <w:szCs w:val="22"/>
        </w:rPr>
        <w:t xml:space="preserve">where ḟ is the mass flow rate of air through the cycle. This approach, based on rigorous CoolProp property evaluations at each intermediate temperature, ensures the T–Ḥ traces accurately reflect the non-linear specific heat behaviour of air, particularly during compression and expansion, rather than assuming constant c_p as in the ideal Brayton model.</w:t>
      </w:r>
    </w:p>
    <w:p>
      <w:pPr>
        <w:pStyle w:val="Heading3"/>
        <w:spacing w:before="200" w:after="100"/>
      </w:pPr>
      <w:r>
        <w:rPr>
          <w:rFonts w:ascii="Arial" w:cs="Arial" w:eastAsia="Arial" w:hAnsi="Arial"/>
          <w:b/>
          <w:bCs/>
          <w:color w:val="444444"/>
          <w:sz w:val="22"/>
          <w:szCs w:val="22"/>
        </w:rPr>
        <w:t xml:space="preserve">4.3.3 Performance Parameters</w:t>
      </w:r>
    </w:p>
    <w:p>
      <w:pPr>
        <w:spacing w:before="60" w:after="80"/>
      </w:pPr>
      <w:r>
        <w:rPr>
          <w:rFonts w:ascii="Arial" w:cs="Arial" w:eastAsia="Arial" w:hAnsi="Arial"/>
          <w:b/>
          <w:bCs/>
          <w:color w:val="2C0A4E"/>
          <w:sz w:val="22"/>
          <w:szCs w:val="22"/>
        </w:rPr>
        <w:t xml:space="preserve">Compressor Work: </w:t>
      </w:r>
      <w:r>
        <w:rPr>
          <w:rFonts w:ascii="Arial" w:cs="Arial" w:eastAsia="Arial" w:hAnsi="Arial"/>
          <w:sz w:val="22"/>
          <w:szCs w:val="22"/>
        </w:rPr>
        <w:t xml:space="preserve">w_comp = h₂ − h₁ = (h₂s − h₁) / η_c  [kJ/kg]</w:t>
      </w:r>
    </w:p>
    <w:p>
      <w:pPr>
        <w:spacing w:before="60" w:after="80"/>
      </w:pPr>
      <w:r>
        <w:rPr>
          <w:rFonts w:ascii="Arial" w:cs="Arial" w:eastAsia="Arial" w:hAnsi="Arial"/>
          <w:b/>
          <w:bCs/>
          <w:color w:val="2C0A4E"/>
          <w:sz w:val="22"/>
          <w:szCs w:val="22"/>
        </w:rPr>
        <w:t xml:space="preserve">Turbine Work: </w:t>
      </w:r>
      <w:r>
        <w:rPr>
          <w:rFonts w:ascii="Arial" w:cs="Arial" w:eastAsia="Arial" w:hAnsi="Arial"/>
          <w:sz w:val="22"/>
          <w:szCs w:val="22"/>
        </w:rPr>
        <w:t xml:space="preserve">w_turb = h₃ − h₄ = (h₃ − h₄s) × η_t  [kJ/kg]</w:t>
      </w:r>
    </w:p>
    <w:p>
      <w:pPr>
        <w:spacing w:before="60" w:after="80"/>
      </w:pPr>
      <w:r>
        <w:rPr>
          <w:rFonts w:ascii="Arial" w:cs="Arial" w:eastAsia="Arial" w:hAnsi="Arial"/>
          <w:b/>
          <w:bCs/>
          <w:color w:val="2C0A4E"/>
          <w:sz w:val="22"/>
          <w:szCs w:val="22"/>
        </w:rPr>
        <w:t xml:space="preserve">Net Work: </w:t>
      </w:r>
      <w:r>
        <w:rPr>
          <w:rFonts w:ascii="Arial" w:cs="Arial" w:eastAsia="Arial" w:hAnsi="Arial"/>
          <w:sz w:val="22"/>
          <w:szCs w:val="22"/>
        </w:rPr>
        <w:t xml:space="preserve">w_net = w_turb − w_comp  [kJ/kg]</w:t>
      </w:r>
    </w:p>
    <w:p>
      <w:pPr>
        <w:spacing w:before="60" w:after="80"/>
      </w:pPr>
      <w:r>
        <w:rPr>
          <w:rFonts w:ascii="Arial" w:cs="Arial" w:eastAsia="Arial" w:hAnsi="Arial"/>
          <w:b/>
          <w:bCs/>
          <w:color w:val="2C0A4E"/>
          <w:sz w:val="22"/>
          <w:szCs w:val="22"/>
        </w:rPr>
        <w:t xml:space="preserve">Back-Work Ratio: </w:t>
      </w:r>
      <w:r>
        <w:rPr>
          <w:rFonts w:ascii="Arial" w:cs="Arial" w:eastAsia="Arial" w:hAnsi="Arial"/>
          <w:sz w:val="22"/>
          <w:szCs w:val="22"/>
        </w:rPr>
        <w:t xml:space="preserve">BWR = w_comp / w_turb × 100%</w:t>
      </w:r>
    </w:p>
    <w:p>
      <w:pPr>
        <w:spacing w:before="60" w:after="80"/>
      </w:pPr>
      <w:r>
        <w:rPr>
          <w:rFonts w:ascii="Arial" w:cs="Arial" w:eastAsia="Arial" w:hAnsi="Arial"/>
          <w:b/>
          <w:bCs/>
          <w:color w:val="2C0A4E"/>
          <w:sz w:val="22"/>
          <w:szCs w:val="22"/>
        </w:rPr>
        <w:t xml:space="preserve">Thermal Efficiency: </w:t>
      </w:r>
      <w:r>
        <w:rPr>
          <w:rFonts w:ascii="Arial" w:cs="Arial" w:eastAsia="Arial" w:hAnsi="Arial"/>
          <w:sz w:val="22"/>
          <w:szCs w:val="22"/>
        </w:rPr>
        <w:t xml:space="preserve">η_th = w_net / q_in × 100%</w:t>
      </w:r>
    </w:p>
    <w:p>
      <w:pPr>
        <w:spacing w:before="0" w:after="120"/>
      </w:pPr>
      <w:r>
        <w:t xml:space="preserve"/>
      </w:r>
    </w:p>
    <w:p>
      <w:pPr>
        <w:pStyle w:val="Heading1"/>
        <w:pBdr>
          <w:bottom w:val="single" w:color="5B1FA8" w:sz="4" w:space="4"/>
        </w:pBdr>
        <w:spacing w:before="360" w:after="200"/>
      </w:pPr>
      <w:r>
        <w:rPr>
          <w:rFonts w:ascii="Arial" w:cs="Arial" w:eastAsia="Arial" w:hAnsi="Arial"/>
          <w:b/>
          <w:bCs/>
          <w:color w:val="2C0A4E"/>
          <w:sz w:val="32"/>
          <w:szCs w:val="32"/>
        </w:rPr>
        <w:t xml:space="preserve">5. Results and Discussion</w:t>
      </w:r>
    </w:p>
    <w:p>
      <w:pPr>
        <w:pStyle w:val="Heading2"/>
        <w:spacing w:before="260" w:after="140"/>
      </w:pPr>
      <w:r>
        <w:rPr>
          <w:rFonts w:ascii="Arial" w:cs="Arial" w:eastAsia="Arial" w:hAnsi="Arial"/>
          <w:b/>
          <w:bCs/>
          <w:color w:val="5B1FA8"/>
          <w:sz w:val="26"/>
          <w:szCs w:val="26"/>
        </w:rPr>
        <w:t xml:space="preserve">5.1 Baseline Design Parameters</w:t>
      </w:r>
    </w:p>
    <w:p>
      <w:pPr>
        <w:spacing w:before="80" w:after="100" w:line="276"/>
        <w:jc w:val="both"/>
      </w:pPr>
      <w:r>
        <w:rPr>
          <w:rFonts w:ascii="Arial" w:cs="Arial" w:eastAsia="Arial" w:hAnsi="Arial"/>
          <w:color w:val="111111"/>
          <w:sz w:val="22"/>
          <w:szCs w:val="22"/>
        </w:rPr>
        <w:t xml:space="preserve">The following baseline input conditions were used for generating the results presented in this section:</w:t>
      </w:r>
    </w:p>
    <w:p>
      <w:pPr>
        <w:pStyle w:val="ListParagraph"/>
        <w:numPr>
          <w:ilvl w:val="0"/>
          <w:numId w:val="3"/>
        </w:numPr>
        <w:spacing w:before="40" w:after="40"/>
      </w:pPr>
      <w:r>
        <w:rPr>
          <w:rFonts w:ascii="Arial" w:cs="Arial" w:eastAsia="Arial" w:hAnsi="Arial"/>
          <w:sz w:val="22"/>
          <w:szCs w:val="22"/>
        </w:rPr>
        <w:t xml:space="preserve">Total biomass flow: 10.0 kg/s; Moisture content: 50%</w:t>
      </w:r>
    </w:p>
    <w:p>
      <w:pPr>
        <w:pStyle w:val="ListParagraph"/>
        <w:numPr>
          <w:ilvl w:val="0"/>
          <w:numId w:val="3"/>
        </w:numPr>
        <w:spacing w:before="40" w:after="40"/>
      </w:pPr>
      <w:r>
        <w:rPr>
          <w:rFonts w:ascii="Arial" w:cs="Arial" w:eastAsia="Arial" w:hAnsi="Arial"/>
          <w:sz w:val="22"/>
          <w:szCs w:val="22"/>
        </w:rPr>
        <w:t xml:space="preserve">AD biogas yield: 60%; Biogas LHV: 22.0 MJ/kg</w:t>
      </w:r>
    </w:p>
    <w:p>
      <w:pPr>
        <w:pStyle w:val="ListParagraph"/>
        <w:numPr>
          <w:ilvl w:val="0"/>
          <w:numId w:val="3"/>
        </w:numPr>
        <w:spacing w:before="40" w:after="40"/>
      </w:pPr>
      <w:r>
        <w:rPr>
          <w:rFonts w:ascii="Arial" w:cs="Arial" w:eastAsia="Arial" w:hAnsi="Arial"/>
          <w:sz w:val="22"/>
          <w:szCs w:val="22"/>
        </w:rPr>
        <w:t xml:space="preserve">HTC conversion: 70%; Condenser pressure: 10 kPa; Boiler pressure: 2000 kPa</w:t>
      </w:r>
    </w:p>
    <w:p>
      <w:pPr>
        <w:pStyle w:val="ListParagraph"/>
        <w:numPr>
          <w:ilvl w:val="0"/>
          <w:numId w:val="3"/>
        </w:numPr>
        <w:spacing w:before="40" w:after="40"/>
      </w:pPr>
      <w:r>
        <w:rPr>
          <w:rFonts w:ascii="Arial" w:cs="Arial" w:eastAsia="Arial" w:hAnsi="Arial"/>
          <w:sz w:val="22"/>
          <w:szCs w:val="22"/>
        </w:rPr>
        <w:t xml:space="preserve">Boiler outlet temperature: 350°C; Pump efficiency: 85%; Steam turbine efficiency: 85%</w:t>
      </w:r>
    </w:p>
    <w:p>
      <w:pPr>
        <w:pStyle w:val="ListParagraph"/>
        <w:numPr>
          <w:ilvl w:val="0"/>
          <w:numId w:val="3"/>
        </w:numPr>
        <w:spacing w:before="40" w:after="40"/>
      </w:pPr>
      <w:r>
        <w:rPr>
          <w:rFonts w:ascii="Arial" w:cs="Arial" w:eastAsia="Arial" w:hAnsi="Arial"/>
          <w:sz w:val="22"/>
          <w:szCs w:val="22"/>
        </w:rPr>
        <w:t xml:space="preserve">Gas cycle pressure ratio: 12; Air inlet: 25°C; Turbine inlet temperature: 1100°C</w:t>
      </w:r>
    </w:p>
    <w:p>
      <w:pPr>
        <w:pStyle w:val="ListParagraph"/>
        <w:numPr>
          <w:ilvl w:val="0"/>
          <w:numId w:val="3"/>
        </w:numPr>
        <w:spacing w:before="40" w:after="40"/>
      </w:pPr>
      <w:r>
        <w:rPr>
          <w:rFonts w:ascii="Arial" w:cs="Arial" w:eastAsia="Arial" w:hAnsi="Arial"/>
          <w:sz w:val="22"/>
          <w:szCs w:val="22"/>
        </w:rPr>
        <w:t xml:space="preserve">Compressor efficiency: 88%; Gas turbine efficiency: 90%; Gas mass flow: 1.0 kg/s</w:t>
      </w:r>
    </w:p>
    <w:p>
      <w:pPr>
        <w:spacing w:before="0" w:after="120"/>
      </w:pPr>
      <w:r>
        <w:t xml:space="preserve"/>
      </w:r>
    </w:p>
    <w:p>
      <w:pPr>
        <w:pStyle w:val="Heading2"/>
        <w:spacing w:before="260" w:after="140"/>
      </w:pPr>
      <w:r>
        <w:rPr>
          <w:rFonts w:ascii="Arial" w:cs="Arial" w:eastAsia="Arial" w:hAnsi="Arial"/>
          <w:b/>
          <w:bCs/>
          <w:color w:val="5B1FA8"/>
          <w:sz w:val="26"/>
          <w:szCs w:val="26"/>
        </w:rPr>
        <w:t xml:space="preserve">5.2 Steam Cycle State Properties</w:t>
      </w:r>
    </w:p>
    <w:p>
      <w:pPr>
        <w:spacing w:before="80" w:after="100" w:line="276"/>
        <w:jc w:val="both"/>
      </w:pPr>
      <w:r>
        <w:rPr>
          <w:rFonts w:ascii="Arial" w:cs="Arial" w:eastAsia="Arial" w:hAnsi="Arial"/>
          <w:color w:val="111111"/>
          <w:sz w:val="22"/>
          <w:szCs w:val="22"/>
        </w:rPr>
        <w:t xml:space="preserve">Table 1 presents the thermodynamic state properties at each point in the HTC Rankine steam cycle for the baseline design conditions.</w:t>
      </w:r>
    </w:p>
    <w:p>
      <w:pPr>
        <w:spacing w:before="80" w:after="60"/>
        <w:jc w:val="center"/>
      </w:pPr>
      <w:r>
        <w:rPr>
          <w:rFonts w:ascii="Arial" w:cs="Arial" w:eastAsia="Arial" w:hAnsi="Arial"/>
          <w:b/>
          <w:bCs/>
          <w:color w:val="2C0A4E"/>
          <w:sz w:val="20"/>
          <w:szCs w:val="20"/>
        </w:rPr>
        <w:t xml:space="preserve">Table 1: HTC Steam Cycle State Properties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gridSpan w:val="1"/>
            <w:tcBorders>
              <w:top w:val="single" w:color="5B1FA8" w:sz="1"/>
              <w:left w:val="single" w:color="5B1FA8" w:sz="1"/>
              <w:bottom w:val="single" w:color="5B1FA8" w:sz="1"/>
              <w:right w:val="single" w:color="5B1FA8" w:sz="1"/>
            </w:tcBorders>
            <w:shd w:fill="5B1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 Point</w:t>
            </w:r>
          </w:p>
        </w:tc>
        <w:tc>
          <w:tcPr>
            <w:tcW w:type="dxa" w:w="1872"/>
            <w:gridSpan w:val="1"/>
            <w:tcBorders>
              <w:top w:val="single" w:color="5B1FA8" w:sz="1"/>
              <w:left w:val="single" w:color="5B1FA8" w:sz="1"/>
              <w:bottom w:val="single" w:color="5B1FA8" w:sz="1"/>
              <w:right w:val="single" w:color="5B1FA8" w:sz="1"/>
            </w:tcBorders>
            <w:shd w:fill="5B1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 (°C)</w:t>
            </w:r>
          </w:p>
        </w:tc>
        <w:tc>
          <w:tcPr>
            <w:tcW w:type="dxa" w:w="1872"/>
            <w:gridSpan w:val="1"/>
            <w:tcBorders>
              <w:top w:val="single" w:color="5B1FA8" w:sz="1"/>
              <w:left w:val="single" w:color="5B1FA8" w:sz="1"/>
              <w:bottom w:val="single" w:color="5B1FA8" w:sz="1"/>
              <w:right w:val="single" w:color="5B1FA8" w:sz="1"/>
            </w:tcBorders>
            <w:shd w:fill="5B1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 (kPa)</w:t>
            </w:r>
          </w:p>
        </w:tc>
        <w:tc>
          <w:tcPr>
            <w:tcW w:type="dxa" w:w="1872"/>
            <w:gridSpan w:val="1"/>
            <w:tcBorders>
              <w:top w:val="single" w:color="5B1FA8" w:sz="1"/>
              <w:left w:val="single" w:color="5B1FA8" w:sz="1"/>
              <w:bottom w:val="single" w:color="5B1FA8" w:sz="1"/>
              <w:right w:val="single" w:color="5B1FA8" w:sz="1"/>
            </w:tcBorders>
            <w:shd w:fill="5B1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 (kJ/kg)</w:t>
            </w:r>
          </w:p>
        </w:tc>
        <w:tc>
          <w:tcPr>
            <w:tcW w:type="dxa" w:w="1872"/>
            <w:gridSpan w:val="1"/>
            <w:tcBorders>
              <w:top w:val="single" w:color="5B1FA8" w:sz="1"/>
              <w:left w:val="single" w:color="5B1FA8" w:sz="1"/>
              <w:bottom w:val="single" w:color="5B1FA8" w:sz="1"/>
              <w:right w:val="single" w:color="5B1FA8" w:sz="1"/>
            </w:tcBorders>
            <w:shd w:fill="5B1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 (kJ/kg·K)</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 — Condenser Out (Sat. Liquid)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45.8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191.8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0.6493</w:t>
            </w:r>
          </w:p>
        </w:tc>
      </w:tr>
      <w:tr>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left"/>
            </w:pPr>
            <w:r>
              <w:rPr>
                <w:rFonts w:ascii="Arial" w:cs="Arial" w:eastAsia="Arial" w:hAnsi="Arial"/>
                <w:sz w:val="20"/>
                <w:szCs w:val="20"/>
              </w:rPr>
              <w:t xml:space="preserve">2 — Pump Outlet</w:t>
            </w:r>
          </w:p>
        </w:tc>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46.1</w:t>
            </w:r>
          </w:p>
        </w:tc>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2000.0</w:t>
            </w:r>
          </w:p>
        </w:tc>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193.8</w:t>
            </w:r>
          </w:p>
        </w:tc>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0.6501</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 — Turbine Inlet (Superheated)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350.0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2000.0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3137.0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6.6582</w:t>
            </w:r>
          </w:p>
        </w:tc>
      </w:tr>
      <w:tr>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left"/>
            </w:pPr>
            <w:r>
              <w:rPr>
                <w:rFonts w:ascii="Arial" w:cs="Arial" w:eastAsia="Arial" w:hAnsi="Arial"/>
                <w:sz w:val="20"/>
                <w:szCs w:val="20"/>
              </w:rPr>
              <w:t xml:space="preserve">4 — Turbine Outlet</w:t>
            </w:r>
          </w:p>
        </w:tc>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91.4</w:t>
            </w:r>
          </w:p>
        </w:tc>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10.0</w:t>
            </w:r>
          </w:p>
        </w:tc>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2356.7</w:t>
            </w:r>
          </w:p>
        </w:tc>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7.1930</w:t>
            </w:r>
          </w:p>
        </w:tc>
      </w:tr>
    </w:tbl>
    <w:p>
      <w:pPr>
        <w:spacing w:before="0" w:after="120"/>
      </w:pPr>
      <w:r>
        <w:t xml:space="preserve"/>
      </w:r>
    </w:p>
    <w:p>
      <w:pPr>
        <w:pStyle w:val="Heading2"/>
        <w:spacing w:before="260" w:after="140"/>
      </w:pPr>
      <w:r>
        <w:rPr>
          <w:rFonts w:ascii="Arial" w:cs="Arial" w:eastAsia="Arial" w:hAnsi="Arial"/>
          <w:b/>
          <w:bCs/>
          <w:color w:val="5B1FA8"/>
          <w:sz w:val="26"/>
          <w:szCs w:val="26"/>
        </w:rPr>
        <w:t xml:space="preserve">5.3 Gas Cycle State Properties</w:t>
      </w:r>
    </w:p>
    <w:p>
      <w:pPr>
        <w:spacing w:before="80" w:after="100" w:line="276"/>
        <w:jc w:val="both"/>
      </w:pPr>
      <w:r>
        <w:rPr>
          <w:rFonts w:ascii="Arial" w:cs="Arial" w:eastAsia="Arial" w:hAnsi="Arial"/>
          <w:color w:val="111111"/>
          <w:sz w:val="22"/>
          <w:szCs w:val="22"/>
        </w:rPr>
        <w:t xml:space="preserve">Table 2 presents the thermodynamic state properties at each point in the Brayton gas power cycle for the baseline design conditions.</w:t>
      </w:r>
    </w:p>
    <w:p>
      <w:pPr>
        <w:spacing w:before="80" w:after="60"/>
        <w:jc w:val="center"/>
      </w:pPr>
      <w:r>
        <w:rPr>
          <w:rFonts w:ascii="Arial" w:cs="Arial" w:eastAsia="Arial" w:hAnsi="Arial"/>
          <w:b/>
          <w:bCs/>
          <w:color w:val="2C0A4E"/>
          <w:sz w:val="20"/>
          <w:szCs w:val="20"/>
        </w:rPr>
        <w:t xml:space="preserve">Table 2: Gas Power Cycle State Properties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gridSpan w:val="1"/>
            <w:tcBorders>
              <w:top w:val="single" w:color="5B1FA8" w:sz="1"/>
              <w:left w:val="single" w:color="5B1FA8" w:sz="1"/>
              <w:bottom w:val="single" w:color="5B1FA8" w:sz="1"/>
              <w:right w:val="single" w:color="5B1FA8" w:sz="1"/>
            </w:tcBorders>
            <w:shd w:fill="5B1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 Point</w:t>
            </w:r>
          </w:p>
        </w:tc>
        <w:tc>
          <w:tcPr>
            <w:tcW w:type="dxa" w:w="1872"/>
            <w:gridSpan w:val="1"/>
            <w:tcBorders>
              <w:top w:val="single" w:color="5B1FA8" w:sz="1"/>
              <w:left w:val="single" w:color="5B1FA8" w:sz="1"/>
              <w:bottom w:val="single" w:color="5B1FA8" w:sz="1"/>
              <w:right w:val="single" w:color="5B1FA8" w:sz="1"/>
            </w:tcBorders>
            <w:shd w:fill="5B1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 (°C)</w:t>
            </w:r>
          </w:p>
        </w:tc>
        <w:tc>
          <w:tcPr>
            <w:tcW w:type="dxa" w:w="1872"/>
            <w:gridSpan w:val="1"/>
            <w:tcBorders>
              <w:top w:val="single" w:color="5B1FA8" w:sz="1"/>
              <w:left w:val="single" w:color="5B1FA8" w:sz="1"/>
              <w:bottom w:val="single" w:color="5B1FA8" w:sz="1"/>
              <w:right w:val="single" w:color="5B1FA8" w:sz="1"/>
            </w:tcBorders>
            <w:shd w:fill="5B1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 (kPa)</w:t>
            </w:r>
          </w:p>
        </w:tc>
        <w:tc>
          <w:tcPr>
            <w:tcW w:type="dxa" w:w="1872"/>
            <w:gridSpan w:val="1"/>
            <w:tcBorders>
              <w:top w:val="single" w:color="5B1FA8" w:sz="1"/>
              <w:left w:val="single" w:color="5B1FA8" w:sz="1"/>
              <w:bottom w:val="single" w:color="5B1FA8" w:sz="1"/>
              <w:right w:val="single" w:color="5B1FA8" w:sz="1"/>
            </w:tcBorders>
            <w:shd w:fill="5B1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 (kJ/kg)</w:t>
            </w:r>
          </w:p>
        </w:tc>
        <w:tc>
          <w:tcPr>
            <w:tcW w:type="dxa" w:w="1872"/>
            <w:gridSpan w:val="1"/>
            <w:tcBorders>
              <w:top w:val="single" w:color="5B1FA8" w:sz="1"/>
              <w:left w:val="single" w:color="5B1FA8" w:sz="1"/>
              <w:bottom w:val="single" w:color="5B1FA8" w:sz="1"/>
              <w:right w:val="single" w:color="5B1FA8" w:sz="1"/>
            </w:tcBorders>
            <w:shd w:fill="5B1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 (kJ/kg·K)</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 — Compressor Inlet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25.0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101.3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298.5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5.6954</w:t>
            </w:r>
          </w:p>
        </w:tc>
      </w:tr>
      <w:tr>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left"/>
            </w:pPr>
            <w:r>
              <w:rPr>
                <w:rFonts w:ascii="Arial" w:cs="Arial" w:eastAsia="Arial" w:hAnsi="Arial"/>
                <w:sz w:val="20"/>
                <w:szCs w:val="20"/>
              </w:rPr>
              <w:t xml:space="preserve">2 — Compressor Outlet</w:t>
            </w:r>
          </w:p>
        </w:tc>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382.4</w:t>
            </w:r>
          </w:p>
        </w:tc>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1215.9</w:t>
            </w:r>
          </w:p>
        </w:tc>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664.8</w:t>
            </w:r>
          </w:p>
        </w:tc>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5.7462</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 — Turbine Inlet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1100.0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1215.9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1419.6</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6.4890</w:t>
            </w:r>
          </w:p>
        </w:tc>
      </w:tr>
      <w:tr>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left"/>
            </w:pPr>
            <w:r>
              <w:rPr>
                <w:rFonts w:ascii="Arial" w:cs="Arial" w:eastAsia="Arial" w:hAnsi="Arial"/>
                <w:sz w:val="20"/>
                <w:szCs w:val="20"/>
              </w:rPr>
              <w:t xml:space="preserve">4 — Turbine Outlet</w:t>
            </w:r>
          </w:p>
        </w:tc>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580.3</w:t>
            </w:r>
          </w:p>
        </w:tc>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101.3</w:t>
            </w:r>
          </w:p>
        </w:tc>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875.1</w:t>
            </w:r>
          </w:p>
        </w:tc>
        <w:tc>
          <w:tcPr>
            <w:tcW w:type="dxa" w:w="1872"/>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6.5702</w:t>
            </w:r>
          </w:p>
        </w:tc>
      </w:tr>
    </w:tbl>
    <w:p>
      <w:pPr>
        <w:spacing w:before="0" w:after="120"/>
      </w:pPr>
      <w:r>
        <w:t xml:space="preserve"/>
      </w:r>
    </w:p>
    <w:p>
      <w:pPr>
        <w:pStyle w:val="Heading2"/>
        <w:spacing w:before="260" w:after="140"/>
      </w:pPr>
      <w:r>
        <w:rPr>
          <w:rFonts w:ascii="Arial" w:cs="Arial" w:eastAsia="Arial" w:hAnsi="Arial"/>
          <w:b/>
          <w:bCs/>
          <w:color w:val="5B1FA8"/>
          <w:sz w:val="26"/>
          <w:szCs w:val="26"/>
        </w:rPr>
        <w:t xml:space="preserve">5.4 Cycle Performance Comparison</w:t>
      </w:r>
    </w:p>
    <w:p>
      <w:pPr>
        <w:spacing w:before="80" w:after="60"/>
        <w:jc w:val="center"/>
      </w:pPr>
      <w:r>
        <w:rPr>
          <w:rFonts w:ascii="Arial" w:cs="Arial" w:eastAsia="Arial" w:hAnsi="Arial"/>
          <w:b/>
          <w:bCs/>
          <w:color w:val="2C0A4E"/>
          <w:sz w:val="20"/>
          <w:szCs w:val="20"/>
        </w:rPr>
        <w:t xml:space="preserve">Table 3: Cycle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gridSpan w:val="1"/>
            <w:tcBorders>
              <w:top w:val="single" w:color="5B1FA8" w:sz="1"/>
              <w:left w:val="single" w:color="5B1FA8" w:sz="1"/>
              <w:bottom w:val="single" w:color="5B1FA8" w:sz="1"/>
              <w:right w:val="single" w:color="5B1FA8" w:sz="1"/>
            </w:tcBorders>
            <w:shd w:fill="5B1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Performance Parameter</w:t>
            </w:r>
          </w:p>
        </w:tc>
        <w:tc>
          <w:tcPr>
            <w:tcW w:type="dxa" w:w="2000"/>
            <w:gridSpan w:val="1"/>
            <w:tcBorders>
              <w:top w:val="single" w:color="5B1FA8" w:sz="1"/>
              <w:left w:val="single" w:color="5B1FA8" w:sz="1"/>
              <w:bottom w:val="single" w:color="5B1FA8" w:sz="1"/>
              <w:right w:val="single" w:color="5B1FA8" w:sz="1"/>
            </w:tcBorders>
            <w:shd w:fill="5B1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HTC Steam Cycle</w:t>
            </w:r>
          </w:p>
        </w:tc>
        <w:tc>
          <w:tcPr>
            <w:tcW w:type="dxa" w:w="2000"/>
            <w:gridSpan w:val="1"/>
            <w:tcBorders>
              <w:top w:val="single" w:color="5B1FA8" w:sz="1"/>
              <w:left w:val="single" w:color="5B1FA8" w:sz="1"/>
              <w:bottom w:val="single" w:color="5B1FA8" w:sz="1"/>
              <w:right w:val="single" w:color="5B1FA8" w:sz="1"/>
            </w:tcBorders>
            <w:shd w:fill="5B1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Gas Power Cycle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Net Specific Work Output (kJ/kg)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944.5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389.2</w:t>
            </w:r>
          </w:p>
        </w:tc>
      </w:tr>
      <w:tr>
        <w:tc>
          <w:tcPr>
            <w:tcW w:type="dxa" w:w="5360"/>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left"/>
            </w:pPr>
            <w:r>
              <w:rPr>
                <w:rFonts w:ascii="Arial" w:cs="Arial" w:eastAsia="Arial" w:hAnsi="Arial"/>
                <w:sz w:val="20"/>
                <w:szCs w:val="20"/>
              </w:rPr>
              <w:t xml:space="preserve">Thermal Efficiency (%)</w:t>
            </w:r>
          </w:p>
        </w:tc>
        <w:tc>
          <w:tcPr>
            <w:tcW w:type="dxa" w:w="2000"/>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32.1</w:t>
            </w:r>
          </w:p>
        </w:tc>
        <w:tc>
          <w:tcPr>
            <w:tcW w:type="dxa" w:w="2000"/>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28.7</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Heat Input (kJ/kg)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2943.2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1354.7</w:t>
            </w:r>
          </w:p>
        </w:tc>
      </w:tr>
      <w:tr>
        <w:tc>
          <w:tcPr>
            <w:tcW w:type="dxa" w:w="5360"/>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left"/>
            </w:pPr>
            <w:r>
              <w:rPr>
                <w:rFonts w:ascii="Arial" w:cs="Arial" w:eastAsia="Arial" w:hAnsi="Arial"/>
                <w:sz w:val="20"/>
                <w:szCs w:val="20"/>
              </w:rPr>
              <w:t xml:space="preserve">Back-Work Ratio (%)</w:t>
            </w:r>
          </w:p>
        </w:tc>
        <w:tc>
          <w:tcPr>
            <w:tcW w:type="dxa" w:w="2000"/>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0.21</w:t>
            </w:r>
          </w:p>
        </w:tc>
        <w:tc>
          <w:tcPr>
            <w:tcW w:type="dxa" w:w="2000"/>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40.8</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Isentropic Pump/Compressor Efficiency (%)</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88.0</w:t>
            </w:r>
          </w:p>
        </w:tc>
      </w:tr>
      <w:tr>
        <w:tc>
          <w:tcPr>
            <w:tcW w:type="dxa" w:w="5360"/>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left"/>
            </w:pPr>
            <w:r>
              <w:rPr>
                <w:rFonts w:ascii="Arial" w:cs="Arial" w:eastAsia="Arial" w:hAnsi="Arial"/>
                <w:sz w:val="20"/>
                <w:szCs w:val="20"/>
              </w:rPr>
              <w:t xml:space="preserve">Isentropic Turbine Efficiency (%)</w:t>
            </w:r>
          </w:p>
        </w:tc>
        <w:tc>
          <w:tcPr>
            <w:tcW w:type="dxa" w:w="2000"/>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85.0</w:t>
            </w:r>
          </w:p>
        </w:tc>
        <w:tc>
          <w:tcPr>
            <w:tcW w:type="dxa" w:w="2000"/>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90.0</w:t>
            </w:r>
          </w:p>
        </w:tc>
      </w:tr>
    </w:tbl>
    <w:p>
      <w:pPr>
        <w:spacing w:before="0" w:after="120"/>
      </w:pPr>
      <w:r>
        <w:t xml:space="preserve"/>
      </w:r>
    </w:p>
    <w:p>
      <w:pPr>
        <w:spacing w:before="80" w:after="100" w:line="276"/>
        <w:jc w:val="both"/>
      </w:pPr>
      <w:r>
        <w:rPr>
          <w:rFonts w:ascii="Arial" w:cs="Arial" w:eastAsia="Arial" w:hAnsi="Arial"/>
          <w:color w:val="111111"/>
          <w:sz w:val="22"/>
          <w:szCs w:val="22"/>
        </w:rPr>
        <w:t xml:space="preserve">The HTC steam cycle achieves a thermal efficiency of 32.1% — consistent with a moderate-pressure sub-critical Rankine cycle at this temperature level. The very low back-work ratio (0.21%) is characteristic of liquid-phase pumping. The gas cycle efficiency of 28.7% reflects the significant compressor work penalty at a pressure ratio of 12, resulting in a back-work ratio of 40.8%, which is typical for gas turbines.</w:t>
      </w:r>
    </w:p>
    <w:p>
      <w:pPr>
        <w:pStyle w:val="Heading2"/>
        <w:spacing w:before="260" w:after="140"/>
      </w:pPr>
      <w:r>
        <w:rPr>
          <w:rFonts w:ascii="Arial" w:cs="Arial" w:eastAsia="Arial" w:hAnsi="Arial"/>
          <w:b/>
          <w:bCs/>
          <w:color w:val="5B1FA8"/>
          <w:sz w:val="26"/>
          <w:szCs w:val="26"/>
        </w:rPr>
        <w:t xml:space="preserve">5.5 Biomass Mass Flow and Energy Routing</w:t>
      </w:r>
    </w:p>
    <w:p>
      <w:pPr>
        <w:spacing w:before="80" w:after="60"/>
        <w:jc w:val="center"/>
      </w:pPr>
      <w:r>
        <w:rPr>
          <w:rFonts w:ascii="Arial" w:cs="Arial" w:eastAsia="Arial" w:hAnsi="Arial"/>
          <w:b/>
          <w:bCs/>
          <w:color w:val="2C0A4E"/>
          <w:sz w:val="20"/>
          <w:szCs w:val="20"/>
        </w:rPr>
        <w:t xml:space="preserve">Table 4: Biomass Mass Flow Summary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4200"/>
      </w:tblGrid>
      <w:tr>
        <w:tc>
          <w:tcPr>
            <w:tcW w:type="dxa" w:w="3360"/>
            <w:gridSpan w:val="1"/>
            <w:tcBorders>
              <w:top w:val="single" w:color="5B1FA8" w:sz="1"/>
              <w:left w:val="single" w:color="5B1FA8" w:sz="1"/>
              <w:bottom w:val="single" w:color="5B1FA8" w:sz="1"/>
              <w:right w:val="single" w:color="5B1FA8" w:sz="1"/>
            </w:tcBorders>
            <w:shd w:fill="5B1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Biomass Stream</w:t>
            </w:r>
          </w:p>
        </w:tc>
        <w:tc>
          <w:tcPr>
            <w:tcW w:type="dxa" w:w="1800"/>
            <w:gridSpan w:val="1"/>
            <w:tcBorders>
              <w:top w:val="single" w:color="5B1FA8" w:sz="1"/>
              <w:left w:val="single" w:color="5B1FA8" w:sz="1"/>
              <w:bottom w:val="single" w:color="5B1FA8" w:sz="1"/>
              <w:right w:val="single" w:color="5B1FA8" w:sz="1"/>
            </w:tcBorders>
            <w:shd w:fill="5B1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Flow Rate (kg/s)</w:t>
            </w:r>
          </w:p>
        </w:tc>
        <w:tc>
          <w:tcPr>
            <w:tcW w:type="dxa" w:w="4200"/>
            <w:gridSpan w:val="1"/>
            <w:tcBorders>
              <w:top w:val="single" w:color="5B1FA8" w:sz="1"/>
              <w:left w:val="single" w:color="5B1FA8" w:sz="1"/>
              <w:bottom w:val="single" w:color="5B1FA8" w:sz="1"/>
              <w:right w:val="single" w:color="5B1FA8" w:sz="1"/>
            </w:tcBorders>
            <w:shd w:fill="5B1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Total Biomass Feedstock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Enters Biomass Homogenizer</w:t>
            </w:r>
          </w:p>
        </w:tc>
      </w:tr>
      <w:tr>
        <w:tc>
          <w:tcPr>
            <w:tcW w:type="dxa" w:w="3360"/>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left"/>
            </w:pPr>
            <w:r>
              <w:rPr>
                <w:rFonts w:ascii="Arial" w:cs="Arial" w:eastAsia="Arial" w:hAnsi="Arial"/>
                <w:sz w:val="20"/>
                <w:szCs w:val="20"/>
              </w:rPr>
              <w:t xml:space="preserve">Moisture-rich (→ AD Unit)</w:t>
            </w:r>
          </w:p>
        </w:tc>
        <w:tc>
          <w:tcPr>
            <w:tcW w:type="dxa" w:w="1800"/>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5.00</w:t>
            </w:r>
          </w:p>
        </w:tc>
        <w:tc>
          <w:tcPr>
            <w:tcW w:type="dxa" w:w="4200"/>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left"/>
            </w:pPr>
            <w:r>
              <w:rPr>
                <w:rFonts w:ascii="Arial" w:cs="Arial" w:eastAsia="Arial" w:hAnsi="Arial"/>
                <w:sz w:val="20"/>
                <w:szCs w:val="20"/>
              </w:rPr>
              <w:t xml:space="preserve">50% moisture content → anaerobic digestion</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Moisture-lean (→ HTC Reactor)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Dry fraction → hydrothermal carbonisation</w:t>
            </w:r>
          </w:p>
        </w:tc>
      </w:tr>
      <w:tr>
        <w:tc>
          <w:tcPr>
            <w:tcW w:type="dxa" w:w="3360"/>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left"/>
            </w:pPr>
            <w:r>
              <w:rPr>
                <w:rFonts w:ascii="Arial" w:cs="Arial" w:eastAsia="Arial" w:hAnsi="Arial"/>
                <w:sz w:val="20"/>
                <w:szCs w:val="20"/>
              </w:rPr>
              <w:t xml:space="preserve">Biogas Produced (AD)</w:t>
            </w:r>
          </w:p>
        </w:tc>
        <w:tc>
          <w:tcPr>
            <w:tcW w:type="dxa" w:w="1800"/>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3.00</w:t>
            </w:r>
          </w:p>
        </w:tc>
        <w:tc>
          <w:tcPr>
            <w:tcW w:type="dxa" w:w="4200"/>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left"/>
            </w:pPr>
            <w:r>
              <w:rPr>
                <w:rFonts w:ascii="Arial" w:cs="Arial" w:eastAsia="Arial" w:hAnsi="Arial"/>
                <w:sz w:val="20"/>
                <w:szCs w:val="20"/>
              </w:rPr>
              <w:t xml:space="preserve">60% AD yield; LHV = 22 MJ/kg → ~66 MW potential</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Hydrochar (HTC)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3.50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70% HTC conversion; solid fuel product</w:t>
            </w:r>
          </w:p>
        </w:tc>
      </w:tr>
      <w:tr>
        <w:tc>
          <w:tcPr>
            <w:tcW w:type="dxa" w:w="3360"/>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left"/>
            </w:pPr>
            <w:r>
              <w:rPr>
                <w:rFonts w:ascii="Arial" w:cs="Arial" w:eastAsia="Arial" w:hAnsi="Arial"/>
                <w:sz w:val="20"/>
                <w:szCs w:val="20"/>
              </w:rPr>
              <w:t xml:space="preserve">Volatile Matters / Waste</w:t>
            </w:r>
          </w:p>
        </w:tc>
        <w:tc>
          <w:tcPr>
            <w:tcW w:type="dxa" w:w="1800"/>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center"/>
            </w:pPr>
            <w:r>
              <w:rPr>
                <w:rFonts w:ascii="Arial" w:cs="Arial" w:eastAsia="Arial" w:hAnsi="Arial"/>
                <w:sz w:val="20"/>
                <w:szCs w:val="20"/>
              </w:rPr>
              <w:t xml:space="preserve">1.50</w:t>
            </w:r>
          </w:p>
        </w:tc>
        <w:tc>
          <w:tcPr>
            <w:tcW w:type="dxa" w:w="4200"/>
            <w:tcBorders>
              <w:top w:val="single" w:color="CCCCCC" w:sz="1"/>
              <w:left w:val="single" w:color="CCCCCC" w:sz="1"/>
              <w:bottom w:val="single" w:color="CCCCCC" w:sz="1"/>
              <w:right w:val="single" w:color="CCCCCC" w:sz="1"/>
            </w:tcBorders>
            <w:shd w:fill="F5F0FA" w:val="clear"/>
            <w:tcMar>
              <w:top w:type="dxa" w:w="60"/>
              <w:left w:type="dxa" w:w="120"/>
              <w:bottom w:type="dxa" w:w="60"/>
              <w:right w:type="dxa" w:w="120"/>
            </w:tcMar>
          </w:tcPr>
          <w:p>
            <w:pPr>
              <w:jc w:val="left"/>
            </w:pPr>
            <w:r>
              <w:rPr>
                <w:rFonts w:ascii="Arial" w:cs="Arial" w:eastAsia="Arial" w:hAnsi="Arial"/>
                <w:sz w:val="20"/>
                <w:szCs w:val="20"/>
              </w:rPr>
              <w:t xml:space="preserve">Directed to waste treatment / flaring</w:t>
            </w:r>
          </w:p>
        </w:tc>
      </w:tr>
    </w:tbl>
    <w:p>
      <w:pPr>
        <w:spacing w:before="0" w:after="120"/>
      </w:pPr>
      <w:r>
        <w:t xml:space="preserve"/>
      </w:r>
    </w:p>
    <w:p>
      <w:pPr>
        <w:spacing w:before="80" w:after="100" w:line="276"/>
        <w:jc w:val="both"/>
      </w:pPr>
      <w:r>
        <w:rPr>
          <w:rFonts w:ascii="Arial" w:cs="Arial" w:eastAsia="Arial" w:hAnsi="Arial"/>
          <w:color w:val="111111"/>
          <w:sz w:val="22"/>
          <w:szCs w:val="22"/>
        </w:rPr>
        <w:t xml:space="preserve">The 50% moisture content equally splits the 10 kg/s feedstock between the AD and HTC pathways. The 60% AD biogas yield on the moisture-rich fraction produces 3.0 kg/s of biogas, which at 22 MJ/kg LHV represents approximately 66 MW of fuel chemical energy — a substantial resource for the gas power cycle. The 70% HTC conversion of the dry fraction yields 3.5 kg/s of hydrochar.</w:t>
      </w:r>
    </w:p>
    <w:p>
      <w:pPr>
        <w:pStyle w:val="Heading2"/>
        <w:spacing w:before="260" w:after="140"/>
      </w:pPr>
      <w:r>
        <w:rPr>
          <w:rFonts w:ascii="Arial" w:cs="Arial" w:eastAsia="Arial" w:hAnsi="Arial"/>
          <w:b/>
          <w:bCs/>
          <w:color w:val="5B1FA8"/>
          <w:sz w:val="26"/>
          <w:szCs w:val="26"/>
        </w:rPr>
        <w:t xml:space="preserve">5.6 h–s and T–Ḥ Diagrams</w:t>
      </w:r>
    </w:p>
    <w:p>
      <w:pPr>
        <w:spacing w:before="80" w:after="100" w:line="276"/>
        <w:jc w:val="both"/>
      </w:pPr>
      <w:r>
        <w:rPr>
          <w:rFonts w:ascii="Arial" w:cs="Arial" w:eastAsia="Arial" w:hAnsi="Arial"/>
          <w:color w:val="111111"/>
          <w:sz w:val="22"/>
          <w:szCs w:val="22"/>
        </w:rPr>
        <w:t xml:space="preserve">The h–s diagram for the HTC steam cycle (generated in the Streamlit application upon clicking Analyze System) displays the complete saturation dome for water, plotted using 300 isobaric property evaluations between 700 Pa and the critical pressure. The four state points and inter-state process lines are overlaid on the dome, allowing immediate visual identification of whether expansion crosses into the two-phase region.</w:t>
      </w:r>
    </w:p>
    <w:p>
      <w:pPr>
        <w:spacing w:before="80" w:after="100" w:line="276"/>
        <w:jc w:val="both"/>
      </w:pPr>
      <w:r>
        <w:rPr>
          <w:rFonts w:ascii="Arial" w:cs="Arial" w:eastAsia="Arial" w:hAnsi="Arial"/>
          <w:color w:val="111111"/>
          <w:sz w:val="22"/>
          <w:szCs w:val="22"/>
        </w:rPr>
        <w:t xml:space="preserve">The T–Ḥ diagram for the gas power cycle is constructed from 60–80 CoolProp property evaluations per process, capturing the variable specific heat of air. The four processes — isentropic compression (1→2), isobaric combustion (2→3), isentropic expansion (3→4), and isobaric heat rejection (4→1) — are colour-coded for clarity. State point markers display temperature annotations, and work/heat annotations label the compressor and turbine processes directly on the chart.</w:t>
      </w:r>
    </w:p>
    <w:p>
      <w:pPr>
        <w:spacing w:before="0" w:after="120"/>
      </w:pPr>
      <w:r>
        <w:t xml:space="preserve"/>
      </w:r>
    </w:p>
    <w:p>
      <w:pPr>
        <w:pStyle w:val="Heading1"/>
        <w:pBdr>
          <w:bottom w:val="single" w:color="5B1FA8" w:sz="4" w:space="4"/>
        </w:pBdr>
        <w:spacing w:before="360" w:after="200"/>
      </w:pPr>
      <w:r>
        <w:rPr>
          <w:rFonts w:ascii="Arial" w:cs="Arial" w:eastAsia="Arial" w:hAnsi="Arial"/>
          <w:b/>
          <w:bCs/>
          <w:color w:val="2C0A4E"/>
          <w:sz w:val="32"/>
          <w:szCs w:val="32"/>
        </w:rPr>
        <w:t xml:space="preserve">6. Software Implementation</w:t>
      </w:r>
    </w:p>
    <w:p>
      <w:pPr>
        <w:pStyle w:val="Heading2"/>
        <w:spacing w:before="260" w:after="140"/>
      </w:pPr>
      <w:r>
        <w:rPr>
          <w:rFonts w:ascii="Arial" w:cs="Arial" w:eastAsia="Arial" w:hAnsi="Arial"/>
          <w:b/>
          <w:bCs/>
          <w:color w:val="5B1FA8"/>
          <w:sz w:val="26"/>
          <w:szCs w:val="26"/>
        </w:rPr>
        <w:t xml:space="preserve">6.1 Technology Stack</w:t>
      </w:r>
    </w:p>
    <w:p>
      <w:pPr>
        <w:pStyle w:val="ListParagraph"/>
        <w:numPr>
          <w:ilvl w:val="0"/>
          <w:numId w:val="3"/>
        </w:numPr>
        <w:spacing w:before="40" w:after="40"/>
      </w:pPr>
      <w:r>
        <w:rPr>
          <w:rFonts w:ascii="Arial" w:cs="Arial" w:eastAsia="Arial" w:hAnsi="Arial"/>
          <w:sz w:val="22"/>
          <w:szCs w:val="22"/>
        </w:rPr>
        <w:t xml:space="preserve">Python 3.12 — core programming language</w:t>
      </w:r>
    </w:p>
    <w:p>
      <w:pPr>
        <w:pStyle w:val="ListParagraph"/>
        <w:numPr>
          <w:ilvl w:val="0"/>
          <w:numId w:val="3"/>
        </w:numPr>
        <w:spacing w:before="40" w:after="40"/>
      </w:pPr>
      <w:r>
        <w:rPr>
          <w:rFonts w:ascii="Arial" w:cs="Arial" w:eastAsia="Arial" w:hAnsi="Arial"/>
          <w:sz w:val="22"/>
          <w:szCs w:val="22"/>
        </w:rPr>
        <w:t xml:space="preserve">Streamlit — web application framework for interactive UI deployment</w:t>
      </w:r>
    </w:p>
    <w:p>
      <w:pPr>
        <w:pStyle w:val="ListParagraph"/>
        <w:numPr>
          <w:ilvl w:val="0"/>
          <w:numId w:val="3"/>
        </w:numPr>
        <w:spacing w:before="40" w:after="40"/>
      </w:pPr>
      <w:r>
        <w:rPr>
          <w:rFonts w:ascii="Arial" w:cs="Arial" w:eastAsia="Arial" w:hAnsi="Arial"/>
          <w:sz w:val="22"/>
          <w:szCs w:val="22"/>
        </w:rPr>
        <w:t xml:space="preserve">CoolProp 6.6 — high-accuracy thermophysical property library</w:t>
      </w:r>
    </w:p>
    <w:p>
      <w:pPr>
        <w:pStyle w:val="ListParagraph"/>
        <w:numPr>
          <w:ilvl w:val="0"/>
          <w:numId w:val="3"/>
        </w:numPr>
        <w:spacing w:before="40" w:after="40"/>
      </w:pPr>
      <w:r>
        <w:rPr>
          <w:rFonts w:ascii="Arial" w:cs="Arial" w:eastAsia="Arial" w:hAnsi="Arial"/>
          <w:sz w:val="22"/>
          <w:szCs w:val="22"/>
        </w:rPr>
        <w:t xml:space="preserve">Plotly (via plotly.graph_objects) — interactive chart generation</w:t>
      </w:r>
    </w:p>
    <w:p>
      <w:pPr>
        <w:pStyle w:val="ListParagraph"/>
        <w:numPr>
          <w:ilvl w:val="0"/>
          <w:numId w:val="3"/>
        </w:numPr>
        <w:spacing w:before="40" w:after="40"/>
      </w:pPr>
      <w:r>
        <w:rPr>
          <w:rFonts w:ascii="Arial" w:cs="Arial" w:eastAsia="Arial" w:hAnsi="Arial"/>
          <w:sz w:val="22"/>
          <w:szCs w:val="22"/>
        </w:rPr>
        <w:t xml:space="preserve">NumPy, Pandas — numerical computation and tabular data</w:t>
      </w:r>
    </w:p>
    <w:p>
      <w:pPr>
        <w:pStyle w:val="ListParagraph"/>
        <w:numPr>
          <w:ilvl w:val="0"/>
          <w:numId w:val="3"/>
        </w:numPr>
        <w:spacing w:before="40" w:after="40"/>
      </w:pPr>
      <w:r>
        <w:rPr>
          <w:rFonts w:ascii="Arial" w:cs="Arial" w:eastAsia="Arial" w:hAnsi="Arial"/>
          <w:sz w:val="22"/>
          <w:szCs w:val="22"/>
        </w:rPr>
        <w:t xml:space="preserve">SVG / HTML5 — animated process schematic rendering</w:t>
      </w:r>
    </w:p>
    <w:p>
      <w:pPr>
        <w:pStyle w:val="Heading2"/>
        <w:spacing w:before="260" w:after="140"/>
      </w:pPr>
      <w:r>
        <w:rPr>
          <w:rFonts w:ascii="Arial" w:cs="Arial" w:eastAsia="Arial" w:hAnsi="Arial"/>
          <w:b/>
          <w:bCs/>
          <w:color w:val="5B1FA8"/>
          <w:sz w:val="26"/>
          <w:szCs w:val="26"/>
        </w:rPr>
        <w:t xml:space="preserve">6.2 Application Architecture</w:t>
      </w:r>
    </w:p>
    <w:p>
      <w:pPr>
        <w:spacing w:before="80" w:after="100" w:line="276"/>
        <w:jc w:val="both"/>
      </w:pPr>
      <w:r>
        <w:rPr>
          <w:rFonts w:ascii="Arial" w:cs="Arial" w:eastAsia="Arial" w:hAnsi="Arial"/>
          <w:color w:val="111111"/>
          <w:sz w:val="22"/>
          <w:szCs w:val="22"/>
        </w:rPr>
        <w:t xml:space="preserve">The application is structured into three functional modules: (i) thermodynamic calculation functions (calculate_steam_cycle, calculate_gas_cycle_THdot, biomass_outputs); (ii) the Streamlit UI layer, encompassing a sidebar control panel with four parameter groups (Biomass &amp; Feed, Anaerobic Digestion, HTC Steam Cycle, Gas Power Cycle); and (iii) the embedded SVG schematic with dynamic parameter badges and JavaScript-free CSS tooltip state-point overlays.</w:t>
      </w:r>
    </w:p>
    <w:p>
      <w:pPr>
        <w:spacing w:before="80" w:after="100" w:line="276"/>
        <w:jc w:val="both"/>
      </w:pPr>
      <w:r>
        <w:rPr>
          <w:rFonts w:ascii="Arial" w:cs="Arial" w:eastAsia="Arial" w:hAnsi="Arial"/>
          <w:color w:val="111111"/>
          <w:sz w:val="22"/>
          <w:szCs w:val="22"/>
        </w:rPr>
        <w:t xml:space="preserve">The schematic renders parameter values in real-time from the sidebar inputs using Python f-string injection into the SVG HTML, ensuring the schematic always reflects current input values without requiring a separate analysis trigger. State-point thermodynamic properties appear as hover tooltips on the coloured state dots, and are updated from Streamlit session state after analysis.</w:t>
      </w:r>
    </w:p>
    <w:p>
      <w:pPr>
        <w:pStyle w:val="Heading2"/>
        <w:spacing w:before="260" w:after="140"/>
      </w:pPr>
      <w:r>
        <w:rPr>
          <w:rFonts w:ascii="Arial" w:cs="Arial" w:eastAsia="Arial" w:hAnsi="Arial"/>
          <w:b/>
          <w:bCs/>
          <w:color w:val="5B1FA8"/>
          <w:sz w:val="26"/>
          <w:szCs w:val="26"/>
        </w:rPr>
        <w:t xml:space="preserve">6.3 Key Implementation Decisions</w:t>
      </w:r>
    </w:p>
    <w:p>
      <w:pPr>
        <w:pStyle w:val="ListParagraph"/>
        <w:numPr>
          <w:ilvl w:val="0"/>
          <w:numId w:val="3"/>
        </w:numPr>
        <w:spacing w:before="40" w:after="40"/>
      </w:pPr>
      <w:r>
        <w:rPr>
          <w:rFonts w:ascii="Arial" w:cs="Arial" w:eastAsia="Arial" w:hAnsi="Arial"/>
          <w:sz w:val="22"/>
          <w:szCs w:val="22"/>
        </w:rPr>
        <w:t xml:space="preserve">CoolProp PropsSI calls are used for all thermodynamic states — no ideal-gas assumptions are made for water/steam properties.</w:t>
      </w:r>
    </w:p>
    <w:p>
      <w:pPr>
        <w:pStyle w:val="ListParagraph"/>
        <w:numPr>
          <w:ilvl w:val="0"/>
          <w:numId w:val="3"/>
        </w:numPr>
        <w:spacing w:before="40" w:after="40"/>
      </w:pPr>
      <w:r>
        <w:rPr>
          <w:rFonts w:ascii="Arial" w:cs="Arial" w:eastAsia="Arial" w:hAnsi="Arial"/>
          <w:sz w:val="22"/>
          <w:szCs w:val="22"/>
        </w:rPr>
        <w:t xml:space="preserve">The T–Ḥ diagram uses intermediate CoolProp evaluations along each process path rather than straight-line interpolation, correctly capturing variable c_p.</w:t>
      </w:r>
    </w:p>
    <w:p>
      <w:pPr>
        <w:pStyle w:val="ListParagraph"/>
        <w:numPr>
          <w:ilvl w:val="0"/>
          <w:numId w:val="3"/>
        </w:numPr>
        <w:spacing w:before="40" w:after="40"/>
      </w:pPr>
      <w:r>
        <w:rPr>
          <w:rFonts w:ascii="Arial" w:cs="Arial" w:eastAsia="Arial" w:hAnsi="Arial"/>
          <w:sz w:val="22"/>
          <w:szCs w:val="22"/>
        </w:rPr>
        <w:t xml:space="preserve">The saturation dome for the h–s diagram is computed from 300 pressure levels between 700 Pa and 0.9995×P_crit, providing smooth curve resolution.</w:t>
      </w:r>
    </w:p>
    <w:p>
      <w:pPr>
        <w:pStyle w:val="ListParagraph"/>
        <w:numPr>
          <w:ilvl w:val="0"/>
          <w:numId w:val="3"/>
        </w:numPr>
        <w:spacing w:before="40" w:after="40"/>
      </w:pPr>
      <w:r>
        <w:rPr>
          <w:rFonts w:ascii="Arial" w:cs="Arial" w:eastAsia="Arial" w:hAnsi="Arial"/>
          <w:sz w:val="22"/>
          <w:szCs w:val="22"/>
        </w:rPr>
        <w:t xml:space="preserve">All charts use plotly_dark template with custom background colours matching the application dark theme.</w:t>
      </w:r>
    </w:p>
    <w:p>
      <w:pPr>
        <w:pStyle w:val="ListParagraph"/>
        <w:numPr>
          <w:ilvl w:val="0"/>
          <w:numId w:val="3"/>
        </w:numPr>
        <w:spacing w:before="40" w:after="40"/>
      </w:pPr>
      <w:r>
        <w:rPr>
          <w:rFonts w:ascii="Arial" w:cs="Arial" w:eastAsia="Arial" w:hAnsi="Arial"/>
          <w:sz w:val="22"/>
          <w:szCs w:val="22"/>
        </w:rPr>
        <w:t xml:space="preserve">Session state (st.session_state) preserves computed results between Streamlit reruns for schematic tooltip updates.</w:t>
      </w:r>
    </w:p>
    <w:p>
      <w:pPr>
        <w:pStyle w:val="Heading2"/>
        <w:spacing w:before="260" w:after="140"/>
      </w:pPr>
      <w:r>
        <w:rPr>
          <w:rFonts w:ascii="Arial" w:cs="Arial" w:eastAsia="Arial" w:hAnsi="Arial"/>
          <w:b/>
          <w:bCs/>
          <w:color w:val="5B1FA8"/>
          <w:sz w:val="26"/>
          <w:szCs w:val="26"/>
        </w:rPr>
        <w:t xml:space="preserve">6.4 Deployment and Repository</w:t>
      </w:r>
    </w:p>
    <w:p>
      <w:pPr>
        <w:spacing w:before="80" w:after="100" w:line="276"/>
        <w:jc w:val="both"/>
      </w:pPr>
      <w:r>
        <w:rPr>
          <w:rFonts w:ascii="Arial" w:cs="Arial" w:eastAsia="Arial" w:hAnsi="Arial"/>
          <w:color w:val="111111"/>
          <w:sz w:val="22"/>
          <w:szCs w:val="22"/>
        </w:rPr>
        <w:t xml:space="preserve">The complete solution is containerised as a single Python script (ad_htc_app.py) with a requirements file (requirements.txt). The application can be deployed locally via:</w:t>
      </w:r>
    </w:p>
    <w:p>
      <w:pPr>
        <w:pBdr>
          <w:left w:val="single" w:color="5B1FA8" w:sz="6" w:space="4"/>
        </w:pBdr>
        <w:shd w:fill="F0EAF8" w:val="clear"/>
        <w:spacing w:before="60" w:after="60"/>
      </w:pPr>
      <w:r>
        <w:rPr>
          <w:rFonts w:ascii="Courier New" w:cs="Courier New" w:eastAsia="Courier New" w:hAnsi="Courier New"/>
          <w:color w:val="1A0A35"/>
          <w:sz w:val="20"/>
          <w:szCs w:val="20"/>
        </w:rPr>
        <w:t xml:space="preserve">    pip install streamlit coolprop plotly pandas numpy</w:t>
      </w:r>
    </w:p>
    <w:p>
      <w:pPr>
        <w:pBdr>
          <w:left w:val="single" w:color="5B1FA8" w:sz="6" w:space="4"/>
        </w:pBdr>
        <w:shd w:fill="F0EAF8" w:val="clear"/>
        <w:spacing w:before="0" w:after="100"/>
      </w:pPr>
      <w:r>
        <w:rPr>
          <w:rFonts w:ascii="Courier New" w:cs="Courier New" w:eastAsia="Courier New" w:hAnsi="Courier New"/>
          <w:color w:val="1A0A35"/>
          <w:sz w:val="20"/>
          <w:szCs w:val="20"/>
        </w:rPr>
        <w:t xml:space="preserve">    streamlit run ad_htc_app.py</w:t>
      </w:r>
    </w:p>
    <w:p>
      <w:pPr>
        <w:spacing w:before="80" w:after="100" w:line="276"/>
        <w:jc w:val="both"/>
      </w:pPr>
      <w:r>
        <w:rPr>
          <w:rFonts w:ascii="Arial" w:cs="Arial" w:eastAsia="Arial" w:hAnsi="Arial"/>
          <w:color w:val="111111"/>
          <w:sz w:val="22"/>
          <w:szCs w:val="22"/>
        </w:rPr>
        <w:t xml:space="preserve">The GitHub repository is structured with the main application script, a README.md with setup instructions, and a requirements.txt file. The course instructor (energhx) is invited as a collaborator on the repository for grading access.</w:t>
      </w:r>
    </w:p>
    <w:p>
      <w:pPr>
        <w:spacing w:before="0" w:after="120"/>
      </w:pPr>
      <w:r>
        <w:t xml:space="preserve"/>
      </w:r>
    </w:p>
    <w:p>
      <w:pPr>
        <w:pStyle w:val="Heading1"/>
        <w:pBdr>
          <w:bottom w:val="single" w:color="5B1FA8" w:sz="4" w:space="4"/>
        </w:pBdr>
        <w:spacing w:before="360" w:after="200"/>
      </w:pPr>
      <w:r>
        <w:rPr>
          <w:rFonts w:ascii="Arial" w:cs="Arial" w:eastAsia="Arial" w:hAnsi="Arial"/>
          <w:b/>
          <w:bCs/>
          <w:color w:val="2C0A4E"/>
          <w:sz w:val="32"/>
          <w:szCs w:val="32"/>
        </w:rPr>
        <w:t xml:space="preserve">7. Conclusions</w:t>
      </w:r>
    </w:p>
    <w:p>
      <w:pPr>
        <w:spacing w:before="80" w:after="100" w:line="276"/>
        <w:jc w:val="both"/>
      </w:pPr>
      <w:r>
        <w:rPr>
          <w:rFonts w:ascii="Arial" w:cs="Arial" w:eastAsia="Arial" w:hAnsi="Arial"/>
          <w:color w:val="111111"/>
          <w:sz w:val="22"/>
          <w:szCs w:val="22"/>
        </w:rPr>
        <w:t xml:space="preserve">This project successfully delivered a fully functional, interactive thermodynamic analysis tool for the AD-HTC Fuel-Enhanced Gas Power Cycle. The following key conclusions are drawn:</w:t>
      </w:r>
    </w:p>
    <w:p>
      <w:pPr>
        <w:pStyle w:val="ListParagraph"/>
        <w:numPr>
          <w:ilvl w:val="0"/>
          <w:numId w:val="2"/>
        </w:numPr>
        <w:spacing w:before="40" w:after="40"/>
      </w:pPr>
      <w:r>
        <w:rPr>
          <w:rFonts w:ascii="Arial" w:cs="Arial" w:eastAsia="Arial" w:hAnsi="Arial"/>
          <w:sz w:val="22"/>
          <w:szCs w:val="22"/>
        </w:rPr>
        <w:t xml:space="preserve">The integrated AD-HTC system effectively valorises both moisture-rich and moisture-lean biomass fractions, maximising energy recovery across biological and thermochemical conversion pathways.</w:t>
      </w:r>
    </w:p>
    <w:p>
      <w:pPr>
        <w:pStyle w:val="ListParagraph"/>
        <w:numPr>
          <w:ilvl w:val="0"/>
          <w:numId w:val="2"/>
        </w:numPr>
        <w:spacing w:before="40" w:after="40"/>
      </w:pPr>
      <w:r>
        <w:rPr>
          <w:rFonts w:ascii="Arial" w:cs="Arial" w:eastAsia="Arial" w:hAnsi="Arial"/>
          <w:sz w:val="22"/>
          <w:szCs w:val="22"/>
        </w:rPr>
        <w:t xml:space="preserve">The HTC Rankine steam cycle achieves a thermal efficiency of 32.1% at the baseline design point, with potential for improvement through increased boiler pressure and turbine inlet temperature.</w:t>
      </w:r>
    </w:p>
    <w:p>
      <w:pPr>
        <w:pStyle w:val="ListParagraph"/>
        <w:numPr>
          <w:ilvl w:val="0"/>
          <w:numId w:val="2"/>
        </w:numPr>
        <w:spacing w:before="40" w:after="40"/>
      </w:pPr>
      <w:r>
        <w:rPr>
          <w:rFonts w:ascii="Arial" w:cs="Arial" w:eastAsia="Arial" w:hAnsi="Arial"/>
          <w:sz w:val="22"/>
          <w:szCs w:val="22"/>
        </w:rPr>
        <w:t xml:space="preserve">The Brayton gas cycle achieves 28.7% thermal efficiency with a back-work ratio of 40.8% at a pressure ratio of 12. Optimisation of the pressure ratio and turbine inlet temperature (TIT) can significantly improve this figure.</w:t>
      </w:r>
    </w:p>
    <w:p>
      <w:pPr>
        <w:pStyle w:val="ListParagraph"/>
        <w:numPr>
          <w:ilvl w:val="0"/>
          <w:numId w:val="2"/>
        </w:numPr>
        <w:spacing w:before="40" w:after="40"/>
      </w:pPr>
      <w:r>
        <w:rPr>
          <w:rFonts w:ascii="Arial" w:cs="Arial" w:eastAsia="Arial" w:hAnsi="Arial"/>
          <w:sz w:val="22"/>
          <w:szCs w:val="22"/>
        </w:rPr>
        <w:t xml:space="preserve">The T–Ḥ diagram, constructed using rigorous CoolProp intermediate evaluations, provides an accurate representation of the gas cycle processes that accounts for the non-constant specific heat of air.</w:t>
      </w:r>
    </w:p>
    <w:p>
      <w:pPr>
        <w:pStyle w:val="ListParagraph"/>
        <w:numPr>
          <w:ilvl w:val="0"/>
          <w:numId w:val="2"/>
        </w:numPr>
        <w:spacing w:before="40" w:after="40"/>
      </w:pPr>
      <w:r>
        <w:rPr>
          <w:rFonts w:ascii="Arial" w:cs="Arial" w:eastAsia="Arial" w:hAnsi="Arial"/>
          <w:sz w:val="22"/>
          <w:szCs w:val="22"/>
        </w:rPr>
        <w:t xml:space="preserve">The embedded schematic with real-time parameter badges and hover-activated state tooltips provides an educational and intuitive process flow visualisation tool.</w:t>
      </w:r>
    </w:p>
    <w:p>
      <w:pPr>
        <w:pStyle w:val="ListParagraph"/>
        <w:numPr>
          <w:ilvl w:val="0"/>
          <w:numId w:val="2"/>
        </w:numPr>
        <w:spacing w:before="40" w:after="40"/>
      </w:pPr>
      <w:r>
        <w:rPr>
          <w:rFonts w:ascii="Arial" w:cs="Arial" w:eastAsia="Arial" w:hAnsi="Arial"/>
          <w:sz w:val="22"/>
          <w:szCs w:val="22"/>
        </w:rPr>
        <w:t xml:space="preserve">The biogas power potential of ~66 MW from 3 kg/s at 22 MJ/kg demonstrates the substantial fuel resource available from the AD pathway in a 10 kg/s biomass system.</w:t>
      </w:r>
    </w:p>
    <w:p>
      <w:pPr>
        <w:spacing w:before="0" w:after="120"/>
      </w:pPr>
      <w:r>
        <w:t xml:space="preserve"/>
      </w:r>
    </w:p>
    <w:p>
      <w:pPr>
        <w:pStyle w:val="Heading1"/>
        <w:pBdr>
          <w:bottom w:val="single" w:color="5B1FA8" w:sz="4" w:space="4"/>
        </w:pBdr>
        <w:spacing w:before="360" w:after="200"/>
      </w:pPr>
      <w:r>
        <w:rPr>
          <w:rFonts w:ascii="Arial" w:cs="Arial" w:eastAsia="Arial" w:hAnsi="Arial"/>
          <w:b/>
          <w:bCs/>
          <w:color w:val="2C0A4E"/>
          <w:sz w:val="32"/>
          <w:szCs w:val="32"/>
        </w:rPr>
        <w:t xml:space="preserve">8. References</w:t>
      </w:r>
    </w:p>
    <w:p>
      <w:pPr>
        <w:pStyle w:val="ListParagraph"/>
        <w:numPr>
          <w:ilvl w:val="0"/>
          <w:numId w:val="2"/>
        </w:numPr>
        <w:spacing w:before="40" w:after="40"/>
      </w:pPr>
      <w:r>
        <w:rPr>
          <w:rFonts w:ascii="Arial" w:cs="Arial" w:eastAsia="Arial" w:hAnsi="Arial"/>
          <w:sz w:val="22"/>
          <w:szCs w:val="22"/>
        </w:rPr>
        <w:t xml:space="preserve">Bell, I. H., Wronski, J., Quoilin, S., &amp; Lemort, V. (2014). Pure and Pseudo-pure Fluid Thermophysical Property Evaluation and the Open-Source Thermophysical Property Library CoolProp. Industrial &amp; Engineering Chemistry Research, 53(6), 2498–2508.</w:t>
      </w:r>
    </w:p>
    <w:p>
      <w:pPr>
        <w:pStyle w:val="ListParagraph"/>
        <w:numPr>
          <w:ilvl w:val="0"/>
          <w:numId w:val="2"/>
        </w:numPr>
        <w:spacing w:before="40" w:after="40"/>
      </w:pPr>
      <w:r>
        <w:rPr>
          <w:rFonts w:ascii="Arial" w:cs="Arial" w:eastAsia="Arial" w:hAnsi="Arial"/>
          <w:sz w:val="22"/>
          <w:szCs w:val="22"/>
        </w:rPr>
        <w:t xml:space="preserve">Moran, M. J., Shapiro, H. N., Boettner, D. D., &amp; Bailey, M. B. (2018). Fundamentals of Engineering Thermodynamics (8th ed.). Wiley.</w:t>
      </w:r>
    </w:p>
    <w:p>
      <w:pPr>
        <w:pStyle w:val="ListParagraph"/>
        <w:numPr>
          <w:ilvl w:val="0"/>
          <w:numId w:val="2"/>
        </w:numPr>
        <w:spacing w:before="40" w:after="40"/>
      </w:pPr>
      <w:r>
        <w:rPr>
          <w:rFonts w:ascii="Arial" w:cs="Arial" w:eastAsia="Arial" w:hAnsi="Arial"/>
          <w:sz w:val="22"/>
          <w:szCs w:val="22"/>
        </w:rPr>
        <w:t xml:space="preserve">Funke, A., &amp; Ziegler, F. (2010). Hydrothermal carbonization of biomass: A summary and discussion of chemical mechanisms for process engineering. Biofuels, Bioproducts and Biorefining, 4(2), 160–177.</w:t>
      </w:r>
    </w:p>
    <w:p>
      <w:pPr>
        <w:pStyle w:val="ListParagraph"/>
        <w:numPr>
          <w:ilvl w:val="0"/>
          <w:numId w:val="2"/>
        </w:numPr>
        <w:spacing w:before="40" w:after="40"/>
      </w:pPr>
      <w:r>
        <w:rPr>
          <w:rFonts w:ascii="Arial" w:cs="Arial" w:eastAsia="Arial" w:hAnsi="Arial"/>
          <w:sz w:val="22"/>
          <w:szCs w:val="22"/>
        </w:rPr>
        <w:t xml:space="preserve">Appels, L., Baeyens, J., Degreve, J., &amp; Dewil, R. (2008). Principles and potential of the anaerobic digestion of waste-activated sludge. Progress in Energy and Combustion Science, 34(6), 755–781.</w:t>
      </w:r>
    </w:p>
    <w:p>
      <w:pPr>
        <w:pStyle w:val="ListParagraph"/>
        <w:numPr>
          <w:ilvl w:val="0"/>
          <w:numId w:val="2"/>
        </w:numPr>
        <w:spacing w:before="40" w:after="40"/>
      </w:pPr>
      <w:r>
        <w:rPr>
          <w:rFonts w:ascii="Arial" w:cs="Arial" w:eastAsia="Arial" w:hAnsi="Arial"/>
          <w:sz w:val="22"/>
          <w:szCs w:val="22"/>
        </w:rPr>
        <w:t xml:space="preserve">Energhx Research Group. (2025). Course Project Brief: Design and Deploy a Process Flow Analysis of an AD-HTC Fuel-Enhanced Gas Cycle. University of Lagos, Faculty of Engineering.</w:t>
      </w:r>
    </w:p>
    <w:p>
      <w:pPr>
        <w:spacing w:before="0" w:after="12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1FA8" w:sz="4" w:space="4"/>
      </w:pBdr>
      <w:jc w:val="center"/>
    </w:pPr>
    <w:r>
      <w:rPr>
        <w:rFonts w:ascii="Arial" w:cs="Arial" w:eastAsia="Arial" w:hAnsi="Arial"/>
        <w:color w:val="555555"/>
        <w:sz w:val="18"/>
        <w:szCs w:val="18"/>
      </w:rPr>
      <w:t xml:space="preserve">Page </w:t>
    </w:r>
    <w:r>
      <w:rPr>
        <w:rFonts w:ascii="Arial" w:cs="Arial" w:eastAsia="Arial" w:hAnsi="Arial"/>
        <w:color w:val="5B1FA8"/>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 2025 Energhx Research Group, University of Lagos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1FA8" w:sz="4" w:space="4"/>
      </w:pBdr>
    </w:pPr>
    <w:r>
      <w:rPr>
        <w:rFonts w:ascii="Arial" w:cs="Arial" w:eastAsia="Arial" w:hAnsi="Arial"/>
        <w:color w:val="555555"/>
        <w:sz w:val="18"/>
        <w:szCs w:val="18"/>
      </w:rPr>
      <w:t xml:space="preserve">AD-HTC Fuel-Enhanced Gas Power Cycle — Course Project Report</w:t>
    </w:r>
    <w:r>
      <w:rPr>
        <w:rFonts w:ascii="Arial" w:cs="Arial" w:eastAsia="Arial" w:hAnsi="Arial"/>
        <w:color w:val="5B1FA8"/>
        <w:sz w:val="18"/>
        <w:szCs w:val="18"/>
      </w:rPr>
      <w:t xml:space="preserve">  |  Energhx Research Group, University of Lagos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0A4E"/>
      <w:sz w:val="32"/>
      <w:szCs w:val="32"/>
    </w:rPr>
  </w:style>
  <w:style w:type="paragraph" w:styleId="Heading2">
    <w:name w:val="Heading 2"/>
    <w:basedOn w:val="Normal"/>
    <w:next w:val="Normal"/>
    <w:qFormat/>
    <w:pPr>
      <w:spacing w:before="260" w:after="140"/>
      <w:outlineLvl w:val="1"/>
    </w:pPr>
    <w:rPr>
      <w:rFonts w:ascii="Arial" w:cs="Arial" w:eastAsia="Arial" w:hAnsi="Arial"/>
      <w:b/>
      <w:bCs/>
      <w:color w:val="5B1FA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2026-02-20T21:41:12.991Z</dcterms:created>
  <dcterms:modified xsi:type="dcterms:W3CDTF">2026-02-20T21:41:12.992Z</dcterms:modified>
</cp:coreProperties>
</file>

<file path=docProps/custom.xml><?xml version="1.0" encoding="utf-8"?>
<Properties xmlns="http://schemas.openxmlformats.org/officeDocument/2006/custom-properties" xmlns:vt="http://schemas.openxmlformats.org/officeDocument/2006/docPropsVTypes"/>
</file>