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564"/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342"/>
        <w:gridCol w:w="2127"/>
        <w:gridCol w:w="2198"/>
        <w:gridCol w:w="1754"/>
      </w:tblGrid>
      <w:tr w:rsidR="00A24A17" w:rsidRPr="00DA10C4" w14:paraId="7BF754ED" w14:textId="77777777" w:rsidTr="00A24A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CCCCFF"/>
            <w:vAlign w:val="bottom"/>
            <w:hideMark/>
          </w:tcPr>
          <w:p w14:paraId="7BB4D91E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DA10C4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Aplikacija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99CCFF"/>
            <w:vAlign w:val="bottom"/>
            <w:hideMark/>
          </w:tcPr>
          <w:p w14:paraId="63FA5CCA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DA10C4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Prednosti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366FF"/>
            <w:vAlign w:val="bottom"/>
            <w:hideMark/>
          </w:tcPr>
          <w:p w14:paraId="16C6AC31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DA10C4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Nedostaci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66FF"/>
            <w:vAlign w:val="bottom"/>
            <w:hideMark/>
          </w:tcPr>
          <w:p w14:paraId="5EC8A279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DA10C4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Mogućnosti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FCCFF"/>
            <w:vAlign w:val="bottom"/>
            <w:hideMark/>
          </w:tcPr>
          <w:p w14:paraId="520DF185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Dodatne informacije</w:t>
            </w:r>
          </w:p>
        </w:tc>
      </w:tr>
      <w:tr w:rsidR="00A24A17" w:rsidRPr="00DA10C4" w14:paraId="6F55870F" w14:textId="77777777" w:rsidTr="00A24A1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A821197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Idle Reservations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AE9B3AF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Potiče fizički odlazak u restorane i socijalizaciju, nudi direktan program lojalnosti bez posrednika, omogućuje rezervaciju stolova i navigaciju, nema skrivenih naknada i provizija za dostavu.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29F14A6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Nova na tržištu, ponuda je ograničena isključivo na restorane unutar našeg lanca (nema agregacije svih restorana u gradu).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BE7D024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Iskoristiti sve izraženiji trend želje ljudi za izlascima i autentičnim restoranskim iskustvom, personalizirane promocije temeljene na povijesti dolazaka.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728B285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Fokusira se na "Online-to-Offline" (O2O) model – privlačenje korisnika putem digitalnih kanala u fizičke poslovnice.</w:t>
            </w:r>
          </w:p>
        </w:tc>
      </w:tr>
      <w:tr w:rsidR="00A24A17" w:rsidRPr="00DA10C4" w14:paraId="3E4B4A35" w14:textId="77777777" w:rsidTr="00A24A1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F2B3645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Wolt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7CDDD97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Ogroman izbor restorana, odlično korisničko sučelje, brza korisnička podrška, visoka prepoznatljivost brenda.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FBAD29B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Visoke provizije za restorane, naknade za uslugu i dostavu za korisnike, hrana često izgubi na kvaliteti u transportu, nedostatak socijalne komponente restoranskog iskustva.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D2E5BC0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Preusmjeravanje fokusa na "pick-up" opcije (osobno preuzimanje) kako bi se smanjili troškovi dostave.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682AD9D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Zbog općeg zasićenja tržišta i želje ljudi za izlascima, bilježi se blagi pad učestalosti narudžbi restoranske hrane.</w:t>
            </w:r>
          </w:p>
        </w:tc>
      </w:tr>
      <w:tr w:rsidR="00A24A17" w:rsidRPr="00DA10C4" w14:paraId="413D50CB" w14:textId="77777777" w:rsidTr="00A24A1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96ABBDA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Glovo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EB589EA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Dostava širokog spektra proizvoda (ne samo hrane), velika pokrivenost tržišta, pretplatnički model (Glovo Prime) koji potiče učestalost korištenja.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578A92D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Slično kao i kod Wolta – visoki troškovi za naručitelja i restoran, oscilacije u vremenu i kvaliteti dostave, otuđenje korisnika od fizičkog posjeta restoranu.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0FF1504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Jačanje segmenta dostave namirnica iz supermarketa kao kompenzacija za potencijalni pad narudžbi iz restorana.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4D602FC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Platforma je više fokusirana na masovnost i logistiku, a manje na kvalitetu samog kulinarskog iskustva.</w:t>
            </w:r>
          </w:p>
        </w:tc>
      </w:tr>
      <w:tr w:rsidR="00A24A17" w:rsidRPr="00DA10C4" w14:paraId="5D1DF352" w14:textId="77777777" w:rsidTr="00A24A1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8514E04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Bolt Food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22ADA3B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Integracija unutar istog ekosustava s uslugama prijevoza (taxi), često agresivne cjenovne promocije i niže naknade u početku.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102B6B2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Nešto manji izbor restorana u usporedbi s konkurentima, fluktuacije u dostupnosti dostavljača, manjak naprednih značajki za zadržavanje korisnika (lojalnost).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027730D" w14:textId="77777777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Povezivanje usluga – npr. popust na vožnju do restorana ako se hrana konzumira na lokaciji (sinergija usluga).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4758FE3" w14:textId="54B94585" w:rsidR="00A24A17" w:rsidRPr="00DA10C4" w:rsidRDefault="00A24A17" w:rsidP="00A24A17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A24A17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Cjenovno najosjetljivija baza korisnika koja prva odustaje od naručivanja kada troškovi dostave porastu.</w:t>
            </w:r>
          </w:p>
        </w:tc>
      </w:tr>
    </w:tbl>
    <w:p w14:paraId="337380A8" w14:textId="31433F93" w:rsidR="009A1CC8" w:rsidRDefault="009A1CC8" w:rsidP="009A1CC8">
      <w:pPr>
        <w:shd w:val="clear" w:color="auto" w:fill="FFFFFF" w:themeFill="background1"/>
      </w:pPr>
      <w:r>
        <w:t>KOMPETITIVNA ANALIZA – v01</w:t>
      </w:r>
    </w:p>
    <w:p w14:paraId="66F8E487" w14:textId="77777777" w:rsidR="00A24A17" w:rsidRPr="00A24A17" w:rsidRDefault="00A24A17" w:rsidP="00A24A17">
      <w:pPr>
        <w:spacing w:line="257" w:lineRule="auto"/>
        <w:rPr>
          <w:rFonts w:ascii="Calibri" w:eastAsia="Calibri" w:hAnsi="Calibri" w:cs="Calibri"/>
        </w:rPr>
      </w:pPr>
      <w:r w:rsidRPr="00A24A17">
        <w:rPr>
          <w:rFonts w:ascii="Calibri" w:eastAsia="Calibri" w:hAnsi="Calibri" w:cs="Calibri"/>
        </w:rPr>
        <w:lastRenderedPageBreak/>
        <w:t>Na temelju analize konkurentnosti na tržištu aplikacija vezanih uz ugostiteljstvo, primjećuje se značajna promjena u ponašanju potrošača. Nakon dužeg perioda u kojem su dominirale platforme za dostavu hrane poput Wolta, Glova i Bolt Fooda, tržište pokazuje znakove zasićenja. Korisnici su sve više svjesni visokih skrivenih troškova (naknade za uslugu i dostavu), opadanja kvalitete hrane u transportu, te osjećaja otuđenosti. Posljedično, javlja se snažan trend povratka autentičnom restoranskom iskustvu – ljudi žele izaći van, družiti se uživo i konzumirati svježe pripremljenu hranu u ugodnom ambijentu.</w:t>
      </w:r>
    </w:p>
    <w:p w14:paraId="4096B422" w14:textId="57ED86F2" w:rsidR="00AA22B2" w:rsidRPr="00A24A17" w:rsidRDefault="00A24A17" w:rsidP="00A24A17">
      <w:pPr>
        <w:spacing w:line="257" w:lineRule="auto"/>
        <w:rPr>
          <w:rFonts w:ascii="Calibri" w:eastAsia="Calibri" w:hAnsi="Calibri" w:cs="Calibri"/>
        </w:rPr>
      </w:pPr>
      <w:r w:rsidRPr="00A24A17">
        <w:rPr>
          <w:rFonts w:ascii="Calibri" w:eastAsia="Calibri" w:hAnsi="Calibri" w:cs="Calibri"/>
        </w:rPr>
        <w:t>U tom kontekstu, naša aplikacija za lanac restorana ima velik potencijal biti iznimno uspješna. Umjesto da se natječe u logistici dostave, naša aplikacija direktno odgovara na novu potrebu tržišta. Značajke poput jednostavne rezervacije stolova, integracije s Google Maps za lakši pronalazak lokacije i bogatog programa lojalnosti bez posrednika, potiču korisnike na fizički dolazak. Platforme za dostavu ne vidimo kao izravnu prijetnju našem temeljnom poslovanju, već kao drugačiji segment tržišta koji trenutno stagnira u korist "dine-in" iskustva koje mi nudimo. Ulaganjem u direktan odnos s gostima kroz našu aplikaciju, eliminiramo visoke provizije trećih strana i osiguravamo vrhunsko korisničko iskustvo od trenutka rezervacije do same konzumacije u restoranu.</w:t>
      </w:r>
    </w:p>
    <w:sectPr w:rsidR="00AA22B2" w:rsidRPr="00A24A17" w:rsidSect="00693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C696A"/>
    <w:multiLevelType w:val="multilevel"/>
    <w:tmpl w:val="B2B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06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C8"/>
    <w:rsid w:val="00693FE9"/>
    <w:rsid w:val="00943FCC"/>
    <w:rsid w:val="00974F1C"/>
    <w:rsid w:val="009A1CC8"/>
    <w:rsid w:val="00A24A17"/>
    <w:rsid w:val="00AA22B2"/>
    <w:rsid w:val="00C26A5F"/>
    <w:rsid w:val="00D36679"/>
    <w:rsid w:val="00E13A5B"/>
    <w:rsid w:val="3C58472F"/>
    <w:rsid w:val="5B3E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79616"/>
  <w15:chartTrackingRefBased/>
  <w15:docId w15:val="{15E74E82-A7E7-4BC1-BB08-F633BDCB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B3E5521"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5B3E55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B3E55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B3E55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B3E55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B3E55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5B3E55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5B3E55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5B3E55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5B3E55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5B3E5521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B3E5521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5B3E552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B3E5521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5B3E55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5B3E552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5B3E5521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rsid w:val="5B3E5521"/>
    <w:rPr>
      <w:rFonts w:asciiTheme="majorHAnsi" w:eastAsiaTheme="majorEastAsia" w:hAnsiTheme="majorHAnsi" w:cstheme="majorBidi"/>
      <w:noProof/>
      <w:color w:val="1F3763"/>
      <w:sz w:val="24"/>
      <w:szCs w:val="24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rsid w:val="5B3E5521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rsid w:val="5B3E5521"/>
    <w:rPr>
      <w:rFonts w:asciiTheme="majorHAnsi" w:eastAsiaTheme="majorEastAsia" w:hAnsiTheme="majorHAnsi" w:cstheme="majorBidi"/>
      <w:noProof/>
      <w:color w:val="2F5496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rsid w:val="5B3E5521"/>
    <w:rPr>
      <w:rFonts w:asciiTheme="majorHAnsi" w:eastAsiaTheme="majorEastAsia" w:hAnsiTheme="majorHAnsi" w:cstheme="majorBidi"/>
      <w:noProof/>
      <w:color w:val="1F3763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rsid w:val="5B3E5521"/>
    <w:rPr>
      <w:rFonts w:asciiTheme="majorHAnsi" w:eastAsiaTheme="majorEastAsia" w:hAnsiTheme="majorHAnsi" w:cstheme="majorBidi"/>
      <w:i/>
      <w:iCs/>
      <w:noProof/>
      <w:color w:val="1F3763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rsid w:val="5B3E5521"/>
    <w:rPr>
      <w:rFonts w:asciiTheme="majorHAnsi" w:eastAsiaTheme="majorEastAsia" w:hAnsiTheme="majorHAnsi" w:cstheme="majorBidi"/>
      <w:noProof/>
      <w:color w:val="272727"/>
      <w:sz w:val="21"/>
      <w:szCs w:val="21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rsid w:val="5B3E5521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hr-HR"/>
    </w:rPr>
  </w:style>
  <w:style w:type="character" w:customStyle="1" w:styleId="TitleChar">
    <w:name w:val="Title Char"/>
    <w:basedOn w:val="DefaultParagraphFont"/>
    <w:link w:val="Title"/>
    <w:uiPriority w:val="10"/>
    <w:rsid w:val="5B3E5521"/>
    <w:rPr>
      <w:rFonts w:asciiTheme="majorHAnsi" w:eastAsiaTheme="majorEastAsia" w:hAnsiTheme="majorHAnsi" w:cstheme="majorBidi"/>
      <w:noProof/>
      <w:sz w:val="56"/>
      <w:szCs w:val="56"/>
      <w:lang w:val="hr-HR"/>
    </w:rPr>
  </w:style>
  <w:style w:type="character" w:customStyle="1" w:styleId="SubtitleChar">
    <w:name w:val="Subtitle Char"/>
    <w:basedOn w:val="DefaultParagraphFont"/>
    <w:link w:val="Subtitle"/>
    <w:uiPriority w:val="11"/>
    <w:rsid w:val="5B3E5521"/>
    <w:rPr>
      <w:rFonts w:asciiTheme="minorHAnsi" w:eastAsiaTheme="minorEastAsia" w:hAnsiTheme="minorHAnsi" w:cstheme="minorBidi"/>
      <w:noProof/>
      <w:color w:val="5A5A5A"/>
      <w:lang w:val="hr-HR"/>
    </w:rPr>
  </w:style>
  <w:style w:type="character" w:customStyle="1" w:styleId="QuoteChar">
    <w:name w:val="Quote Char"/>
    <w:basedOn w:val="DefaultParagraphFont"/>
    <w:link w:val="Quote"/>
    <w:uiPriority w:val="29"/>
    <w:rsid w:val="5B3E5521"/>
    <w:rPr>
      <w:i/>
      <w:iCs/>
      <w:noProof/>
      <w:color w:val="404040" w:themeColor="text1" w:themeTint="BF"/>
      <w:lang w:val="hr-H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5B3E5521"/>
    <w:rPr>
      <w:i/>
      <w:iCs/>
      <w:noProof/>
      <w:color w:val="4472C4" w:themeColor="accent1"/>
      <w:lang w:val="hr-HR"/>
    </w:rPr>
  </w:style>
  <w:style w:type="paragraph" w:styleId="TOC1">
    <w:name w:val="toc 1"/>
    <w:basedOn w:val="Normal"/>
    <w:next w:val="Normal"/>
    <w:uiPriority w:val="39"/>
    <w:unhideWhenUsed/>
    <w:rsid w:val="5B3E552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B3E552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B3E5521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B3E5521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B3E5521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B3E552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B3E552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B3E552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B3E5521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5B3E552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5B3E5521"/>
    <w:rPr>
      <w:noProof/>
      <w:sz w:val="20"/>
      <w:szCs w:val="20"/>
      <w:lang w:val="hr-HR"/>
    </w:rPr>
  </w:style>
  <w:style w:type="paragraph" w:styleId="Footer">
    <w:name w:val="footer"/>
    <w:basedOn w:val="Normal"/>
    <w:link w:val="FooterChar"/>
    <w:uiPriority w:val="99"/>
    <w:unhideWhenUsed/>
    <w:rsid w:val="5B3E55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5B3E5521"/>
    <w:rPr>
      <w:noProof/>
      <w:lang w:val="hr-H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5B3E552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5B3E5521"/>
    <w:rPr>
      <w:noProof/>
      <w:sz w:val="20"/>
      <w:szCs w:val="20"/>
      <w:lang w:val="hr-HR"/>
    </w:rPr>
  </w:style>
  <w:style w:type="paragraph" w:styleId="Header">
    <w:name w:val="header"/>
    <w:basedOn w:val="Normal"/>
    <w:link w:val="HeaderChar"/>
    <w:uiPriority w:val="99"/>
    <w:unhideWhenUsed/>
    <w:rsid w:val="5B3E55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5B3E5521"/>
    <w:rPr>
      <w:noProof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6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070514AF8B894AAF24DC61CC15240C" ma:contentTypeVersion="5" ma:contentTypeDescription="Stvaranje novog dokumenta." ma:contentTypeScope="" ma:versionID="0d41bcb551ab77d5a200a5419b63bc8b">
  <xsd:schema xmlns:xsd="http://www.w3.org/2001/XMLSchema" xmlns:xs="http://www.w3.org/2001/XMLSchema" xmlns:p="http://schemas.microsoft.com/office/2006/metadata/properties" xmlns:ns2="1963049f-dc55-4499-ba4e-c842acd26adc" targetNamespace="http://schemas.microsoft.com/office/2006/metadata/properties" ma:root="true" ma:fieldsID="6a9e4841034b6cf4b70c21274ee58c84" ns2:_="">
    <xsd:import namespace="1963049f-dc55-4499-ba4e-c842acd26a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63049f-dc55-4499-ba4e-c842acd26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DCA8BF-5C85-4DF6-B340-E8F1B8C3F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63049f-dc55-4499-ba4e-c842acd26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2E7360-854E-4756-B112-001D9F51DB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F6578B-BA64-454B-AF75-ACE6B93459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lalic</dc:creator>
  <cp:keywords/>
  <dc:description/>
  <cp:lastModifiedBy>Filip Folnegović | Student</cp:lastModifiedBy>
  <cp:revision>2</cp:revision>
  <dcterms:created xsi:type="dcterms:W3CDTF">2026-03-08T10:39:00Z</dcterms:created>
  <dcterms:modified xsi:type="dcterms:W3CDTF">2026-03-08T10:39:00Z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0x010100D4070514AF8B894AAF24DC61CC15240C</vt:lpwstr>
  </property>
</Properties>
</file>