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quanto riguarda il Defect #357012 questo  è come viene valorizzato il campo codCondizioneProfessionale su BSA_Anagrafe: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Titolare attività:003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Lavoratori dipendenti del settore pubblico:010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Lavoratori dipendenti del settore privato:011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Lavoratore dipendente:002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Lavoratore autonomo:001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Condizione non professionale:007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Altro:009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Mentre questo è l'elenco completo del domino su AIA: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"001","Lavoratori dipendenti del settore privato"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"002","Lavoratori dipendenti del settore pubblico"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"003","Lavoratori autonomi e liberi professionisti"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"004","Soggetto diverso da quelli precedenti"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"005","Altri soggetti fiscalmente a carico"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"006","Lavoratore autonomo"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"007","Lavoratore dipendente"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"008","Titolare di attività"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"009","Altro"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"010","Condizione non professionale"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Fate voi la conversione creaSoggetto?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