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120" w:line="360"/>
        <w:jc w:val="both"/>
      </w:pPr>
      <w:r>
        <w:rPr>
          <w:rFonts w:ascii="Times New Roman" w:cs="Times New Roman" w:eastAsia="Times New Roman" w:hAnsi="Times New Roman"/>
          <w:b/>
          <w:bCs/>
          <w:i/>
          <w:iCs/>
          <w:color w:val="C00000"/>
          <w:sz w:val="24"/>
          <w:szCs w:val="24"/>
        </w:rPr>
        <w:t xml:space="preserve">[INSERIRE I LOGHI UFFICIALI ITS, FUTURA, REGIONE PIEMONTE, UE COME DA TEMPLATE ORIGINALE]</w:t>
      </w:r>
    </w:p>
    <w:p>
      <w:pPr>
        <w:spacing w:after="60"/>
      </w:pPr>
    </w:p>
    <w:p>
      <w:pPr>
        <w:spacing w:after="60"/>
      </w:pPr>
    </w:p>
    <w:p>
      <w:pPr>
        <w:spacing w:after="120"/>
        <w:jc w:val="center"/>
      </w:pPr>
      <w:r>
        <w:rPr>
          <w:rFonts w:ascii="Times New Roman" w:cs="Times New Roman" w:eastAsia="Times New Roman" w:hAnsi="Times New Roman"/>
          <w:b/>
          <w:bCs/>
          <w:sz w:val="26"/>
          <w:szCs w:val="26"/>
        </w:rPr>
        <w:t xml:space="preserve">ISTITUTO TECNOLOGICO SUPERIORE ACADEMY</w:t>
      </w:r>
    </w:p>
    <w:p>
      <w:pPr>
        <w:spacing w:after="120"/>
        <w:jc w:val="center"/>
      </w:pPr>
      <w:r>
        <w:rPr>
          <w:rFonts w:ascii="Times New Roman" w:cs="Times New Roman" w:eastAsia="Times New Roman" w:hAnsi="Times New Roman"/>
          <w:b w:val="false"/>
          <w:bCs w:val="false"/>
          <w:sz w:val="24"/>
          <w:szCs w:val="24"/>
        </w:rPr>
        <w:t xml:space="preserve">PER LE TECNOLOGIE DELLA INFORMAZIONE</w:t>
      </w:r>
    </w:p>
    <w:p>
      <w:pPr>
        <w:spacing w:after="120"/>
        <w:jc w:val="center"/>
      </w:pPr>
      <w:r>
        <w:rPr>
          <w:rFonts w:ascii="Times New Roman" w:cs="Times New Roman" w:eastAsia="Times New Roman" w:hAnsi="Times New Roman"/>
          <w:b w:val="false"/>
          <w:bCs w:val="false"/>
          <w:sz w:val="24"/>
          <w:szCs w:val="24"/>
        </w:rPr>
        <w:t xml:space="preserve">E DELLA COMUNICAZIONE DEL PIEMONTE</w:t>
      </w:r>
    </w:p>
    <w:p>
      <w:pPr>
        <w:spacing w:after="60"/>
      </w:pPr>
    </w:p>
    <w:p>
      <w:pPr>
        <w:spacing w:after="120"/>
        <w:jc w:val="center"/>
      </w:pPr>
      <w:r>
        <w:rPr>
          <w:rFonts w:ascii="Times New Roman" w:cs="Times New Roman" w:eastAsia="Times New Roman" w:hAnsi="Times New Roman"/>
          <w:b w:val="false"/>
          <w:bCs w:val="false"/>
          <w:sz w:val="22"/>
          <w:szCs w:val="22"/>
        </w:rPr>
        <w:t xml:space="preserve">Sede legale: Torino, Piazza Carlo Felice 18</w:t>
      </w:r>
    </w:p>
    <w:p>
      <w:pPr>
        <w:spacing w:after="60"/>
      </w:pPr>
    </w:p>
    <w:p>
      <w:pPr>
        <w:spacing w:after="60"/>
      </w:pPr>
    </w:p>
    <w:p>
      <w:pPr>
        <w:spacing w:after="120"/>
        <w:jc w:val="center"/>
      </w:pPr>
      <w:r>
        <w:rPr>
          <w:rFonts w:ascii="Times New Roman" w:cs="Times New Roman" w:eastAsia="Times New Roman" w:hAnsi="Times New Roman"/>
          <w:b w:val="false"/>
          <w:bCs w:val="false"/>
          <w:sz w:val="22"/>
          <w:szCs w:val="22"/>
        </w:rPr>
        <w:t xml:space="preserve">DENOMINAZIONE CORSO:</w:t>
      </w:r>
    </w:p>
    <w:p>
      <w:pPr>
        <w:spacing w:after="120"/>
        <w:jc w:val="center"/>
      </w:pPr>
      <w:r>
        <w:rPr>
          <w:rFonts w:ascii="Times New Roman" w:cs="Times New Roman" w:eastAsia="Times New Roman" w:hAnsi="Times New Roman"/>
          <w:b/>
          <w:bCs/>
          <w:sz w:val="24"/>
          <w:szCs w:val="24"/>
        </w:rPr>
        <w:t xml:space="preserve">Tecnico superiore Sviluppatore software</w:t>
      </w:r>
    </w:p>
    <w:p>
      <w:pPr>
        <w:spacing w:after="120"/>
        <w:jc w:val="center"/>
      </w:pPr>
      <w:r>
        <w:rPr>
          <w:rFonts w:ascii="Times New Roman" w:cs="Times New Roman" w:eastAsia="Times New Roman" w:hAnsi="Times New Roman"/>
          <w:b/>
          <w:bCs/>
          <w:sz w:val="24"/>
          <w:szCs w:val="24"/>
        </w:rPr>
        <w:t xml:space="preserve">INSURANCE SOFTWARE DEVELOPER</w:t>
      </w:r>
    </w:p>
    <w:p>
      <w:pPr>
        <w:spacing w:after="60"/>
      </w:pPr>
    </w:p>
    <w:p>
      <w:pPr>
        <w:spacing w:after="60"/>
      </w:pPr>
    </w:p>
    <w:p>
      <w:pPr>
        <w:spacing w:after="60"/>
      </w:pPr>
    </w:p>
    <w:p>
      <w:pPr>
        <w:spacing w:after="120"/>
        <w:jc w:val="center"/>
      </w:pPr>
      <w:r>
        <w:rPr>
          <w:rFonts w:ascii="Times New Roman" w:cs="Times New Roman" w:eastAsia="Times New Roman" w:hAnsi="Times New Roman"/>
          <w:b/>
          <w:bCs/>
          <w:sz w:val="28"/>
          <w:szCs w:val="28"/>
        </w:rPr>
        <w:t xml:space="preserve">TESI DI DIPLOMA</w:t>
      </w:r>
    </w:p>
    <w:p>
      <w:pPr>
        <w:spacing w:after="60"/>
      </w:pPr>
    </w:p>
    <w:p>
      <w:pPr>
        <w:spacing w:after="120"/>
        <w:jc w:val="center"/>
      </w:pPr>
      <w:r>
        <w:rPr>
          <w:rFonts w:ascii="Times New Roman" w:cs="Times New Roman" w:eastAsia="Times New Roman" w:hAnsi="Times New Roman"/>
          <w:b/>
          <w:bCs/>
          <w:sz w:val="32"/>
          <w:szCs w:val="32"/>
        </w:rPr>
        <w:t xml:space="preserve">Application Maintenance e Troubleshooting</w:t>
      </w:r>
    </w:p>
    <w:p>
      <w:pPr>
        <w:spacing w:after="120"/>
        <w:jc w:val="center"/>
      </w:pPr>
      <w:r>
        <w:rPr>
          <w:rFonts w:ascii="Times New Roman" w:cs="Times New Roman" w:eastAsia="Times New Roman" w:hAnsi="Times New Roman"/>
          <w:b w:val="false"/>
          <w:bCs w:val="false"/>
          <w:sz w:val="26"/>
          <w:szCs w:val="26"/>
        </w:rPr>
        <w:t xml:space="preserve">nell’ecosistema VITA di Reale ITES</w:t>
      </w:r>
    </w:p>
    <w:p>
      <w:pPr>
        <w:spacing w:after="120"/>
        <w:jc w:val="center"/>
      </w:pPr>
      <w:r>
        <w:rPr>
          <w:rFonts w:ascii="Times New Roman" w:cs="Times New Roman" w:eastAsia="Times New Roman" w:hAnsi="Times New Roman"/>
          <w:b/>
          <w:bCs/>
          <w:sz w:val="24"/>
          <w:szCs w:val="24"/>
        </w:rPr>
        <w:t xml:space="preserve">Metodologia, incident e lessons learned</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120"/>
        <w:jc w:val="center"/>
      </w:pPr>
      <w:r>
        <w:rPr>
          <w:rFonts w:ascii="Times New Roman" w:cs="Times New Roman" w:eastAsia="Times New Roman" w:hAnsi="Times New Roman"/>
          <w:b w:val="false"/>
          <w:bCs w:val="false"/>
          <w:sz w:val="22"/>
          <w:szCs w:val="22"/>
        </w:rPr>
        <w:t xml:space="preserve">Candidato</w:t>
      </w:r>
    </w:p>
    <w:p>
      <w:pPr>
        <w:spacing w:after="120"/>
        <w:jc w:val="center"/>
      </w:pPr>
      <w:r>
        <w:rPr>
          <w:rFonts w:ascii="Times New Roman" w:cs="Times New Roman" w:eastAsia="Times New Roman" w:hAnsi="Times New Roman"/>
          <w:b/>
          <w:bCs/>
          <w:sz w:val="26"/>
          <w:szCs w:val="26"/>
        </w:rPr>
        <w:t xml:space="preserve">FOMO KAMKUIMO ACHILLE</w:t>
      </w:r>
    </w:p>
    <w:p>
      <w:pPr>
        <w:spacing w:after="60"/>
      </w:pPr>
    </w:p>
    <w:p>
      <w:pPr>
        <w:spacing w:after="120"/>
        <w:jc w:val="center"/>
      </w:pPr>
      <w:r>
        <w:rPr>
          <w:rFonts w:ascii="Times New Roman" w:cs="Times New Roman" w:eastAsia="Times New Roman" w:hAnsi="Times New Roman"/>
          <w:b w:val="false"/>
          <w:bCs w:val="false"/>
          <w:sz w:val="22"/>
          <w:szCs w:val="22"/>
        </w:rPr>
        <w:t xml:space="preserve">Azienda ospitante: Reale ITES S.p.A.</w:t>
      </w:r>
    </w:p>
    <w:p>
      <w:pPr>
        <w:spacing w:after="120"/>
        <w:jc w:val="center"/>
      </w:pPr>
      <w:r>
        <w:rPr>
          <w:rFonts w:ascii="Times New Roman" w:cs="Times New Roman" w:eastAsia="Times New Roman" w:hAnsi="Times New Roman"/>
          <w:b w:val="false"/>
          <w:bCs w:val="false"/>
          <w:sz w:val="22"/>
          <w:szCs w:val="22"/>
        </w:rPr>
        <w:t xml:space="preserve">Anno Accademico 2025–2026</w:t>
      </w:r>
    </w:p>
    <w:p>
      <w:pPr>
        <w:sectPr>
          <w:pgSz w:w="11906" w:h="16838" w:orient="portrait"/>
          <w:pgMar w:top="1440" w:right="1440" w:bottom="1440" w:left="1440" w:header="708" w:footer="708" w:gutter="0"/>
          <w:pgNumType/>
          <w:docGrid w:linePitch="360"/>
        </w:sectPr>
      </w:pPr>
    </w:p>
    <w:p>
      <w:pPr>
        <w:pStyle w:val="Heading1"/>
        <w:spacing w:after="240" w:before="360" w:line="360"/>
        <w:jc w:val="both"/>
      </w:pPr>
      <w:r>
        <w:rPr>
          <w:rFonts w:ascii="Times New Roman" w:cs="Times New Roman" w:eastAsia="Times New Roman" w:hAnsi="Times New Roman"/>
          <w:b/>
          <w:bCs/>
          <w:sz w:val="28"/>
          <w:szCs w:val="28"/>
        </w:rPr>
        <w:t xml:space="preserve">Indice</w:t>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360" w:line="360"/>
        <w:jc w:val="both"/>
      </w:pPr>
      <w:r>
        <w:rPr>
          <w:rFonts w:ascii="Times New Roman" w:cs="Times New Roman" w:eastAsia="Times New Roman" w:hAnsi="Times New Roman"/>
          <w:b/>
          <w:bCs/>
          <w:sz w:val="28"/>
          <w:szCs w:val="28"/>
        </w:rPr>
        <w:t xml:space="preserve">Introduzione</w:t>
      </w:r>
    </w:p>
    <w:p>
      <w:pPr>
        <w:spacing w:after="120" w:line="360"/>
        <w:jc w:val="both"/>
      </w:pPr>
      <w:r>
        <w:rPr>
          <w:rFonts w:ascii="Times New Roman" w:cs="Times New Roman" w:eastAsia="Times New Roman" w:hAnsi="Times New Roman"/>
          <w:sz w:val="24"/>
          <w:szCs w:val="24"/>
        </w:rPr>
        <w:t xml:space="preserve">Il presente lavoro di tesi viene sviluppato da Achille Fomo Kamkuimo, studente del corso Tecnico superiore Sviluppatore software — Insurance Software Developer presso l’ITS ICT Piemonte di Torino, nell’ambito del tirocinio formativo svolto in Reale ITES S.p.A., società tecnologica del Gruppo Reale Mutua.</w:t>
      </w:r>
    </w:p>
    <w:p>
      <w:pPr>
        <w:spacing w:after="120" w:line="360"/>
        <w:jc w:val="both"/>
      </w:pPr>
      <w:r>
        <w:rPr>
          <w:rFonts w:ascii="Times New Roman" w:cs="Times New Roman" w:eastAsia="Times New Roman" w:hAnsi="Times New Roman"/>
          <w:sz w:val="24"/>
          <w:szCs w:val="24"/>
        </w:rPr>
        <w:t xml:space="preserve">Il candidato, arrivato in Italia dal Camerun nel 2019, ha acquisito le competenze linguistiche e tecniche necessarie attraverso un percorso formativo che ha attraversato il Politecnico di Torino e l’ITS ICT, fino all’attuale apprendistato in Reale ITES. Il lavoro quotidiano si colloca all’interno del team che gestisce l’ecosistema applicativo VITA, l’insieme di sistemi software che supporta il ramo assicurativo Vita del Gruppo Reale Mutua.</w:t>
      </w:r>
    </w:p>
    <w:p>
      <w:pPr>
        <w:spacing w:after="120" w:line="360"/>
        <w:jc w:val="both"/>
      </w:pPr>
      <w:r>
        <w:rPr>
          <w:rFonts w:ascii="Times New Roman" w:cs="Times New Roman" w:eastAsia="Times New Roman" w:hAnsi="Times New Roman"/>
          <w:sz w:val="24"/>
          <w:szCs w:val="24"/>
        </w:rPr>
        <w:t xml:space="preserve">La tesi documenta le attività operative svolte durante il tirocinio nel perimetro dell’ecosistema VITA, con particolare attenzione all’application maintenance, al troubleshooting degli incident e alla gestione dei defect. L’obiettivo è fornire una descrizione accurata del contesto operativo, dell’architettura IT, del ciclo di vita del software e delle competenze tecniche acquisite sul campo.</w:t>
      </w:r>
    </w:p>
    <w:p>
      <w:pPr>
        <w:spacing w:after="120" w:line="360"/>
        <w:jc w:val="both"/>
      </w:pPr>
      <w:r>
        <w:rPr>
          <w:rFonts w:ascii="Times New Roman" w:cs="Times New Roman" w:eastAsia="Times New Roman" w:hAnsi="Times New Roman"/>
          <w:sz w:val="24"/>
          <w:szCs w:val="24"/>
        </w:rPr>
        <w:t xml:space="preserve">L’organizzazione del documento è la seguente. Il Capitolo 1 presenta il contesto operativo e il framework SAFe adottato in azienda. Il Capitolo 2 descrive in modo dettagliato l’architettura IT dell’ecosistema VITA, illustrando tecnicamente e funzionalmente ciascun layer applicativo. Il Capitolo 3 spiega il ciclo di vita del software in Reale ITES, distinguendo tra ciclo evolutivo e ciclo correttivo. Il Capitolo 4, capitolo centrale della tesi, documenta le attività svolte attraverso case study concreti: incident, defect, troubleshooting e unit testing. Le Conclusioni consolidano le competenze acquisite e le proposte di miglioramento.</w:t>
      </w:r>
    </w:p>
    <w:p>
      <w:pPr>
        <w:spacing w:after="120" w:line="360"/>
        <w:jc w:val="both"/>
      </w:pPr>
      <w:r>
        <w:rPr>
          <w:rFonts w:ascii="Times New Roman" w:cs="Times New Roman" w:eastAsia="Times New Roman" w:hAnsi="Times New Roman"/>
          <w:sz w:val="24"/>
          <w:szCs w:val="24"/>
        </w:rPr>
        <w:t xml:space="preserve">In conformità con le policy di riservatezza aziendale, i nomi dei contraenti, i numeri di polizza, i codici interni e i nominativi dei colleghi operativi sono stati anonimizzati. Sono stati mantenuti i nomi dei sistemi applicativi e i pattern architetturali, informazioni indispensabili alla comprensione tecnica e prive di rilevanza identificativa.</w:t>
      </w:r>
    </w:p>
    <w:p>
      <w:r>
        <w:br w:type="page"/>
      </w:r>
    </w:p>
    <w:p>
      <w:pPr>
        <w:pStyle w:val="Heading1"/>
        <w:spacing w:after="240" w:before="360" w:line="360"/>
        <w:jc w:val="both"/>
      </w:pPr>
      <w:r>
        <w:rPr>
          <w:rFonts w:ascii="Times New Roman" w:cs="Times New Roman" w:eastAsia="Times New Roman" w:hAnsi="Times New Roman"/>
          <w:b/>
          <w:bCs/>
          <w:sz w:val="28"/>
          <w:szCs w:val="28"/>
        </w:rPr>
        <w:t xml:space="preserve">Capitolo 1 — Contesto Operativo e Framework SAFe</w:t>
      </w:r>
    </w:p>
    <w:p>
      <w:pPr>
        <w:pStyle w:val="Heading2"/>
        <w:spacing w:after="180" w:before="300" w:line="360"/>
        <w:jc w:val="both"/>
      </w:pPr>
      <w:r>
        <w:rPr>
          <w:rFonts w:ascii="Times New Roman" w:cs="Times New Roman" w:eastAsia="Times New Roman" w:hAnsi="Times New Roman"/>
          <w:b/>
          <w:bCs/>
          <w:sz w:val="26"/>
          <w:szCs w:val="26"/>
        </w:rPr>
        <w:t xml:space="preserve">1.1 — Il team VITA in Reale ITES</w:t>
      </w:r>
    </w:p>
    <w:p>
      <w:pPr>
        <w:spacing w:after="120" w:line="360"/>
        <w:jc w:val="both"/>
      </w:pPr>
      <w:r>
        <w:rPr>
          <w:rFonts w:ascii="Times New Roman" w:cs="Times New Roman" w:eastAsia="Times New Roman" w:hAnsi="Times New Roman"/>
          <w:sz w:val="24"/>
          <w:szCs w:val="24"/>
        </w:rPr>
        <w:t xml:space="preserve">Reale ITES S.p.A. è la società tecnologica del Gruppo Reale Mutua. L’attività di tirocinio si svolge all’interno del team di sviluppo che gestisce l’ecosistema applicativo VITA, il quale supporta le operazioni del ramo assicurativo Vita del Gruppo. Il team è responsabile sia dello sviluppo evolutivo (nuove funzionalità) sia della manutenzione correttiva (gestione di incident e defect) dell’ecosistema.</w:t>
      </w:r>
    </w:p>
    <w:p>
      <w:pPr>
        <w:spacing w:after="120" w:line="360"/>
        <w:jc w:val="both"/>
      </w:pPr>
      <w:r>
        <w:rPr>
          <w:rFonts w:ascii="Times New Roman" w:cs="Times New Roman" w:eastAsia="Times New Roman" w:hAnsi="Times New Roman"/>
          <w:sz w:val="24"/>
          <w:szCs w:val="24"/>
        </w:rPr>
        <w:t xml:space="preserve">Il team opera in modalità Agile, adottando il framework SAFe (Scaled Agile Framework) [4], che definisce ruoli, cerimonie e processi standardizzati per la gestione del lavoro a scala aziendale.</w:t>
      </w:r>
    </w:p>
    <w:p>
      <w:pPr>
        <w:pStyle w:val="Heading2"/>
        <w:spacing w:after="180" w:before="300" w:line="360"/>
        <w:jc w:val="both"/>
      </w:pPr>
      <w:r>
        <w:rPr>
          <w:rFonts w:ascii="Times New Roman" w:cs="Times New Roman" w:eastAsia="Times New Roman" w:hAnsi="Times New Roman"/>
          <w:b/>
          <w:bCs/>
          <w:sz w:val="26"/>
          <w:szCs w:val="26"/>
        </w:rPr>
        <w:t xml:space="preserve">1.2 — Framework SAFe: ruoli operativi</w:t>
      </w:r>
    </w:p>
    <w:p>
      <w:pPr>
        <w:spacing w:after="120" w:line="360"/>
        <w:jc w:val="both"/>
      </w:pPr>
      <w:r>
        <w:rPr>
          <w:rFonts w:ascii="Times New Roman" w:cs="Times New Roman" w:eastAsia="Times New Roman" w:hAnsi="Times New Roman"/>
          <w:sz w:val="24"/>
          <w:szCs w:val="24"/>
        </w:rPr>
        <w:t xml:space="preserve">All’interno del treno Agile VITA, quattro ruoli operativi risultano rilevanti per le attività documentate nella tesi:</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System Architect. </w:t>
      </w:r>
      <w:r>
        <w:rPr>
          <w:rFonts w:ascii="Times New Roman" w:cs="Times New Roman" w:eastAsia="Times New Roman" w:hAnsi="Times New Roman"/>
          <w:sz w:val="24"/>
          <w:szCs w:val="24"/>
        </w:rPr>
        <w:t xml:space="preserve">Responsabile della visione architetturale del treno Agile e della definizione degli standard tecnici. Non sviluppa codice. Valuta l’impatto degli interventi sull’ecosistema e autorizza le operazioni in ambiente di produzione. Nel contesto degli incident analizzati nel Capitolo 4, il System Architect ha autorizzato un intervento diretto in produzione per la rigenerazione di stampe fallite.</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IT Analyst. </w:t>
      </w:r>
      <w:r>
        <w:rPr>
          <w:rFonts w:ascii="Times New Roman" w:cs="Times New Roman" w:eastAsia="Times New Roman" w:hAnsi="Times New Roman"/>
          <w:sz w:val="24"/>
          <w:szCs w:val="24"/>
        </w:rPr>
        <w:t xml:space="preserve">Responsabile dei requisiti tecnici, dei test, dell’Help Desk di terzo livello e della documentazione tecnica. Presidia il rapporto con i fornitori esterni e gestisce l’escalation degli incident non risolvibili dal team di sviluppo.</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Business Analyst. </w:t>
      </w:r>
      <w:r>
        <w:rPr>
          <w:rFonts w:ascii="Times New Roman" w:cs="Times New Roman" w:eastAsia="Times New Roman" w:hAnsi="Times New Roman"/>
          <w:sz w:val="24"/>
          <w:szCs w:val="24"/>
        </w:rPr>
        <w:t xml:space="preserve">Responsabile della traduzione dei requisiti di business in user stories, acceptance criteria e test case. Funge da ponte tra il linguaggio del business e il linguaggio del team tecnico. Nel contesto del Capitolo 4, il Business Analyst ha determinato che un comportamento del sistema, percepito come difetto dall’utente, era in realtà un requisito di compliance normativa (“Works as designed”).</w:t>
      </w:r>
    </w:p>
    <w:p>
      <w:pPr>
        <w:pStyle w:val="ListParagraph"/>
        <w:numPr>
          <w:ilvl w:val="0"/>
          <w:numId w:val="2"/>
        </w:numPr>
        <w:spacing w:after="100" w:line="360"/>
        <w:jc w:val="both"/>
      </w:pPr>
      <w:r>
        <w:rPr>
          <w:rFonts w:ascii="Times New Roman" w:cs="Times New Roman" w:eastAsia="Times New Roman" w:hAnsi="Times New Roman"/>
          <w:b/>
          <w:bCs/>
          <w:sz w:val="24"/>
          <w:szCs w:val="24"/>
        </w:rPr>
        <w:t xml:space="preserve">Sviluppatore. </w:t>
      </w:r>
      <w:r>
        <w:rPr>
          <w:rFonts w:ascii="Times New Roman" w:cs="Times New Roman" w:eastAsia="Times New Roman" w:hAnsi="Times New Roman"/>
          <w:sz w:val="24"/>
          <w:szCs w:val="24"/>
        </w:rPr>
        <w:t xml:space="preserve">Responsabile dello sviluppo, del fix, della scrittura di unit test e del troubleshooting. Il candidato opera in questo ruolo come apprendista. Le attività quotidiane comprendono: analisi dei log su Splunk, replica dei problemi in ambienti di test, debug in locale, implementazione dei fix, push su Azure DevOps e coordinamento per il deploy.</w:t>
      </w:r>
    </w:p>
    <w:p>
      <w:pPr>
        <w:pStyle w:val="Heading2"/>
        <w:spacing w:after="180" w:before="300" w:line="360"/>
        <w:jc w:val="both"/>
      </w:pPr>
      <w:r>
        <w:rPr>
          <w:rFonts w:ascii="Times New Roman" w:cs="Times New Roman" w:eastAsia="Times New Roman" w:hAnsi="Times New Roman"/>
          <w:b/>
          <w:bCs/>
          <w:sz w:val="26"/>
          <w:szCs w:val="26"/>
        </w:rPr>
        <w:t xml:space="preserve">1.3 — Cerimonie Agile</w:t>
      </w:r>
    </w:p>
    <w:p>
      <w:pPr>
        <w:spacing w:after="120" w:line="360"/>
        <w:jc w:val="both"/>
      </w:pPr>
      <w:r>
        <w:rPr>
          <w:rFonts w:ascii="Times New Roman" w:cs="Times New Roman" w:eastAsia="Times New Roman" w:hAnsi="Times New Roman"/>
          <w:sz w:val="24"/>
          <w:szCs w:val="24"/>
        </w:rPr>
        <w:t xml:space="preserve">Il team partecipa alle cerimonie standard del framework SAFe [4]:</w:t>
      </w:r>
    </w:p>
    <w:p>
      <w:pPr>
        <w:pStyle w:val="ListParagraph"/>
        <w:numPr>
          <w:ilvl w:val="0"/>
          <w:numId w:val="3"/>
        </w:numPr>
        <w:spacing w:after="100" w:line="360"/>
        <w:jc w:val="both"/>
      </w:pPr>
      <w:r>
        <w:rPr>
          <w:rFonts w:ascii="Times New Roman" w:cs="Times New Roman" w:eastAsia="Times New Roman" w:hAnsi="Times New Roman"/>
          <w:b/>
          <w:bCs/>
          <w:sz w:val="24"/>
          <w:szCs w:val="24"/>
        </w:rPr>
        <w:t xml:space="preserve">Daily Scrum: </w:t>
      </w:r>
      <w:r>
        <w:rPr>
          <w:rFonts w:ascii="Times New Roman" w:cs="Times New Roman" w:eastAsia="Times New Roman" w:hAnsi="Times New Roman"/>
          <w:sz w:val="24"/>
          <w:szCs w:val="24"/>
        </w:rPr>
        <w:t xml:space="preserve">incontro quotidiano di 15 minuti per l’allineamento del team sullo stato delle attività in corso.</w:t>
      </w:r>
    </w:p>
    <w:p>
      <w:pPr>
        <w:pStyle w:val="ListParagraph"/>
        <w:numPr>
          <w:ilvl w:val="0"/>
          <w:numId w:val="3"/>
        </w:numPr>
        <w:spacing w:after="100" w:line="360"/>
        <w:jc w:val="both"/>
      </w:pPr>
      <w:r>
        <w:rPr>
          <w:rFonts w:ascii="Times New Roman" w:cs="Times New Roman" w:eastAsia="Times New Roman" w:hAnsi="Times New Roman"/>
          <w:b/>
          <w:bCs/>
          <w:sz w:val="24"/>
          <w:szCs w:val="24"/>
        </w:rPr>
        <w:t xml:space="preserve">Sprint Planning: </w:t>
      </w:r>
      <w:r>
        <w:rPr>
          <w:rFonts w:ascii="Times New Roman" w:cs="Times New Roman" w:eastAsia="Times New Roman" w:hAnsi="Times New Roman"/>
          <w:sz w:val="24"/>
          <w:szCs w:val="24"/>
        </w:rPr>
        <w:t xml:space="preserve">pianificazione delle attività dello Sprint, con assegnazione delle user stories e degli incident ai membri del team.</w:t>
      </w:r>
    </w:p>
    <w:p>
      <w:pPr>
        <w:pStyle w:val="ListParagraph"/>
        <w:numPr>
          <w:ilvl w:val="0"/>
          <w:numId w:val="3"/>
        </w:numPr>
        <w:spacing w:after="100" w:line="360"/>
        <w:jc w:val="both"/>
      </w:pPr>
      <w:r>
        <w:rPr>
          <w:rFonts w:ascii="Times New Roman" w:cs="Times New Roman" w:eastAsia="Times New Roman" w:hAnsi="Times New Roman"/>
          <w:b/>
          <w:bCs/>
          <w:sz w:val="24"/>
          <w:szCs w:val="24"/>
        </w:rPr>
        <w:t xml:space="preserve">PI Planning (Program Increment Planning): </w:t>
      </w:r>
      <w:r>
        <w:rPr>
          <w:rFonts w:ascii="Times New Roman" w:cs="Times New Roman" w:eastAsia="Times New Roman" w:hAnsi="Times New Roman"/>
          <w:sz w:val="24"/>
          <w:szCs w:val="24"/>
        </w:rPr>
        <w:t xml:space="preserve">pianificazione a livello di treno Agile, con allineamento tra i diversi team sull’incremento di programma.</w:t>
      </w:r>
    </w:p>
    <w:p>
      <w:pPr>
        <w:pStyle w:val="ListParagraph"/>
        <w:numPr>
          <w:ilvl w:val="0"/>
          <w:numId w:val="3"/>
        </w:numPr>
        <w:spacing w:after="100" w:line="360"/>
        <w:jc w:val="both"/>
      </w:pPr>
      <w:r>
        <w:rPr>
          <w:rFonts w:ascii="Times New Roman" w:cs="Times New Roman" w:eastAsia="Times New Roman" w:hAnsi="Times New Roman"/>
          <w:b/>
          <w:bCs/>
          <w:sz w:val="24"/>
          <w:szCs w:val="24"/>
        </w:rPr>
        <w:t xml:space="preserve">Sprint Review e Retrospective: </w:t>
      </w:r>
      <w:r>
        <w:rPr>
          <w:rFonts w:ascii="Times New Roman" w:cs="Times New Roman" w:eastAsia="Times New Roman" w:hAnsi="Times New Roman"/>
          <w:sz w:val="24"/>
          <w:szCs w:val="24"/>
        </w:rPr>
        <w:t xml:space="preserve">revisione del lavoro completato e analisi delle aree di miglioramento al termine di ogni Sprint.</w:t>
      </w:r>
    </w:p>
    <w:p>
      <w:pPr>
        <w:pStyle w:val="Heading2"/>
        <w:spacing w:after="180" w:before="300" w:line="360"/>
        <w:jc w:val="both"/>
      </w:pPr>
      <w:r>
        <w:rPr>
          <w:rFonts w:ascii="Times New Roman" w:cs="Times New Roman" w:eastAsia="Times New Roman" w:hAnsi="Times New Roman"/>
          <w:b/>
          <w:bCs/>
          <w:sz w:val="26"/>
          <w:szCs w:val="26"/>
        </w:rPr>
        <w:t xml:space="preserve">1.4 — Sistema di ticketing: incident e defect</w:t>
      </w:r>
    </w:p>
    <w:p>
      <w:pPr>
        <w:spacing w:after="120" w:line="360"/>
        <w:jc w:val="both"/>
      </w:pPr>
      <w:r>
        <w:rPr>
          <w:rFonts w:ascii="Times New Roman" w:cs="Times New Roman" w:eastAsia="Times New Roman" w:hAnsi="Times New Roman"/>
          <w:sz w:val="24"/>
          <w:szCs w:val="24"/>
        </w:rPr>
        <w:t xml:space="preserve">La gestione delle anomalie nell’ecosistema VITA si articola su due tipologie di ticket, che corrispondono a fasi diverse del ciclo di vita del software e possono insistere su applicativi backend differenti:</w:t>
      </w:r>
    </w:p>
    <w:p>
      <w:pPr>
        <w:spacing w:after="120" w:line="360"/>
        <w:jc w:val="both"/>
      </w:pPr>
      <w:r>
        <w:rPr>
          <w:rFonts w:ascii="Times New Roman" w:cs="Times New Roman" w:eastAsia="Times New Roman" w:hAnsi="Times New Roman"/>
          <w:b/>
          <w:bCs/>
          <w:sz w:val="24"/>
          <w:szCs w:val="24"/>
        </w:rPr>
        <w:t xml:space="preserve">Incident: </w:t>
      </w:r>
      <w:r>
        <w:rPr>
          <w:rFonts w:ascii="Times New Roman" w:cs="Times New Roman" w:eastAsia="Times New Roman" w:hAnsi="Times New Roman"/>
          <w:sz w:val="24"/>
          <w:szCs w:val="24"/>
        </w:rPr>
        <w:t xml:space="preserve">segnalazione di un malfunzionamento rilevato in ambiente di produzione. L’incident viene aperto dall’Help Desk di primo livello (HD1) a seguito della segnalazione di un operatore di agenzia, e viene scalato attraverso HD2 fino all’HD3, ovvero il team di sviluppo, che effettua l’analisi tecnica e implementa il fix.</w:t>
      </w:r>
    </w:p>
    <w:p>
      <w:pPr>
        <w:spacing w:after="120" w:line="360"/>
        <w:jc w:val="both"/>
      </w:pPr>
      <w:r>
        <w:rPr>
          <w:rFonts w:ascii="Times New Roman" w:cs="Times New Roman" w:eastAsia="Times New Roman" w:hAnsi="Times New Roman"/>
          <w:b/>
          <w:bCs/>
          <w:sz w:val="24"/>
          <w:szCs w:val="24"/>
        </w:rPr>
        <w:t xml:space="preserve">Defect: </w:t>
      </w:r>
      <w:r>
        <w:rPr>
          <w:rFonts w:ascii="Times New Roman" w:cs="Times New Roman" w:eastAsia="Times New Roman" w:hAnsi="Times New Roman"/>
          <w:sz w:val="24"/>
          <w:szCs w:val="24"/>
        </w:rPr>
        <w:t xml:space="preserve">segnalazione di un comportamento non conforme alle specifiche funzionali, tipicamente rilevato durante le fasi di test o di verifica post-rilascio. Il defect può insistere su un applicativo diverso da quello dell’incident correlato: ad esempio, un incident sul frontend può generare un defect sul BSA di backend.</w:t>
      </w:r>
    </w:p>
    <w:p>
      <w:pPr>
        <w:spacing w:after="120" w:line="360"/>
        <w:jc w:val="both"/>
      </w:pPr>
      <w:r>
        <w:rPr>
          <w:rFonts w:ascii="Times New Roman" w:cs="Times New Roman" w:eastAsia="Times New Roman" w:hAnsi="Times New Roman"/>
          <w:sz w:val="24"/>
          <w:szCs w:val="24"/>
        </w:rPr>
        <w:t xml:space="preserve">La distinzione tra incident e defect è operativamente rilevante: i due ticket seguono workflow diversi, coinvolgono responsabili diversi e possono richiedere interventi su layer applicativi separati. Questa distinzione verrà illustrata nel Capitolo 4 attraverso casi concreti.</w:t>
      </w:r>
    </w:p>
    <w:p>
      <w:r>
        <w:br w:type="page"/>
      </w:r>
    </w:p>
    <w:p>
      <w:pPr>
        <w:pStyle w:val="Heading1"/>
        <w:spacing w:after="240" w:before="360" w:line="360"/>
        <w:jc w:val="both"/>
      </w:pPr>
      <w:r>
        <w:rPr>
          <w:rFonts w:ascii="Times New Roman" w:cs="Times New Roman" w:eastAsia="Times New Roman" w:hAnsi="Times New Roman"/>
          <w:b/>
          <w:bCs/>
          <w:sz w:val="28"/>
          <w:szCs w:val="28"/>
        </w:rPr>
        <w:t xml:space="preserve">Capitolo 2 — Architettura IT dell’Ecosistema VITA</w:t>
      </w:r>
    </w:p>
    <w:p>
      <w:pPr>
        <w:spacing w:after="120" w:line="360"/>
        <w:jc w:val="both"/>
      </w:pPr>
      <w:r>
        <w:rPr>
          <w:rFonts w:ascii="Times New Roman" w:cs="Times New Roman" w:eastAsia="Times New Roman" w:hAnsi="Times New Roman"/>
          <w:sz w:val="24"/>
          <w:szCs w:val="24"/>
        </w:rPr>
        <w:t xml:space="preserve">Questo capitolo descrive l’architettura IT dell’ecosistema VITA nel dettaglio tecnico e funzionale necessario alla comprensione degli incident e dei defect analizzati nel Capitolo 4. Per ciascun layer applicativo vengono indicate le tecnologie utilizzate, il ruolo funzionale nel flusso delle operazioni e le interazioni con gli altri componenti.</w:t>
      </w:r>
    </w:p>
    <w:p>
      <w:pPr>
        <w:pStyle w:val="Heading2"/>
        <w:spacing w:after="180" w:before="300" w:line="360"/>
        <w:jc w:val="both"/>
      </w:pPr>
      <w:r>
        <w:rPr>
          <w:rFonts w:ascii="Times New Roman" w:cs="Times New Roman" w:eastAsia="Times New Roman" w:hAnsi="Times New Roman"/>
          <w:b/>
          <w:bCs/>
          <w:sz w:val="26"/>
          <w:szCs w:val="26"/>
        </w:rPr>
        <w:t xml:space="preserve">2.1 — Passportal: l’applicativo di front end</w:t>
      </w:r>
    </w:p>
    <w:p>
      <w:pPr>
        <w:spacing w:after="120" w:line="360"/>
        <w:jc w:val="both"/>
      </w:pPr>
      <w:r>
        <w:rPr>
          <w:rFonts w:ascii="Times New Roman" w:cs="Times New Roman" w:eastAsia="Times New Roman" w:hAnsi="Times New Roman"/>
          <w:sz w:val="24"/>
          <w:szCs w:val="24"/>
        </w:rPr>
        <w:t xml:space="preserve">Passportal è l’applicativo di front end da cui l’operatore di agenzia opera quotidianamente. Rappresenta il punto di accesso a tutti i vertical applicativi del Gruppo, incluso VITES. L’architettura di Passportal prevede l’integrazione dei vertical tramite iFrame: VITES vive all’interno di Passportal in un iFrame dedicato.</w:t>
      </w:r>
    </w:p>
    <w:p>
      <w:pPr>
        <w:spacing w:after="120" w:line="360"/>
        <w:jc w:val="both"/>
      </w:pPr>
      <w:r>
        <w:rPr>
          <w:rFonts w:ascii="Times New Roman" w:cs="Times New Roman" w:eastAsia="Times New Roman" w:hAnsi="Times New Roman"/>
          <w:sz w:val="24"/>
          <w:szCs w:val="24"/>
        </w:rPr>
        <w:t xml:space="preserve">Le responsabilità di Passportal comprendono:</w:t>
      </w:r>
    </w:p>
    <w:p>
      <w:pPr>
        <w:pStyle w:val="ListParagraph"/>
        <w:numPr>
          <w:ilvl w:val="0"/>
          <w:numId w:val="4"/>
        </w:numPr>
        <w:spacing w:after="100" w:line="360"/>
        <w:jc w:val="both"/>
      </w:pPr>
      <w:r>
        <w:rPr>
          <w:rFonts w:ascii="Times New Roman" w:cs="Times New Roman" w:eastAsia="Times New Roman" w:hAnsi="Times New Roman"/>
          <w:b/>
          <w:bCs/>
          <w:sz w:val="24"/>
          <w:szCs w:val="24"/>
        </w:rPr>
        <w:t xml:space="preserve">Routing delle richieste: </w:t>
      </w:r>
      <w:r>
        <w:rPr>
          <w:rFonts w:ascii="Times New Roman" w:cs="Times New Roman" w:eastAsia="Times New Roman" w:hAnsi="Times New Roman"/>
          <w:sz w:val="24"/>
          <w:szCs w:val="24"/>
        </w:rPr>
        <w:t xml:space="preserve">gestione del mapping tra gli URL esposti e i vertical applicativi ospitati. Il routing si rivelerà critico nell’analisi del cluster di incident del Capitolo 4.</w:t>
      </w:r>
    </w:p>
    <w:p>
      <w:pPr>
        <w:pStyle w:val="ListParagraph"/>
        <w:numPr>
          <w:ilvl w:val="0"/>
          <w:numId w:val="4"/>
        </w:numPr>
        <w:spacing w:after="100" w:line="360"/>
        <w:jc w:val="both"/>
      </w:pPr>
      <w:r>
        <w:rPr>
          <w:rFonts w:ascii="Times New Roman" w:cs="Times New Roman" w:eastAsia="Times New Roman" w:hAnsi="Times New Roman"/>
          <w:b/>
          <w:bCs/>
          <w:sz w:val="24"/>
          <w:szCs w:val="24"/>
        </w:rPr>
        <w:t xml:space="preserve">Autenticazione federata SSO: </w:t>
      </w:r>
      <w:r>
        <w:rPr>
          <w:rFonts w:ascii="Times New Roman" w:cs="Times New Roman" w:eastAsia="Times New Roman" w:hAnsi="Times New Roman"/>
          <w:sz w:val="24"/>
          <w:szCs w:val="24"/>
        </w:rPr>
        <w:t xml:space="preserve">l’operatore si autentica una volta sola e il token viene propagato a tutti i componenti downstream.</w:t>
      </w:r>
    </w:p>
    <w:p>
      <w:pPr>
        <w:pStyle w:val="ListParagraph"/>
        <w:numPr>
          <w:ilvl w:val="0"/>
          <w:numId w:val="4"/>
        </w:numPr>
        <w:spacing w:after="100" w:line="360"/>
        <w:jc w:val="both"/>
      </w:pPr>
      <w:r>
        <w:rPr>
          <w:rFonts w:ascii="Times New Roman" w:cs="Times New Roman" w:eastAsia="Times New Roman" w:hAnsi="Times New Roman"/>
          <w:b/>
          <w:bCs/>
          <w:sz w:val="24"/>
          <w:szCs w:val="24"/>
        </w:rPr>
        <w:t xml:space="preserve">Contenimento: </w:t>
      </w:r>
      <w:r>
        <w:rPr>
          <w:rFonts w:ascii="Times New Roman" w:cs="Times New Roman" w:eastAsia="Times New Roman" w:hAnsi="Times New Roman"/>
          <w:sz w:val="24"/>
          <w:szCs w:val="24"/>
        </w:rPr>
        <w:t xml:space="preserve">ogni vertical è ospitato in un contesto iFrame isolato.</w:t>
      </w:r>
    </w:p>
    <w:p>
      <w:pPr>
        <w:pStyle w:val="Heading2"/>
        <w:spacing w:after="180" w:before="300" w:line="360"/>
        <w:jc w:val="both"/>
      </w:pPr>
      <w:r>
        <w:rPr>
          <w:rFonts w:ascii="Times New Roman" w:cs="Times New Roman" w:eastAsia="Times New Roman" w:hAnsi="Times New Roman"/>
          <w:b/>
          <w:bCs/>
          <w:sz w:val="26"/>
          <w:szCs w:val="26"/>
        </w:rPr>
        <w:t xml:space="preserve">2.2 — VITES e BFF: il modulo applicativo del ramo Vita</w:t>
      </w:r>
    </w:p>
    <w:p>
      <w:pPr>
        <w:spacing w:after="120" w:line="360"/>
        <w:jc w:val="both"/>
      </w:pPr>
      <w:r>
        <w:rPr>
          <w:rFonts w:ascii="Times New Roman" w:cs="Times New Roman" w:eastAsia="Times New Roman" w:hAnsi="Times New Roman"/>
          <w:sz w:val="24"/>
          <w:szCs w:val="24"/>
        </w:rPr>
        <w:t xml:space="preserve">VITES è il modulo applicativo dedicato al ramo Vita. Comprende due componenti deployati nello stesso pacchetto: il frontend (FE) e il Backend For Frontend (BFF).</w:t>
      </w:r>
    </w:p>
    <w:p>
      <w:pPr>
        <w:pStyle w:val="Heading3"/>
        <w:spacing w:after="140" w:before="240" w:line="360"/>
        <w:jc w:val="both"/>
      </w:pPr>
      <w:r>
        <w:rPr>
          <w:rFonts w:ascii="Times New Roman" w:cs="Times New Roman" w:eastAsia="Times New Roman" w:hAnsi="Times New Roman"/>
          <w:b/>
          <w:bCs/>
          <w:sz w:val="24"/>
          <w:szCs w:val="24"/>
        </w:rPr>
        <w:t xml:space="preserve">2.2.1 — Il Frontend (FE)</w:t>
      </w:r>
    </w:p>
    <w:p>
      <w:pPr>
        <w:spacing w:after="120" w:line="360"/>
        <w:jc w:val="both"/>
      </w:pPr>
      <w:r>
        <w:rPr>
          <w:rFonts w:ascii="Times New Roman" w:cs="Times New Roman" w:eastAsia="Times New Roman" w:hAnsi="Times New Roman"/>
          <w:sz w:val="24"/>
          <w:szCs w:val="24"/>
        </w:rPr>
        <w:t xml:space="preserve">Il frontend è una Single Page Application (SPA) scritta in Angular. L’interfaccia viene utilizzata dagli operatori di agenzia per le operazioni quotidiane: form di inserimento dati, wizard di preventivazione, consultazione polizze, gestione dei questionari AVC (Adeguata Verifica della Clientela) e operazioni di postvendita.</w:t>
      </w:r>
    </w:p>
    <w:p>
      <w:pPr>
        <w:spacing w:after="120" w:line="360"/>
        <w:jc w:val="both"/>
      </w:pPr>
      <w:r>
        <w:rPr>
          <w:rFonts w:ascii="Times New Roman" w:cs="Times New Roman" w:eastAsia="Times New Roman" w:hAnsi="Times New Roman"/>
          <w:sz w:val="24"/>
          <w:szCs w:val="24"/>
        </w:rPr>
        <w:t xml:space="preserve">Le form vengono costruite dinamicamente a partire da descrittori JSON [6] restituiti dal BFF, disaccoppiando la logica di presentazione dalla logica di business: il frontend non conosce le regole, le riceve a runtime.</w:t>
      </w:r>
    </w:p>
    <w:p>
      <w:pPr>
        <w:pStyle w:val="Heading3"/>
        <w:spacing w:after="140" w:before="240" w:line="360"/>
        <w:jc w:val="both"/>
      </w:pPr>
      <w:r>
        <w:rPr>
          <w:rFonts w:ascii="Times New Roman" w:cs="Times New Roman" w:eastAsia="Times New Roman" w:hAnsi="Times New Roman"/>
          <w:b/>
          <w:bCs/>
          <w:sz w:val="24"/>
          <w:szCs w:val="24"/>
        </w:rPr>
        <w:t xml:space="preserve">2.2.2 — Il BFF (Backend For Frontend)</w:t>
      </w:r>
    </w:p>
    <w:p>
      <w:pPr>
        <w:spacing w:after="120" w:line="360"/>
        <w:jc w:val="both"/>
      </w:pPr>
      <w:r>
        <w:rPr>
          <w:rFonts w:ascii="Times New Roman" w:cs="Times New Roman" w:eastAsia="Times New Roman" w:hAnsi="Times New Roman"/>
          <w:sz w:val="24"/>
          <w:szCs w:val="24"/>
        </w:rPr>
        <w:t xml:space="preserve">Il BFF è un’applicazione Java SpringBoot deployata nello stesso pacchetto del FE. Il BFF serve il frontend al client (non viene utilizzata una CDN). L’intero modulo VITES (FE + BFF) è deployato in un POD che gira all’interno di un cluster AKS (Azure Kubernetes Service).</w:t>
      </w:r>
    </w:p>
    <w:p>
      <w:pPr>
        <w:spacing w:after="120" w:line="360"/>
        <w:jc w:val="both"/>
      </w:pPr>
      <w:r>
        <w:rPr>
          <w:rFonts w:ascii="Times New Roman" w:cs="Times New Roman" w:eastAsia="Times New Roman" w:hAnsi="Times New Roman"/>
          <w:sz w:val="24"/>
          <w:szCs w:val="24"/>
        </w:rPr>
        <w:t xml:space="preserve">Le funzioni del BFF sono:</w:t>
      </w:r>
    </w:p>
    <w:p>
      <w:pPr>
        <w:pStyle w:val="ListParagraph"/>
        <w:numPr>
          <w:ilvl w:val="0"/>
          <w:numId w:val="5"/>
        </w:numPr>
        <w:spacing w:after="100" w:line="360"/>
        <w:jc w:val="both"/>
      </w:pPr>
      <w:r>
        <w:rPr>
          <w:rFonts w:ascii="Times New Roman" w:cs="Times New Roman" w:eastAsia="Times New Roman" w:hAnsi="Times New Roman"/>
          <w:b/>
          <w:bCs/>
          <w:sz w:val="24"/>
          <w:szCs w:val="24"/>
        </w:rPr>
        <w:t xml:space="preserve">Autenticazione e autorizzazione: </w:t>
      </w:r>
      <w:r>
        <w:rPr>
          <w:rFonts w:ascii="Times New Roman" w:cs="Times New Roman" w:eastAsia="Times New Roman" w:hAnsi="Times New Roman"/>
          <w:sz w:val="24"/>
          <w:szCs w:val="24"/>
        </w:rPr>
        <w:t xml:space="preserve">il BFF gestisce la verifica delle credenziali e dei permessi per l’accesso alle funzionalità del ramo Vita.</w:t>
      </w:r>
    </w:p>
    <w:p>
      <w:pPr>
        <w:pStyle w:val="ListParagraph"/>
        <w:numPr>
          <w:ilvl w:val="0"/>
          <w:numId w:val="5"/>
        </w:numPr>
        <w:spacing w:after="100" w:line="360"/>
        <w:jc w:val="both"/>
      </w:pPr>
      <w:r>
        <w:rPr>
          <w:rFonts w:ascii="Times New Roman" w:cs="Times New Roman" w:eastAsia="Times New Roman" w:hAnsi="Times New Roman"/>
          <w:b/>
          <w:bCs/>
          <w:sz w:val="24"/>
          <w:szCs w:val="24"/>
        </w:rPr>
        <w:t xml:space="preserve">Logging: </w:t>
      </w:r>
      <w:r>
        <w:rPr>
          <w:rFonts w:ascii="Times New Roman" w:cs="Times New Roman" w:eastAsia="Times New Roman" w:hAnsi="Times New Roman"/>
          <w:sz w:val="24"/>
          <w:szCs w:val="24"/>
        </w:rPr>
        <w:t xml:space="preserve">il BFF implementa il logging applicativo (log di frontiera con record START/END, elapsed e esito). Questo meccanismo di tracciamento è presente anche nei vari BSA ed è fondamentale per il troubleshooting [7][8].</w:t>
      </w:r>
    </w:p>
    <w:p>
      <w:pPr>
        <w:pStyle w:val="ListParagraph"/>
        <w:numPr>
          <w:ilvl w:val="0"/>
          <w:numId w:val="5"/>
        </w:numPr>
        <w:spacing w:after="100" w:line="360"/>
        <w:jc w:val="both"/>
      </w:pPr>
      <w:r>
        <w:rPr>
          <w:rFonts w:ascii="Times New Roman" w:cs="Times New Roman" w:eastAsia="Times New Roman" w:hAnsi="Times New Roman"/>
          <w:b/>
          <w:bCs/>
          <w:sz w:val="24"/>
          <w:szCs w:val="24"/>
        </w:rPr>
        <w:t xml:space="preserve">Invocazione dei BSA: </w:t>
      </w:r>
      <w:r>
        <w:rPr>
          <w:rFonts w:ascii="Times New Roman" w:cs="Times New Roman" w:eastAsia="Times New Roman" w:hAnsi="Times New Roman"/>
          <w:sz w:val="24"/>
          <w:szCs w:val="24"/>
        </w:rPr>
        <w:t xml:space="preserve">tramite l’endpoint /invocaBsa e il relativo controller, il BFF può invocare i diversi BSA dell’ecosistema: BSA Vita, BSA VitaLegacy, BSA Anagrafe, BSA Documentale, BSA Questionario Adeguatezza, e altri. Il BFF wrappa request e response verso i BSA.</w:t>
      </w:r>
    </w:p>
    <w:p>
      <w:pPr>
        <w:pStyle w:val="ListParagraph"/>
        <w:numPr>
          <w:ilvl w:val="0"/>
          <w:numId w:val="5"/>
        </w:numPr>
        <w:spacing w:after="100" w:line="360"/>
        <w:jc w:val="both"/>
      </w:pPr>
      <w:r>
        <w:rPr>
          <w:rFonts w:ascii="Times New Roman" w:cs="Times New Roman" w:eastAsia="Times New Roman" w:hAnsi="Times New Roman"/>
          <w:b/>
          <w:bCs/>
          <w:sz w:val="24"/>
          <w:szCs w:val="24"/>
        </w:rPr>
        <w:t xml:space="preserve">Orchestrazione (in alcuni casi): </w:t>
      </w:r>
      <w:r>
        <w:rPr>
          <w:rFonts w:ascii="Times New Roman" w:cs="Times New Roman" w:eastAsia="Times New Roman" w:hAnsi="Times New Roman"/>
          <w:sz w:val="24"/>
          <w:szCs w:val="24"/>
        </w:rPr>
        <w:t xml:space="preserve">per operazioni come le stampe, il BFF coordina chiamate verso diversi endpoint. Questa funzione in diversi casi è tuttavia demandata anche ai BSA.</w:t>
      </w:r>
    </w:p>
    <w:p>
      <w:pPr>
        <w:spacing w:after="120" w:line="360"/>
        <w:jc w:val="both"/>
      </w:pPr>
      <w:r>
        <w:rPr>
          <w:rFonts w:ascii="Times New Roman" w:cs="Times New Roman" w:eastAsia="Times New Roman" w:hAnsi="Times New Roman"/>
          <w:sz w:val="24"/>
          <w:szCs w:val="24"/>
        </w:rPr>
        <w:t xml:space="preserve">Un aspetto architetturale importante: nella architettura VITA, la logica di business è il più possibile spostata verso i backend, ovvero i servizi di VIS, AIA e i BSA per le integrazioni. Il BFF funge pertanto da intermediario: riceve le request dal frontend e le instrada verso il BSA appropriato.</w:t>
      </w:r>
    </w:p>
    <w:p>
      <w:pPr>
        <w:pStyle w:val="Heading2"/>
        <w:spacing w:after="180" w:before="300" w:line="360"/>
        <w:jc w:val="both"/>
      </w:pPr>
      <w:r>
        <w:rPr>
          <w:rFonts w:ascii="Times New Roman" w:cs="Times New Roman" w:eastAsia="Times New Roman" w:hAnsi="Times New Roman"/>
          <w:b/>
          <w:bCs/>
          <w:sz w:val="26"/>
          <w:szCs w:val="26"/>
        </w:rPr>
        <w:t xml:space="preserve">2.3 — BSA (Business Sidecar for API)</w:t>
      </w:r>
    </w:p>
    <w:p>
      <w:pPr>
        <w:spacing w:after="120" w:line="360"/>
        <w:jc w:val="both"/>
      </w:pPr>
      <w:r>
        <w:rPr>
          <w:rFonts w:ascii="Times New Roman" w:cs="Times New Roman" w:eastAsia="Times New Roman" w:hAnsi="Times New Roman"/>
          <w:sz w:val="24"/>
          <w:szCs w:val="24"/>
        </w:rPr>
        <w:t xml:space="preserve">I BSA (Business Sidecar for API) sono applicazioni Java SpringBoot che utilizzano Maven come build automation tool e per la gestione delle dipendenze. Ogni BSA standardizza e espone le API di un determinato dominio di business.</w:t>
      </w:r>
    </w:p>
    <w:p>
      <w:pPr>
        <w:spacing w:after="120" w:line="360"/>
        <w:jc w:val="both"/>
      </w:pPr>
      <w:r>
        <w:rPr>
          <w:rFonts w:ascii="Times New Roman" w:cs="Times New Roman" w:eastAsia="Times New Roman" w:hAnsi="Times New Roman"/>
          <w:sz w:val="24"/>
          <w:szCs w:val="24"/>
        </w:rPr>
        <w:t xml:space="preserve">I principali BSA configurati nell’ecosistema sono: BSA Anagrafe, BSA Vita, BSA VitaLegacy, BSA Documentale, BSA Questionario Adeguatezza, BSA Contabilità, BSA DanniNonAuto, BSA GestioneCliente, BSA Pagamenti, BSA Portafoglio, BSA ReteVendita, BSA ServiziComuni.</w:t>
      </w:r>
    </w:p>
    <w:p>
      <w:pPr>
        <w:pStyle w:val="Heading3"/>
        <w:spacing w:after="140" w:before="240" w:line="360"/>
        <w:jc w:val="both"/>
      </w:pPr>
      <w:r>
        <w:rPr>
          <w:rFonts w:ascii="Times New Roman" w:cs="Times New Roman" w:eastAsia="Times New Roman" w:hAnsi="Times New Roman"/>
          <w:b/>
          <w:bCs/>
          <w:sz w:val="24"/>
          <w:szCs w:val="24"/>
        </w:rPr>
        <w:t xml:space="preserve">2.3.1 — BSA Vita</w:t>
      </w:r>
    </w:p>
    <w:p>
      <w:pPr>
        <w:spacing w:after="120" w:line="360"/>
        <w:jc w:val="both"/>
      </w:pPr>
      <w:r>
        <w:rPr>
          <w:rFonts w:ascii="Times New Roman" w:cs="Times New Roman" w:eastAsia="Times New Roman" w:hAnsi="Times New Roman"/>
          <w:sz w:val="24"/>
          <w:szCs w:val="24"/>
        </w:rPr>
        <w:t xml:space="preserve">BSA Vita standardizza e espone le API del portafoglio AIA [5]. Si tratta di un’applicazione Java SpringBoot. BSA Vita espone sia servizi REST che SOAP. Un aspetto architetturale fondamentale: </w:t>
      </w:r>
      <w:r>
        <w:rPr>
          <w:rFonts w:ascii="Times New Roman" w:cs="Times New Roman" w:eastAsia="Times New Roman" w:hAnsi="Times New Roman"/>
          <w:b/>
          <w:bCs/>
          <w:sz w:val="24"/>
          <w:szCs w:val="24"/>
        </w:rPr>
        <w:t xml:space="preserve">BSA Vita non effettua mai operazioni dirette sul database</w:t>
      </w:r>
      <w:r>
        <w:rPr>
          <w:rFonts w:ascii="Times New Roman" w:cs="Times New Roman" w:eastAsia="Times New Roman" w:hAnsi="Times New Roman"/>
          <w:sz w:val="24"/>
          <w:szCs w:val="24"/>
        </w:rPr>
        <w:t xml:space="preserve">. Tutte le operazioni transitano tramite i servizi di AIA, che contengono a loro volta logica applicativa e logica di business, e a valle delle quali vengono eseguite le operazioni sul database Oracle.</w:t>
      </w:r>
    </w:p>
    <w:p>
      <w:pPr>
        <w:pStyle w:val="Heading3"/>
        <w:spacing w:after="140" w:before="240" w:line="360"/>
        <w:jc w:val="both"/>
      </w:pPr>
      <w:r>
        <w:rPr>
          <w:rFonts w:ascii="Times New Roman" w:cs="Times New Roman" w:eastAsia="Times New Roman" w:hAnsi="Times New Roman"/>
          <w:b/>
          <w:bCs/>
          <w:sz w:val="24"/>
          <w:szCs w:val="24"/>
        </w:rPr>
        <w:t xml:space="preserve">2.3.2 — BSA VitaLegacy</w:t>
      </w:r>
    </w:p>
    <w:p>
      <w:pPr>
        <w:spacing w:after="120" w:line="360"/>
        <w:jc w:val="both"/>
      </w:pPr>
      <w:r>
        <w:rPr>
          <w:rFonts w:ascii="Times New Roman" w:cs="Times New Roman" w:eastAsia="Times New Roman" w:hAnsi="Times New Roman"/>
          <w:sz w:val="24"/>
          <w:szCs w:val="24"/>
        </w:rPr>
        <w:t xml:space="preserve">BSA VitaLegacy è analogo a BSA Vita nella struttura (Java SpringBoot, Maven), ma invoca i web service SOAP del portafoglio VIS. È il componente che media tra il mondo REST dell’ecosistema VITES e il mondo SOAP/XML del motore legacy VIS.</w:t>
      </w:r>
    </w:p>
    <w:p>
      <w:pPr>
        <w:pStyle w:val="Heading2"/>
        <w:spacing w:after="180" w:before="300" w:line="360"/>
        <w:jc w:val="both"/>
      </w:pPr>
      <w:r>
        <w:rPr>
          <w:rFonts w:ascii="Times New Roman" w:cs="Times New Roman" w:eastAsia="Times New Roman" w:hAnsi="Times New Roman"/>
          <w:b/>
          <w:bCs/>
          <w:sz w:val="26"/>
          <w:szCs w:val="26"/>
        </w:rPr>
        <w:t xml:space="preserve">2.4 — AIA: il backend del portafoglio moderno</w:t>
      </w:r>
    </w:p>
    <w:p>
      <w:pPr>
        <w:spacing w:after="120" w:line="360"/>
        <w:jc w:val="both"/>
      </w:pPr>
      <w:r>
        <w:rPr>
          <w:rFonts w:ascii="Times New Roman" w:cs="Times New Roman" w:eastAsia="Times New Roman" w:hAnsi="Times New Roman"/>
          <w:b/>
          <w:bCs/>
          <w:sz w:val="24"/>
          <w:szCs w:val="24"/>
        </w:rPr>
        <w:t xml:space="preserve">AIA non è il sistema documentale. </w:t>
      </w:r>
      <w:r>
        <w:rPr>
          <w:rFonts w:ascii="Times New Roman" w:cs="Times New Roman" w:eastAsia="Times New Roman" w:hAnsi="Times New Roman"/>
          <w:sz w:val="24"/>
          <w:szCs w:val="24"/>
        </w:rPr>
        <w:t xml:space="preserve">È il vero backend di una parte del portafoglio Vita. AIA gestisce attualmente l’emissione per il prodotto PIP (Piano Individuale Pensionistico), nell’ambito di una migrazione progressiva dal portafoglio VIS. AIA gestisce anche diverse operazioni di postvendita. Il database di AIA è Oracle. I servizi di AIA contengono logica applicativa e di business: le operazioni del BSA Vita transitano sempre attraverso questi servizi prima di raggiungere il database.</w:t>
      </w:r>
    </w:p>
    <w:p>
      <w:pPr>
        <w:pStyle w:val="Heading2"/>
        <w:spacing w:after="180" w:before="300" w:line="360"/>
        <w:jc w:val="both"/>
      </w:pPr>
      <w:r>
        <w:rPr>
          <w:rFonts w:ascii="Times New Roman" w:cs="Times New Roman" w:eastAsia="Times New Roman" w:hAnsi="Times New Roman"/>
          <w:b/>
          <w:bCs/>
          <w:sz w:val="26"/>
          <w:szCs w:val="26"/>
        </w:rPr>
        <w:t xml:space="preserve">2.5 — VIS: il portafoglio legacy</w:t>
      </w:r>
    </w:p>
    <w:p>
      <w:pPr>
        <w:spacing w:after="120" w:line="360"/>
        <w:jc w:val="both"/>
      </w:pPr>
      <w:r>
        <w:rPr>
          <w:rFonts w:ascii="Times New Roman" w:cs="Times New Roman" w:eastAsia="Times New Roman" w:hAnsi="Times New Roman"/>
          <w:sz w:val="24"/>
          <w:szCs w:val="24"/>
        </w:rPr>
        <w:t xml:space="preserve">VIS è il portafoglio legacy dell’ecosistema Vita. Il database è Oracle SQL. Attraverso un gateway Oracle SALT (Service Architecture Leveraging Tuxedo) vengono esposti servizi WSDL tramite il protocollo SOAP. Il gateway SALT permette di comunicare con lo strato Oracle Tuxedo, che contiene servizi scritti in linguaggio Cobol.</w:t>
      </w:r>
    </w:p>
    <w:p>
      <w:pPr>
        <w:spacing w:after="120" w:line="360"/>
        <w:jc w:val="both"/>
      </w:pPr>
      <w:r>
        <w:rPr>
          <w:rFonts w:ascii="Times New Roman" w:cs="Times New Roman" w:eastAsia="Times New Roman" w:hAnsi="Times New Roman"/>
          <w:sz w:val="24"/>
          <w:szCs w:val="24"/>
        </w:rPr>
        <w:t xml:space="preserve">Su VIS si effettuano le operazioni di postvendita del portafoglio storico: consultazione polizze, ricerca incassi, riscatti, variazioni contrattuali. Per il fondo pensione aperto Teseo, VIS gestisce anche l’emissione di nuove polizze. L’emissione dei prodotti non Teseo è in fase di migrazione progressiva verso AIA.</w:t>
      </w:r>
    </w:p>
    <w:p>
      <w:pPr>
        <w:pStyle w:val="Heading2"/>
        <w:spacing w:after="180" w:before="300" w:line="360"/>
        <w:jc w:val="both"/>
      </w:pPr>
      <w:r>
        <w:rPr>
          <w:rFonts w:ascii="Times New Roman" w:cs="Times New Roman" w:eastAsia="Times New Roman" w:hAnsi="Times New Roman"/>
          <w:b/>
          <w:bCs/>
          <w:sz w:val="26"/>
          <w:szCs w:val="26"/>
        </w:rPr>
        <w:t xml:space="preserve">2.6 — PPEVO: gestione evoluta dei questionari</w:t>
      </w:r>
    </w:p>
    <w:p>
      <w:pPr>
        <w:spacing w:after="120" w:line="360"/>
        <w:jc w:val="both"/>
      </w:pPr>
      <w:r>
        <w:rPr>
          <w:rFonts w:ascii="Times New Roman" w:cs="Times New Roman" w:eastAsia="Times New Roman" w:hAnsi="Times New Roman"/>
          <w:sz w:val="24"/>
          <w:szCs w:val="24"/>
        </w:rPr>
        <w:t xml:space="preserve">PPEVO è un sistema esterno di gestione evoluta dei questionari di adeguatezza. Le chiamate dal BSA verso PPEVO utilizzano i codici compagnia e agenzia di login dell’operatore. La gestione interna delle polizze Teseo su VIS è trasparente per PPEVO. Questo aspetto si rivelerà critico nella comprensione del cluster di incident del Capitolo 4.</w:t>
      </w:r>
    </w:p>
    <w:p>
      <w:pPr>
        <w:pStyle w:val="Heading2"/>
        <w:spacing w:after="180" w:before="300" w:line="360"/>
        <w:jc w:val="both"/>
      </w:pPr>
      <w:r>
        <w:rPr>
          <w:rFonts w:ascii="Times New Roman" w:cs="Times New Roman" w:eastAsia="Times New Roman" w:hAnsi="Times New Roman"/>
          <w:b/>
          <w:bCs/>
          <w:sz w:val="26"/>
          <w:szCs w:val="26"/>
        </w:rPr>
        <w:t xml:space="preserve">2.7 — Anagrafe Unica e BSA Anagrafe</w:t>
      </w:r>
    </w:p>
    <w:p>
      <w:pPr>
        <w:spacing w:after="120" w:line="360"/>
        <w:jc w:val="both"/>
      </w:pPr>
      <w:r>
        <w:rPr>
          <w:rFonts w:ascii="Times New Roman" w:cs="Times New Roman" w:eastAsia="Times New Roman" w:hAnsi="Times New Roman"/>
          <w:sz w:val="24"/>
          <w:szCs w:val="24"/>
        </w:rPr>
        <w:t xml:space="preserve">Anagrafe Unica (AU) è il sistema centralizzato per i dati anagrafici dei contraenti. Il BSA Anagrafe espone i servizi di consultazione e aggiornamento anagrafico. I servizi principali utilizzati nel contesto VITA sono i servizi di consultazione e aggiornamento soggetti. Il BSA Anagrafe gestisce anche i controlli AML (Anti Money Laundering).</w:t>
      </w:r>
    </w:p>
    <w:p>
      <w:pPr>
        <w:pStyle w:val="Heading2"/>
        <w:spacing w:after="180" w:before="300" w:line="360"/>
        <w:jc w:val="both"/>
      </w:pPr>
      <w:r>
        <w:rPr>
          <w:rFonts w:ascii="Times New Roman" w:cs="Times New Roman" w:eastAsia="Times New Roman" w:hAnsi="Times New Roman"/>
          <w:b/>
          <w:bCs/>
          <w:sz w:val="26"/>
          <w:szCs w:val="26"/>
        </w:rPr>
        <w:t xml:space="preserve">2.8 — Schema architetturale</w:t>
      </w:r>
    </w:p>
    <w:p>
      <w:pPr>
        <w:spacing w:after="6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dashed" w:color="888888" w:sz="2"/>
              <w:left w:val="dashed" w:color="888888" w:sz="2"/>
              <w:bottom w:val="dashed" w:color="888888" w:sz="2"/>
              <w:right w:val="dashed" w:color="888888" w:sz="2"/>
            </w:tcBorders>
            <w:shd w:fill="FAFAFA" w:val="clear"/>
            <w:tcMar>
              <w:top w:type="dxa" w:w="200"/>
              <w:left w:type="dxa" w:w="200"/>
              <w:bottom w:type="dxa" w:w="200"/>
              <w:right w:type="dxa" w:w="200"/>
            </w:tcMar>
          </w:tcPr>
          <w:p>
            <w:pPr>
              <w:spacing w:after="120"/>
              <w:jc w:val="center"/>
            </w:pPr>
            <w:r>
              <w:rPr>
                <w:rFonts w:ascii="Times New Roman" w:cs="Times New Roman" w:eastAsia="Times New Roman" w:hAnsi="Times New Roman"/>
                <w:b/>
                <w:bCs/>
                <w:color w:val="888888"/>
                <w:sz w:val="22"/>
                <w:szCs w:val="22"/>
              </w:rPr>
              <w:t xml:space="preserve">[INSERIRE SCREENSHOT / DIAGRAMMA]</w:t>
            </w:r>
          </w:p>
          <w:p>
            <w:pPr>
              <w:spacing w:after="80"/>
              <w:jc w:val="center"/>
            </w:pPr>
            <w:r>
              <w:rPr>
                <w:rFonts w:ascii="Times New Roman" w:cs="Times New Roman" w:eastAsia="Times New Roman" w:hAnsi="Times New Roman"/>
                <w:b/>
                <w:bCs/>
                <w:sz w:val="22"/>
                <w:szCs w:val="22"/>
              </w:rPr>
              <w:t xml:space="preserve">Fig. 1 — Diagramma architetturale dell’ecosistema VITA. Componenti: Passportal (iFrame) → VITES (Angular SPA + BFF Java SpringBoot, stesso pacchetto, POD su AKS) → /invocaBsa → BSA Vita (Java SpringBoot/Maven) → Servizi AIA (Oracle DB) / BSA VitaLegacy (Java SpringBoot/Maven) → VIS (Oracle SALT/Tuxedo/Cobol). Integrazioni laterali: BSA Anagrafe → AU, BSA Questionario Adeguatezza → PPEVO, BSA Documentale. Diagramma disponibile sullo SharePoint del team o ricostruibile con tool di prototipazione</w:t>
            </w:r>
          </w:p>
          <w:p>
            <w:pPr>
              <w:jc w:val="center"/>
            </w:pPr>
            <w:r>
              <w:rPr>
                <w:rFonts w:ascii="Times New Roman" w:cs="Times New Roman" w:eastAsia="Times New Roman" w:hAnsi="Times New Roman"/>
                <w:i/>
                <w:iCs/>
                <w:color w:val="888888"/>
                <w:sz w:val="20"/>
                <w:szCs w:val="20"/>
              </w:rPr>
              <w:t xml:space="preserve">Nota: oscurare eventuali dati personali prima dell’inserimento.</w:t>
            </w:r>
          </w:p>
        </w:tc>
      </w:tr>
    </w:tbl>
    <w:p>
      <w:pPr>
        <w:spacing w:after="60"/>
      </w:pPr>
    </w:p>
    <w:p>
      <w:pPr>
        <w:spacing w:after="120" w:line="360"/>
        <w:jc w:val="both"/>
      </w:pPr>
      <w:r>
        <w:rPr>
          <w:rFonts w:ascii="Times New Roman" w:cs="Times New Roman" w:eastAsia="Times New Roman" w:hAnsi="Times New Roman"/>
          <w:sz w:val="24"/>
          <w:szCs w:val="24"/>
        </w:rPr>
        <w:t xml:space="preserve">La Tabella 1 riassume i principali layer dell’ecosistema con le relative tecnologie.</w:t>
      </w:r>
    </w:p>
    <w:p>
      <w:pPr>
        <w:spacing w:after="60"/>
      </w:pPr>
    </w:p>
    <w:p>
      <w:pPr>
        <w:spacing w:after="120" w:line="360"/>
        <w:jc w:val="both"/>
      </w:pPr>
      <w:r>
        <w:rPr>
          <w:rFonts w:ascii="Times New Roman" w:cs="Times New Roman" w:eastAsia="Times New Roman" w:hAnsi="Times New Roman"/>
          <w:b/>
          <w:bCs/>
          <w:sz w:val="24"/>
          <w:szCs w:val="24"/>
        </w:rPr>
        <w:t xml:space="preserve">Tabella 1</w:t>
      </w:r>
      <w:r>
        <w:rPr>
          <w:rFonts w:ascii="Times New Roman" w:cs="Times New Roman" w:eastAsia="Times New Roman" w:hAnsi="Times New Roman"/>
          <w:sz w:val="24"/>
          <w:szCs w:val="24"/>
        </w:rPr>
        <w:t xml:space="preserve"> — Layer applicativi dell’ecosistema VITA</w:t>
      </w:r>
    </w:p>
    <w:p>
      <w:pPr>
        <w:spacing w:after="6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500"/>
        <w:gridCol w:w="2303"/>
      </w:tblGrid>
      <w:tr>
        <w:tc>
          <w:tcPr>
            <w:tcW w:type="dxa" w:w="1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Layer</w:t>
            </w:r>
          </w:p>
        </w:tc>
        <w:tc>
          <w:tcPr>
            <w:tcW w:type="dxa" w:w="2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Tecnologia</w:t>
            </w:r>
          </w:p>
        </w:tc>
        <w:tc>
          <w:tcPr>
            <w:tcW w:type="dxa" w:w="2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Funzione</w:t>
            </w:r>
          </w:p>
        </w:tc>
        <w:tc>
          <w:tcPr>
            <w:tcW w:type="dxa" w:w="2303"/>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Interazione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Passportal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Web portal</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Frontend operatore, routing, SSO</w:t>
            </w:r>
          </w:p>
        </w:tc>
        <w:tc>
          <w:tcPr>
            <w:tcW w:type="dxa" w:w="2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iFrame verso VITES</w:t>
            </w:r>
          </w:p>
        </w:tc>
      </w:tr>
      <w:tr>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VITES FE</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Angular SPA</w:t>
            </w:r>
          </w:p>
        </w:tc>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Interfaccia utente, form dinamiche</w:t>
            </w:r>
          </w:p>
        </w:tc>
        <w:tc>
          <w:tcPr>
            <w:tcW w:type="dxa" w:w="2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Stesso pacchetto del BFF</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VITES BFF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Java SpringBoot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Auth, logging, /invocaBsa</w:t>
            </w:r>
          </w:p>
        </w:tc>
        <w:tc>
          <w:tcPr>
            <w:tcW w:type="dxa" w:w="2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Invoca i vari BSA</w:t>
            </w:r>
          </w:p>
        </w:tc>
      </w:tr>
      <w:tr>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BSA Vita</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Java SpringBoot/Maven</w:t>
            </w:r>
          </w:p>
        </w:tc>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API portafoglio AIA (REST/SOAP)</w:t>
            </w:r>
          </w:p>
        </w:tc>
        <w:tc>
          <w:tcPr>
            <w:tcW w:type="dxa" w:w="2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Servizi AIA → Oracle DB</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BSA VitaLegacy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Java SpringBoot/Maven</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API portafoglio VIS (SOAP)</w:t>
            </w:r>
          </w:p>
        </w:tc>
        <w:tc>
          <w:tcPr>
            <w:tcW w:type="dxa" w:w="2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WS VIS → SALT/Tuxedo/Cobol</w:t>
            </w:r>
          </w:p>
        </w:tc>
      </w:tr>
      <w:tr>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AIA</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Backend + Oracle DB</w:t>
            </w:r>
          </w:p>
        </w:tc>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Portafoglio moderno (emissione PIP, postvendita)</w:t>
            </w:r>
          </w:p>
        </w:tc>
        <w:tc>
          <w:tcPr>
            <w:tcW w:type="dxa" w:w="2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Riceve da BSA Vita</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VIS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Oracle SALT/Tuxedo/Cobol</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Portafoglio legacy (postvendita, Teseo)</w:t>
            </w:r>
          </w:p>
        </w:tc>
        <w:tc>
          <w:tcPr>
            <w:tcW w:type="dxa" w:w="2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Riceve da BSA VitaLegacy</w:t>
            </w:r>
          </w:p>
        </w:tc>
      </w:tr>
      <w:tr>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PPEVO</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Sistema esterno</w:t>
            </w:r>
          </w:p>
        </w:tc>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Questionari adeguatezza</w:t>
            </w:r>
          </w:p>
        </w:tc>
        <w:tc>
          <w:tcPr>
            <w:tcW w:type="dxa" w:w="2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REST da BSA</w:t>
            </w:r>
          </w:p>
        </w:tc>
      </w:tr>
    </w:tbl>
    <w:p>
      <w:pPr>
        <w:pStyle w:val="Heading2"/>
        <w:spacing w:after="180" w:before="300" w:line="360"/>
        <w:jc w:val="both"/>
      </w:pPr>
      <w:r>
        <w:rPr>
          <w:rFonts w:ascii="Times New Roman" w:cs="Times New Roman" w:eastAsia="Times New Roman" w:hAnsi="Times New Roman"/>
          <w:b/>
          <w:bCs/>
          <w:sz w:val="26"/>
          <w:szCs w:val="26"/>
        </w:rPr>
        <w:t xml:space="preserve">2.9 — Infrastruttura di logging</w:t>
      </w:r>
    </w:p>
    <w:p>
      <w:pPr>
        <w:spacing w:after="120" w:line="360"/>
        <w:jc w:val="both"/>
      </w:pPr>
      <w:r>
        <w:rPr>
          <w:rFonts w:ascii="Times New Roman" w:cs="Times New Roman" w:eastAsia="Times New Roman" w:hAnsi="Times New Roman"/>
          <w:sz w:val="24"/>
          <w:szCs w:val="24"/>
        </w:rPr>
        <w:t xml:space="preserve">La diagnostica degli incident si fonda sull’infrastruttura di logging aziendale [7][8]. I log vengono centralizzati su Splunk con retention di 180 giorni. Ogni chiamata genera un record START e un record END con tempo trascorso (elapsed, in millisecondi), esito (OK/KO) e correlation ID che permette di tracciare una richiesta attraverso l’intera catena di componenti. Il logging è presente sia nel BFF che nei vari BSA.</w:t>
      </w:r>
    </w:p>
    <w:p>
      <w:r>
        <w:br w:type="page"/>
      </w:r>
    </w:p>
    <w:p>
      <w:pPr>
        <w:pStyle w:val="Heading1"/>
        <w:spacing w:after="240" w:before="360" w:line="360"/>
        <w:jc w:val="both"/>
      </w:pPr>
      <w:r>
        <w:rPr>
          <w:rFonts w:ascii="Times New Roman" w:cs="Times New Roman" w:eastAsia="Times New Roman" w:hAnsi="Times New Roman"/>
          <w:b/>
          <w:bCs/>
          <w:sz w:val="28"/>
          <w:szCs w:val="28"/>
        </w:rPr>
        <w:t xml:space="preserve">Capitolo 3 — Ciclo di Vita del Software in Reale ITES</w:t>
      </w:r>
    </w:p>
    <w:p>
      <w:pPr>
        <w:pStyle w:val="Heading2"/>
        <w:spacing w:after="180" w:before="300" w:line="360"/>
        <w:jc w:val="both"/>
      </w:pPr>
      <w:r>
        <w:rPr>
          <w:rFonts w:ascii="Times New Roman" w:cs="Times New Roman" w:eastAsia="Times New Roman" w:hAnsi="Times New Roman"/>
          <w:b/>
          <w:bCs/>
          <w:sz w:val="26"/>
          <w:szCs w:val="26"/>
        </w:rPr>
        <w:t xml:space="preserve">3.1 — Ciclo evolutivo e ciclo correttivo</w:t>
      </w:r>
    </w:p>
    <w:p>
      <w:pPr>
        <w:spacing w:after="120" w:line="360"/>
        <w:jc w:val="both"/>
      </w:pPr>
      <w:r>
        <w:rPr>
          <w:rFonts w:ascii="Times New Roman" w:cs="Times New Roman" w:eastAsia="Times New Roman" w:hAnsi="Times New Roman"/>
          <w:sz w:val="24"/>
          <w:szCs w:val="24"/>
        </w:rPr>
        <w:t xml:space="preserve">Le attività di sviluppo nell’ecosistema VITA si dividono in due macro-categorie:</w:t>
      </w:r>
    </w:p>
    <w:p>
      <w:pPr>
        <w:spacing w:after="120" w:line="360"/>
        <w:jc w:val="both"/>
      </w:pPr>
      <w:r>
        <w:rPr>
          <w:rFonts w:ascii="Times New Roman" w:cs="Times New Roman" w:eastAsia="Times New Roman" w:hAnsi="Times New Roman"/>
          <w:b/>
          <w:bCs/>
          <w:sz w:val="24"/>
          <w:szCs w:val="24"/>
        </w:rPr>
        <w:t xml:space="preserve">Ciclo evolutivo: </w:t>
      </w:r>
      <w:r>
        <w:rPr>
          <w:rFonts w:ascii="Times New Roman" w:cs="Times New Roman" w:eastAsia="Times New Roman" w:hAnsi="Times New Roman"/>
          <w:sz w:val="24"/>
          <w:szCs w:val="24"/>
        </w:rPr>
        <w:t xml:space="preserve">sviluppo di nuove funzionalità. Un esempio attuale è il progetto Dismissione Positiv, che prevede la migrazione progressiva delle operazioni dal portafoglio VIS al portafoglio AIA. In questo ambito, la prima operazione migrata è l’emissione del prodotto PIP (Piano Individuale Pensionistico) su AIA.</w:t>
      </w:r>
    </w:p>
    <w:p>
      <w:pPr>
        <w:spacing w:after="120" w:line="360"/>
        <w:jc w:val="both"/>
      </w:pPr>
      <w:r>
        <w:rPr>
          <w:rFonts w:ascii="Times New Roman" w:cs="Times New Roman" w:eastAsia="Times New Roman" w:hAnsi="Times New Roman"/>
          <w:b/>
          <w:bCs/>
          <w:sz w:val="24"/>
          <w:szCs w:val="24"/>
        </w:rPr>
        <w:t xml:space="preserve">Ciclo correttivo (Application Maintenance): </w:t>
      </w:r>
      <w:r>
        <w:rPr>
          <w:rFonts w:ascii="Times New Roman" w:cs="Times New Roman" w:eastAsia="Times New Roman" w:hAnsi="Times New Roman"/>
          <w:sz w:val="24"/>
          <w:szCs w:val="24"/>
        </w:rPr>
        <w:t xml:space="preserve">gestione di incident e defect segnalati in produzione. Comprende l’analisi dei log, la riproduzione del problema, l’isolamento della root cause, l’implementazione del fix e il rilascio attraverso le finestre correttive.</w:t>
      </w:r>
    </w:p>
    <w:p>
      <w:pPr>
        <w:pStyle w:val="Heading2"/>
        <w:spacing w:after="180" w:before="300" w:line="360"/>
        <w:jc w:val="both"/>
      </w:pPr>
      <w:r>
        <w:rPr>
          <w:rFonts w:ascii="Times New Roman" w:cs="Times New Roman" w:eastAsia="Times New Roman" w:hAnsi="Times New Roman"/>
          <w:b/>
          <w:bCs/>
          <w:sz w:val="26"/>
          <w:szCs w:val="26"/>
        </w:rPr>
        <w:t xml:space="preserve">3.2 — Gestione degli incident</w:t>
      </w:r>
    </w:p>
    <w:p>
      <w:pPr>
        <w:spacing w:after="120" w:line="360"/>
        <w:jc w:val="both"/>
      </w:pPr>
      <w:r>
        <w:rPr>
          <w:rFonts w:ascii="Times New Roman" w:cs="Times New Roman" w:eastAsia="Times New Roman" w:hAnsi="Times New Roman"/>
          <w:sz w:val="24"/>
          <w:szCs w:val="24"/>
        </w:rPr>
        <w:t xml:space="preserve">Un incident è un malfunzionamento rilevato in ambiente di produzione. Il flusso di gestione segue una catena di escalation:</w:t>
      </w:r>
    </w:p>
    <w:p>
      <w:pPr>
        <w:pStyle w:val="ListParagraph"/>
        <w:numPr>
          <w:ilvl w:val="0"/>
          <w:numId w:val="6"/>
        </w:numPr>
        <w:spacing w:after="100" w:line="360"/>
        <w:jc w:val="both"/>
      </w:pPr>
      <w:r>
        <w:rPr>
          <w:rFonts w:ascii="Times New Roman" w:cs="Times New Roman" w:eastAsia="Times New Roman" w:hAnsi="Times New Roman"/>
          <w:b/>
          <w:bCs/>
          <w:sz w:val="24"/>
          <w:szCs w:val="24"/>
        </w:rPr>
        <w:t xml:space="preserve">Help Desk livello 1 (HD1): </w:t>
      </w:r>
      <w:r>
        <w:rPr>
          <w:rFonts w:ascii="Times New Roman" w:cs="Times New Roman" w:eastAsia="Times New Roman" w:hAnsi="Times New Roman"/>
          <w:sz w:val="24"/>
          <w:szCs w:val="24"/>
        </w:rPr>
        <w:t xml:space="preserve">riceve la segnalazione dall’operatore di agenzia, classifica la severità, tenta una prima risoluzione.</w:t>
      </w:r>
    </w:p>
    <w:p>
      <w:pPr>
        <w:pStyle w:val="ListParagraph"/>
        <w:numPr>
          <w:ilvl w:val="0"/>
          <w:numId w:val="6"/>
        </w:numPr>
        <w:spacing w:after="100" w:line="360"/>
        <w:jc w:val="both"/>
      </w:pPr>
      <w:r>
        <w:rPr>
          <w:rFonts w:ascii="Times New Roman" w:cs="Times New Roman" w:eastAsia="Times New Roman" w:hAnsi="Times New Roman"/>
          <w:b/>
          <w:bCs/>
          <w:sz w:val="24"/>
          <w:szCs w:val="24"/>
        </w:rPr>
        <w:t xml:space="preserve">Help Desk livello 2 (HD2): </w:t>
      </w:r>
      <w:r>
        <w:rPr>
          <w:rFonts w:ascii="Times New Roman" w:cs="Times New Roman" w:eastAsia="Times New Roman" w:hAnsi="Times New Roman"/>
          <w:sz w:val="24"/>
          <w:szCs w:val="24"/>
        </w:rPr>
        <w:t xml:space="preserve">approfondisce l’analisi se HD1 non è in grado di risolvere.</w:t>
      </w:r>
    </w:p>
    <w:p>
      <w:pPr>
        <w:pStyle w:val="ListParagraph"/>
        <w:numPr>
          <w:ilvl w:val="0"/>
          <w:numId w:val="6"/>
        </w:numPr>
        <w:spacing w:after="100" w:line="360"/>
        <w:jc w:val="both"/>
      </w:pPr>
      <w:r>
        <w:rPr>
          <w:rFonts w:ascii="Times New Roman" w:cs="Times New Roman" w:eastAsia="Times New Roman" w:hAnsi="Times New Roman"/>
          <w:b/>
          <w:bCs/>
          <w:sz w:val="24"/>
          <w:szCs w:val="24"/>
        </w:rPr>
        <w:t xml:space="preserve">Help Desk livello 3 (HD3): </w:t>
      </w:r>
      <w:r>
        <w:rPr>
          <w:rFonts w:ascii="Times New Roman" w:cs="Times New Roman" w:eastAsia="Times New Roman" w:hAnsi="Times New Roman"/>
          <w:sz w:val="24"/>
          <w:szCs w:val="24"/>
        </w:rPr>
        <w:t xml:space="preserve">il team di sviluppo. Effettua l’analisi tecnica dei log su Splunk, isola la root cause, implementa il fix. Il candidato opera a questo livello.</w:t>
      </w:r>
    </w:p>
    <w:p>
      <w:pPr>
        <w:pStyle w:val="Heading2"/>
        <w:spacing w:after="180" w:before="300" w:line="360"/>
        <w:jc w:val="both"/>
      </w:pPr>
      <w:r>
        <w:rPr>
          <w:rFonts w:ascii="Times New Roman" w:cs="Times New Roman" w:eastAsia="Times New Roman" w:hAnsi="Times New Roman"/>
          <w:b/>
          <w:bCs/>
          <w:sz w:val="26"/>
          <w:szCs w:val="26"/>
        </w:rPr>
        <w:t xml:space="preserve">3.3 — Gestione dei defect</w:t>
      </w:r>
    </w:p>
    <w:p>
      <w:pPr>
        <w:spacing w:after="120" w:line="360"/>
        <w:jc w:val="both"/>
      </w:pPr>
      <w:r>
        <w:rPr>
          <w:rFonts w:ascii="Times New Roman" w:cs="Times New Roman" w:eastAsia="Times New Roman" w:hAnsi="Times New Roman"/>
          <w:sz w:val="24"/>
          <w:szCs w:val="24"/>
        </w:rPr>
        <w:t xml:space="preserve">Un defect è un comportamento non conforme alle specifiche funzionali. Può essere rilevato durante le fasi di test, durante la verifica post-rilascio, o come risultato dell’analisi di un incident. Il defect può insistere su un applicativo di backend diverso da quello dell’incident originale. Questa separazione verrà illustrata nel Capitolo 4.</w:t>
      </w:r>
    </w:p>
    <w:p>
      <w:pPr>
        <w:pStyle w:val="Heading2"/>
        <w:spacing w:after="180" w:before="300" w:line="360"/>
        <w:jc w:val="both"/>
      </w:pPr>
      <w:r>
        <w:rPr>
          <w:rFonts w:ascii="Times New Roman" w:cs="Times New Roman" w:eastAsia="Times New Roman" w:hAnsi="Times New Roman"/>
          <w:b/>
          <w:bCs/>
          <w:sz w:val="26"/>
          <w:szCs w:val="26"/>
        </w:rPr>
        <w:t xml:space="preserve">3.4 — Pipeline di sviluppo e ambienti</w:t>
      </w:r>
    </w:p>
    <w:p>
      <w:pPr>
        <w:spacing w:after="120" w:line="360"/>
        <w:jc w:val="both"/>
      </w:pPr>
      <w:r>
        <w:rPr>
          <w:rFonts w:ascii="Times New Roman" w:cs="Times New Roman" w:eastAsia="Times New Roman" w:hAnsi="Times New Roman"/>
          <w:sz w:val="24"/>
          <w:szCs w:val="24"/>
        </w:rPr>
        <w:t xml:space="preserve">Il processo di sviluppo segue un flusso strutturato:</w:t>
      </w:r>
    </w:p>
    <w:p>
      <w:pPr>
        <w:pStyle w:val="ListParagraph"/>
        <w:numPr>
          <w:ilvl w:val="0"/>
          <w:numId w:val="7"/>
        </w:numPr>
        <w:spacing w:after="100" w:line="360"/>
        <w:jc w:val="both"/>
      </w:pPr>
      <w:r>
        <w:rPr>
          <w:rFonts w:ascii="Times New Roman" w:cs="Times New Roman" w:eastAsia="Times New Roman" w:hAnsi="Times New Roman"/>
          <w:b/>
          <w:bCs/>
          <w:sz w:val="24"/>
          <w:szCs w:val="24"/>
        </w:rPr>
        <w:t xml:space="preserve">Sviluppo locale: </w:t>
      </w:r>
      <w:r>
        <w:rPr>
          <w:rFonts w:ascii="Times New Roman" w:cs="Times New Roman" w:eastAsia="Times New Roman" w:hAnsi="Times New Roman"/>
          <w:sz w:val="24"/>
          <w:szCs w:val="24"/>
        </w:rPr>
        <w:t xml:space="preserve">lo sviluppatore lavora su un branch evolutivo o correttivo in locale, utilizzando l’IDE e debuggando con SpringBoot.</w:t>
      </w:r>
    </w:p>
    <w:p>
      <w:pPr>
        <w:pStyle w:val="ListParagraph"/>
        <w:numPr>
          <w:ilvl w:val="0"/>
          <w:numId w:val="7"/>
        </w:numPr>
        <w:spacing w:after="100" w:line="360"/>
        <w:jc w:val="both"/>
      </w:pPr>
      <w:r>
        <w:rPr>
          <w:rFonts w:ascii="Times New Roman" w:cs="Times New Roman" w:eastAsia="Times New Roman" w:hAnsi="Times New Roman"/>
          <w:b/>
          <w:bCs/>
          <w:sz w:val="24"/>
          <w:szCs w:val="24"/>
        </w:rPr>
        <w:t xml:space="preserve">Push su Azure DevOps: </w:t>
      </w:r>
      <w:r>
        <w:rPr>
          <w:rFonts w:ascii="Times New Roman" w:cs="Times New Roman" w:eastAsia="Times New Roman" w:hAnsi="Times New Roman"/>
          <w:sz w:val="24"/>
          <w:szCs w:val="24"/>
        </w:rPr>
        <w:t xml:space="preserve">completato lo sviluppo e il test in locale, il codice viene pushato sul repository Azure DevOps. Il push richiede l’approvazione del referente tecnico.</w:t>
      </w:r>
    </w:p>
    <w:p>
      <w:pPr>
        <w:pStyle w:val="ListParagraph"/>
        <w:numPr>
          <w:ilvl w:val="0"/>
          <w:numId w:val="7"/>
        </w:numPr>
        <w:spacing w:after="100" w:line="360"/>
        <w:jc w:val="both"/>
      </w:pPr>
      <w:r>
        <w:rPr>
          <w:rFonts w:ascii="Times New Roman" w:cs="Times New Roman" w:eastAsia="Times New Roman" w:hAnsi="Times New Roman"/>
          <w:b/>
          <w:bCs/>
          <w:sz w:val="24"/>
          <w:szCs w:val="24"/>
        </w:rPr>
        <w:t xml:space="preserve">Deploy in SYSR2 (ambiente di test): </w:t>
      </w:r>
      <w:r>
        <w:rPr>
          <w:rFonts w:ascii="Times New Roman" w:cs="Times New Roman" w:eastAsia="Times New Roman" w:hAnsi="Times New Roman"/>
          <w:sz w:val="24"/>
          <w:szCs w:val="24"/>
        </w:rPr>
        <w:t xml:space="preserve">il codice viene deployato nell’ambiente di test per la verifica funzionale.</w:t>
      </w:r>
    </w:p>
    <w:p>
      <w:pPr>
        <w:pStyle w:val="ListParagraph"/>
        <w:numPr>
          <w:ilvl w:val="0"/>
          <w:numId w:val="7"/>
        </w:numPr>
        <w:spacing w:after="100" w:line="360"/>
        <w:jc w:val="both"/>
      </w:pPr>
      <w:r>
        <w:rPr>
          <w:rFonts w:ascii="Times New Roman" w:cs="Times New Roman" w:eastAsia="Times New Roman" w:hAnsi="Times New Roman"/>
          <w:b/>
          <w:bCs/>
          <w:sz w:val="24"/>
          <w:szCs w:val="24"/>
        </w:rPr>
        <w:t xml:space="preserve">Deploy in PRE PROD: </w:t>
      </w:r>
      <w:r>
        <w:rPr>
          <w:rFonts w:ascii="Times New Roman" w:cs="Times New Roman" w:eastAsia="Times New Roman" w:hAnsi="Times New Roman"/>
          <w:sz w:val="24"/>
          <w:szCs w:val="24"/>
        </w:rPr>
        <w:t xml:space="preserve">ambiente di pre-produzione per i test finali prima del rilascio.</w:t>
      </w:r>
    </w:p>
    <w:p>
      <w:pPr>
        <w:pStyle w:val="ListParagraph"/>
        <w:numPr>
          <w:ilvl w:val="0"/>
          <w:numId w:val="7"/>
        </w:numPr>
        <w:spacing w:after="100" w:line="360"/>
        <w:jc w:val="both"/>
      </w:pPr>
      <w:r>
        <w:rPr>
          <w:rFonts w:ascii="Times New Roman" w:cs="Times New Roman" w:eastAsia="Times New Roman" w:hAnsi="Times New Roman"/>
          <w:b/>
          <w:bCs/>
          <w:sz w:val="24"/>
          <w:szCs w:val="24"/>
        </w:rPr>
        <w:t xml:space="preserve">Deploy in PROD: </w:t>
      </w:r>
      <w:r>
        <w:rPr>
          <w:rFonts w:ascii="Times New Roman" w:cs="Times New Roman" w:eastAsia="Times New Roman" w:hAnsi="Times New Roman"/>
          <w:sz w:val="24"/>
          <w:szCs w:val="24"/>
        </w:rPr>
        <w:t xml:space="preserve">rilascio in ambiente di produzione, tipicamente attraverso finestre correttive pianificate.</w:t>
      </w:r>
    </w:p>
    <w:p>
      <w:pPr>
        <w:pStyle w:val="Heading2"/>
        <w:spacing w:after="180" w:before="300" w:line="360"/>
        <w:jc w:val="both"/>
      </w:pPr>
      <w:r>
        <w:rPr>
          <w:rFonts w:ascii="Times New Roman" w:cs="Times New Roman" w:eastAsia="Times New Roman" w:hAnsi="Times New Roman"/>
          <w:b/>
          <w:bCs/>
          <w:sz w:val="26"/>
          <w:szCs w:val="26"/>
        </w:rPr>
        <w:t xml:space="preserve">3.5 — Application Maintenance nel perimetro VITA</w:t>
      </w:r>
    </w:p>
    <w:p>
      <w:pPr>
        <w:spacing w:after="120" w:line="360"/>
        <w:jc w:val="both"/>
      </w:pPr>
      <w:r>
        <w:rPr>
          <w:rFonts w:ascii="Times New Roman" w:cs="Times New Roman" w:eastAsia="Times New Roman" w:hAnsi="Times New Roman"/>
          <w:sz w:val="24"/>
          <w:szCs w:val="24"/>
        </w:rPr>
        <w:t xml:space="preserve">L’application maintenance nel perimetro VITA comprende: la gestione degli incident (troubleshooting, root cause analysis, fix), la gestione dei defect (analisi delle specifiche, correzione, test), lo sviluppo di piccole feature nell’ambito del ciclo evolutivo e la scrittura di unit test. Il Capitolo 4 documenta ciascuna di queste attività attraverso case study concreti.</w:t>
      </w:r>
    </w:p>
    <w:p>
      <w:r>
        <w:br w:type="page"/>
      </w:r>
    </w:p>
    <w:p>
      <w:pPr>
        <w:pStyle w:val="Heading1"/>
        <w:spacing w:after="240" w:before="360" w:line="360"/>
        <w:jc w:val="both"/>
      </w:pPr>
      <w:r>
        <w:rPr>
          <w:rFonts w:ascii="Times New Roman" w:cs="Times New Roman" w:eastAsia="Times New Roman" w:hAnsi="Times New Roman"/>
          <w:b/>
          <w:bCs/>
          <w:sz w:val="28"/>
          <w:szCs w:val="28"/>
        </w:rPr>
        <w:t xml:space="preserve">Capitolo 4 — Attività Svolte nel Perimetro</w:t>
      </w:r>
    </w:p>
    <w:p>
      <w:pPr>
        <w:pStyle w:val="Heading2"/>
        <w:spacing w:after="180" w:before="300" w:line="360"/>
        <w:jc w:val="both"/>
      </w:pPr>
      <w:r>
        <w:rPr>
          <w:rFonts w:ascii="Times New Roman" w:cs="Times New Roman" w:eastAsia="Times New Roman" w:hAnsi="Times New Roman"/>
          <w:b/>
          <w:bCs/>
          <w:sz w:val="26"/>
          <w:szCs w:val="26"/>
        </w:rPr>
        <w:t xml:space="preserve">4.1 — Il metodo di troubleshooting</w:t>
      </w:r>
    </w:p>
    <w:p>
      <w:pPr>
        <w:spacing w:after="120" w:line="360"/>
        <w:jc w:val="both"/>
      </w:pPr>
      <w:r>
        <w:rPr>
          <w:rFonts w:ascii="Times New Roman" w:cs="Times New Roman" w:eastAsia="Times New Roman" w:hAnsi="Times New Roman"/>
          <w:sz w:val="24"/>
          <w:szCs w:val="24"/>
        </w:rPr>
        <w:t xml:space="preserve">Dalla gestione degli incident analizzati durante il tirocinio emerge un metodo di troubleshooting strutturato, applicato sistematicamente a ogni segnalazione:</w:t>
      </w:r>
    </w:p>
    <w:p>
      <w:pPr>
        <w:pStyle w:val="ListParagraph"/>
        <w:numPr>
          <w:ilvl w:val="0"/>
          <w:numId w:val="8"/>
        </w:numPr>
        <w:spacing w:after="100" w:line="360"/>
        <w:jc w:val="both"/>
      </w:pPr>
      <w:r>
        <w:rPr>
          <w:rFonts w:ascii="Times New Roman" w:cs="Times New Roman" w:eastAsia="Times New Roman" w:hAnsi="Times New Roman"/>
          <w:b/>
          <w:bCs/>
          <w:sz w:val="24"/>
          <w:szCs w:val="24"/>
        </w:rPr>
        <w:t xml:space="preserve">Fase 1 — Analisi dei log. </w:t>
      </w:r>
      <w:r>
        <w:rPr>
          <w:rFonts w:ascii="Times New Roman" w:cs="Times New Roman" w:eastAsia="Times New Roman" w:hAnsi="Times New Roman"/>
          <w:sz w:val="24"/>
          <w:szCs w:val="24"/>
        </w:rPr>
        <w:t xml:space="preserve">A seguito della ricezione dell’incident, si consultano i log centralizzati su Splunk. Si utilizzano il correlation ID e il session ID per ricostruire il flusso della richiesta attraverso i diversi layer (BFF, BSA, servizi backend).</w:t>
      </w:r>
    </w:p>
    <w:p>
      <w:pPr>
        <w:pStyle w:val="ListParagraph"/>
        <w:numPr>
          <w:ilvl w:val="0"/>
          <w:numId w:val="8"/>
        </w:numPr>
        <w:spacing w:after="100" w:line="360"/>
        <w:jc w:val="both"/>
      </w:pPr>
      <w:r>
        <w:rPr>
          <w:rFonts w:ascii="Times New Roman" w:cs="Times New Roman" w:eastAsia="Times New Roman" w:hAnsi="Times New Roman"/>
          <w:b/>
          <w:bCs/>
          <w:sz w:val="24"/>
          <w:szCs w:val="24"/>
        </w:rPr>
        <w:t xml:space="preserve">Fase 2 — Comprensione del problema. </w:t>
      </w:r>
      <w:r>
        <w:rPr>
          <w:rFonts w:ascii="Times New Roman" w:cs="Times New Roman" w:eastAsia="Times New Roman" w:hAnsi="Times New Roman"/>
          <w:sz w:val="24"/>
          <w:szCs w:val="24"/>
        </w:rPr>
        <w:t xml:space="preserve">Sulla base dei log, si identifica il layer in cui si è verificato il failure e si formula un’ipotesi sulla root cause.</w:t>
      </w:r>
    </w:p>
    <w:p>
      <w:pPr>
        <w:pStyle w:val="ListParagraph"/>
        <w:numPr>
          <w:ilvl w:val="0"/>
          <w:numId w:val="8"/>
        </w:numPr>
        <w:spacing w:after="100" w:line="360"/>
        <w:jc w:val="both"/>
      </w:pPr>
      <w:r>
        <w:rPr>
          <w:rFonts w:ascii="Times New Roman" w:cs="Times New Roman" w:eastAsia="Times New Roman" w:hAnsi="Times New Roman"/>
          <w:b/>
          <w:bCs/>
          <w:sz w:val="24"/>
          <w:szCs w:val="24"/>
        </w:rPr>
        <w:t xml:space="preserve">Fase 3 — Replica in ambiente di test. </w:t>
      </w:r>
      <w:r>
        <w:rPr>
          <w:rFonts w:ascii="Times New Roman" w:cs="Times New Roman" w:eastAsia="Times New Roman" w:hAnsi="Times New Roman"/>
          <w:sz w:val="24"/>
          <w:szCs w:val="24"/>
        </w:rPr>
        <w:t xml:space="preserve">Si verifica se il problema è riproducibile in SYSR2 (ambiente di test) o in PRE PROD. La riproduzione è condizione necessaria per il debug.</w:t>
      </w:r>
    </w:p>
    <w:p>
      <w:pPr>
        <w:pStyle w:val="ListParagraph"/>
        <w:numPr>
          <w:ilvl w:val="0"/>
          <w:numId w:val="8"/>
        </w:numPr>
        <w:spacing w:after="100" w:line="360"/>
        <w:jc w:val="both"/>
      </w:pPr>
      <w:r>
        <w:rPr>
          <w:rFonts w:ascii="Times New Roman" w:cs="Times New Roman" w:eastAsia="Times New Roman" w:hAnsi="Times New Roman"/>
          <w:b/>
          <w:bCs/>
          <w:sz w:val="24"/>
          <w:szCs w:val="24"/>
        </w:rPr>
        <w:t xml:space="preserve">Fase 4 — Debug in locale. </w:t>
      </w:r>
      <w:r>
        <w:rPr>
          <w:rFonts w:ascii="Times New Roman" w:cs="Times New Roman" w:eastAsia="Times New Roman" w:hAnsi="Times New Roman"/>
          <w:sz w:val="24"/>
          <w:szCs w:val="24"/>
        </w:rPr>
        <w:t xml:space="preserve">Riprodotto l’errore in ambiente di test, si replica in locale utilizzando SpringBoot e l’IDE. Il debug in locale consente di isolare con precisione la riga di codice che genera il failure.</w:t>
      </w:r>
    </w:p>
    <w:p>
      <w:pPr>
        <w:pStyle w:val="ListParagraph"/>
        <w:numPr>
          <w:ilvl w:val="0"/>
          <w:numId w:val="8"/>
        </w:numPr>
        <w:spacing w:after="100" w:line="360"/>
        <w:jc w:val="both"/>
      </w:pPr>
      <w:r>
        <w:rPr>
          <w:rFonts w:ascii="Times New Roman" w:cs="Times New Roman" w:eastAsia="Times New Roman" w:hAnsi="Times New Roman"/>
          <w:b/>
          <w:bCs/>
          <w:sz w:val="24"/>
          <w:szCs w:val="24"/>
        </w:rPr>
        <w:t xml:space="preserve">Fase 5 — Fix e test locale. </w:t>
      </w:r>
      <w:r>
        <w:rPr>
          <w:rFonts w:ascii="Times New Roman" w:cs="Times New Roman" w:eastAsia="Times New Roman" w:hAnsi="Times New Roman"/>
          <w:sz w:val="24"/>
          <w:szCs w:val="24"/>
        </w:rPr>
        <w:t xml:space="preserve">Si implementa il fix, si ritesta in locale e si verifica che la correzione non introduca regressioni.</w:t>
      </w:r>
    </w:p>
    <w:p>
      <w:pPr>
        <w:pStyle w:val="ListParagraph"/>
        <w:numPr>
          <w:ilvl w:val="0"/>
          <w:numId w:val="8"/>
        </w:numPr>
        <w:spacing w:after="100" w:line="360"/>
        <w:jc w:val="both"/>
      </w:pPr>
      <w:r>
        <w:rPr>
          <w:rFonts w:ascii="Times New Roman" w:cs="Times New Roman" w:eastAsia="Times New Roman" w:hAnsi="Times New Roman"/>
          <w:b/>
          <w:bCs/>
          <w:sz w:val="24"/>
          <w:szCs w:val="24"/>
        </w:rPr>
        <w:t xml:space="preserve">Fase 6 — Push e deploy. </w:t>
      </w:r>
      <w:r>
        <w:rPr>
          <w:rFonts w:ascii="Times New Roman" w:cs="Times New Roman" w:eastAsia="Times New Roman" w:hAnsi="Times New Roman"/>
          <w:sz w:val="24"/>
          <w:szCs w:val="24"/>
        </w:rPr>
        <w:t xml:space="preserve">Il codice viene pushato su Azure DevOps (con approvazione del referente tecnico), deployato in ambiente di test e successivamente in produzione con la finestra correttiva pianificata.</w:t>
      </w:r>
    </w:p>
    <w:p>
      <w:pPr>
        <w:pStyle w:val="ListParagraph"/>
        <w:numPr>
          <w:ilvl w:val="0"/>
          <w:numId w:val="8"/>
        </w:numPr>
        <w:spacing w:after="100" w:line="360"/>
        <w:jc w:val="both"/>
      </w:pPr>
      <w:r>
        <w:rPr>
          <w:rFonts w:ascii="Times New Roman" w:cs="Times New Roman" w:eastAsia="Times New Roman" w:hAnsi="Times New Roman"/>
          <w:b/>
          <w:bCs/>
          <w:sz w:val="24"/>
          <w:szCs w:val="24"/>
        </w:rPr>
        <w:t xml:space="preserve">Fase 7 — Escalation (se necessario). </w:t>
      </w:r>
      <w:r>
        <w:rPr>
          <w:rFonts w:ascii="Times New Roman" w:cs="Times New Roman" w:eastAsia="Times New Roman" w:hAnsi="Times New Roman"/>
          <w:sz w:val="24"/>
          <w:szCs w:val="24"/>
        </w:rPr>
        <w:t xml:space="preserve">Se isolando il problema si determina che il layer coinvolto non rientra nel perimetro di competenza del team, si riassegna il ticket e si ingaggiano i gruppi di competenza appropriati, anche per vie brevi.</w:t>
      </w:r>
    </w:p>
    <w:p>
      <w:pPr>
        <w:spacing w:after="6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dashed" w:color="888888" w:sz="2"/>
              <w:left w:val="dashed" w:color="888888" w:sz="2"/>
              <w:bottom w:val="dashed" w:color="888888" w:sz="2"/>
              <w:right w:val="dashed" w:color="888888" w:sz="2"/>
            </w:tcBorders>
            <w:shd w:fill="FAFAFA" w:val="clear"/>
            <w:tcMar>
              <w:top w:type="dxa" w:w="200"/>
              <w:left w:type="dxa" w:w="200"/>
              <w:bottom w:type="dxa" w:w="200"/>
              <w:right w:type="dxa" w:w="200"/>
            </w:tcMar>
          </w:tcPr>
          <w:p>
            <w:pPr>
              <w:spacing w:after="120"/>
              <w:jc w:val="center"/>
            </w:pPr>
            <w:r>
              <w:rPr>
                <w:rFonts w:ascii="Times New Roman" w:cs="Times New Roman" w:eastAsia="Times New Roman" w:hAnsi="Times New Roman"/>
                <w:b/>
                <w:bCs/>
                <w:color w:val="888888"/>
                <w:sz w:val="22"/>
                <w:szCs w:val="22"/>
              </w:rPr>
              <w:t xml:space="preserve">[INSERIRE SCREENSHOT / DIAGRAMMA]</w:t>
            </w:r>
          </w:p>
          <w:p>
            <w:pPr>
              <w:spacing w:after="80"/>
              <w:jc w:val="center"/>
            </w:pPr>
            <w:r>
              <w:rPr>
                <w:rFonts w:ascii="Times New Roman" w:cs="Times New Roman" w:eastAsia="Times New Roman" w:hAnsi="Times New Roman"/>
                <w:b/>
                <w:bCs/>
                <w:sz w:val="22"/>
                <w:szCs w:val="22"/>
              </w:rPr>
              <w:t xml:space="preserve">Fig. 2 — Flowchart del metodo di troubleshooting in sette fasi. Flusso: Ricezione incident → Analisi log Splunk → Comprensione → Replica SYSR2/PRE PROD → Debug locale → Fix + test → Push DevOps + deploy → (oppure) Escalation se fuori perimetro</w:t>
            </w:r>
          </w:p>
          <w:p>
            <w:pPr>
              <w:jc w:val="center"/>
            </w:pPr>
            <w:r>
              <w:rPr>
                <w:rFonts w:ascii="Times New Roman" w:cs="Times New Roman" w:eastAsia="Times New Roman" w:hAnsi="Times New Roman"/>
                <w:i/>
                <w:iCs/>
                <w:color w:val="888888"/>
                <w:sz w:val="20"/>
                <w:szCs w:val="20"/>
              </w:rPr>
              <w:t xml:space="preserve">Nota: oscurare eventuali dati personali prima dell’inserimento.</w:t>
            </w:r>
          </w:p>
        </w:tc>
      </w:tr>
    </w:tbl>
    <w:p>
      <w:pPr>
        <w:spacing w:after="60"/>
      </w:pPr>
    </w:p>
    <w:p>
      <w:pPr>
        <w:pStyle w:val="Heading2"/>
        <w:spacing w:after="180" w:before="300" w:line="360"/>
        <w:jc w:val="both"/>
      </w:pPr>
      <w:r>
        <w:rPr>
          <w:rFonts w:ascii="Times New Roman" w:cs="Times New Roman" w:eastAsia="Times New Roman" w:hAnsi="Times New Roman"/>
          <w:b/>
          <w:bCs/>
          <w:sz w:val="26"/>
          <w:szCs w:val="26"/>
        </w:rPr>
        <w:t xml:space="preserve">4.2 — Case study: incident AVC di gennaio 2026</w:t>
      </w:r>
    </w:p>
    <w:p>
      <w:pPr>
        <w:pStyle w:val="Heading3"/>
        <w:spacing w:after="140" w:before="240" w:line="360"/>
        <w:jc w:val="both"/>
      </w:pPr>
      <w:r>
        <w:rPr>
          <w:rFonts w:ascii="Times New Roman" w:cs="Times New Roman" w:eastAsia="Times New Roman" w:hAnsi="Times New Roman"/>
          <w:b/>
          <w:bCs/>
          <w:sz w:val="24"/>
          <w:szCs w:val="24"/>
        </w:rPr>
        <w:t xml:space="preserve">4.2.1 — Contesto e segnalazione</w:t>
      </w:r>
    </w:p>
    <w:p>
      <w:pPr>
        <w:spacing w:after="120" w:line="360"/>
        <w:jc w:val="both"/>
      </w:pPr>
      <w:r>
        <w:rPr>
          <w:rFonts w:ascii="Times New Roman" w:cs="Times New Roman" w:eastAsia="Times New Roman" w:hAnsi="Times New Roman"/>
          <w:sz w:val="24"/>
          <w:szCs w:val="24"/>
        </w:rPr>
        <w:t xml:space="preserve">Nel gennaio 2026 un operatore di agenzia, durante la compilazione di un questionario AVC (Adeguata Verifica della Clientela) su una polizza vita intestata a un contraente persona giuridica, ha tentato di eseguire l’operazione Calcola e Salva Profilo. L’operazione ha prodotto un blocco completo dell’interfaccia: schermata congelata, nessun messaggio di errore, nessun feedback.</w:t>
      </w:r>
    </w:p>
    <w:p>
      <w:pPr>
        <w:spacing w:after="120" w:line="360"/>
        <w:jc w:val="both"/>
      </w:pPr>
      <w:r>
        <w:rPr>
          <w:rFonts w:ascii="Times New Roman" w:cs="Times New Roman" w:eastAsia="Times New Roman" w:hAnsi="Times New Roman"/>
          <w:sz w:val="24"/>
          <w:szCs w:val="24"/>
        </w:rPr>
        <w:t xml:space="preserve">L’incident è stato segnalato attraverso il sistema di ticketing aziendale. La prima segnalazione è stata respinta dall’HD2 per mancanza di informazioni sul contesto operativo precedente alla compilazione del questionario. Una seconda segnalazione, più dettagliata, è stata nuovamente respinta. Solo alla terza iterazione, con tutte le informazioni necessarie sulle fasi precedenti del wizard, il ticket è stato accettato e scalato all’HD3 (il team di sviluppo).</w:t>
      </w:r>
    </w:p>
    <w:p>
      <w:pPr>
        <w:pStyle w:val="Heading3"/>
        <w:spacing w:after="140" w:before="240" w:line="360"/>
        <w:jc w:val="both"/>
      </w:pPr>
      <w:r>
        <w:rPr>
          <w:rFonts w:ascii="Times New Roman" w:cs="Times New Roman" w:eastAsia="Times New Roman" w:hAnsi="Times New Roman"/>
          <w:b/>
          <w:bCs/>
          <w:sz w:val="24"/>
          <w:szCs w:val="24"/>
        </w:rPr>
        <w:t xml:space="preserve">4.2.2 — Analisi e timeline</w:t>
      </w:r>
    </w:p>
    <w:p>
      <w:pPr>
        <w:spacing w:after="120" w:line="360"/>
        <w:jc w:val="both"/>
      </w:pPr>
      <w:r>
        <w:rPr>
          <w:rFonts w:ascii="Times New Roman" w:cs="Times New Roman" w:eastAsia="Times New Roman" w:hAnsi="Times New Roman"/>
          <w:sz w:val="24"/>
          <w:szCs w:val="24"/>
        </w:rPr>
        <w:t xml:space="preserve">L’analisi dei log su Splunk ha permesso di ricostruire la timeline riportata nella Tabella 2.</w:t>
      </w:r>
    </w:p>
    <w:p>
      <w:pPr>
        <w:spacing w:after="60"/>
      </w:pPr>
    </w:p>
    <w:p>
      <w:pPr>
        <w:spacing w:after="120" w:line="360"/>
        <w:jc w:val="both"/>
      </w:pPr>
      <w:r>
        <w:rPr>
          <w:rFonts w:ascii="Times New Roman" w:cs="Times New Roman" w:eastAsia="Times New Roman" w:hAnsi="Times New Roman"/>
          <w:b/>
          <w:bCs/>
          <w:sz w:val="24"/>
          <w:szCs w:val="24"/>
        </w:rPr>
        <w:t xml:space="preserve">Tabella 2</w:t>
      </w:r>
      <w:r>
        <w:rPr>
          <w:rFonts w:ascii="Times New Roman" w:cs="Times New Roman" w:eastAsia="Times New Roman" w:hAnsi="Times New Roman"/>
          <w:sz w:val="24"/>
          <w:szCs w:val="24"/>
        </w:rPr>
        <w:t xml:space="preserve"> — Timeline tecnica dell’incident AVC</w:t>
      </w:r>
    </w:p>
    <w:p>
      <w:pPr>
        <w:spacing w:after="6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303"/>
      </w:tblGrid>
      <w:tr>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Tempo</w:t>
            </w:r>
          </w:p>
        </w:tc>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Layer</w:t>
            </w:r>
          </w:p>
        </w:tc>
        <w:tc>
          <w:tcPr>
            <w:tcW w:type="dxa" w:w="5303"/>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Evento</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T+0s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VITES FE</w:t>
            </w:r>
          </w:p>
        </w:tc>
        <w:tc>
          <w:tcPr>
            <w:tcW w:type="dxa" w:w="5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L’utente compila il questionario AVC e preme Calcola e Salva Profilo</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T+0.1s</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BFF</w:t>
            </w:r>
          </w:p>
        </w:tc>
        <w:tc>
          <w:tcPr>
            <w:tcW w:type="dxa" w:w="5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Il BFF riceve la request e la inoltra tramite /invocaBsa verso BSA Vita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T+0.2s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BSA Vita</w:t>
            </w:r>
          </w:p>
        </w:tc>
        <w:tc>
          <w:tcPr>
            <w:tcW w:type="dxa" w:w="5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BSA Vita invoca i servizi di AIA per il salvataggio del questionario</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T+0.3s</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AIA</w:t>
            </w:r>
          </w:p>
        </w:tc>
        <w:tc>
          <w:tcPr>
            <w:tcW w:type="dxa" w:w="5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 servizi AIA tentano le operazioni sul database Oracle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T+30s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Gateway</w:t>
            </w:r>
          </w:p>
        </w:tc>
        <w:tc>
          <w:tcPr>
            <w:tcW w:type="dxa" w:w="5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 servizi non rispondono entro la soglia di timeout (30 secondi). Il gateway restituisce 504</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T+30.1s</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BFF</w:t>
            </w:r>
          </w:p>
        </w:tc>
        <w:tc>
          <w:tcPr>
            <w:tcW w:type="dxa" w:w="5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Il BFF riceve il 504. Non gestisce lo status code in modo strutturato. Taglia la connessione verso il FE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T+30.2s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VITES FE</w:t>
            </w:r>
          </w:p>
        </w:tc>
        <w:tc>
          <w:tcPr>
            <w:tcW w:type="dxa" w:w="5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Il frontend non riceve né errore né conferma. Stato: freeze completo</w:t>
            </w:r>
          </w:p>
        </w:tc>
      </w:tr>
    </w:tbl>
    <w:p>
      <w:pPr>
        <w:spacing w:after="6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dashed" w:color="888888" w:sz="2"/>
              <w:left w:val="dashed" w:color="888888" w:sz="2"/>
              <w:bottom w:val="dashed" w:color="888888" w:sz="2"/>
              <w:right w:val="dashed" w:color="888888" w:sz="2"/>
            </w:tcBorders>
            <w:shd w:fill="FAFAFA" w:val="clear"/>
            <w:tcMar>
              <w:top w:type="dxa" w:w="200"/>
              <w:left w:type="dxa" w:w="200"/>
              <w:bottom w:type="dxa" w:w="200"/>
              <w:right w:type="dxa" w:w="200"/>
            </w:tcMar>
          </w:tcPr>
          <w:p>
            <w:pPr>
              <w:spacing w:after="120"/>
              <w:jc w:val="center"/>
            </w:pPr>
            <w:r>
              <w:rPr>
                <w:rFonts w:ascii="Times New Roman" w:cs="Times New Roman" w:eastAsia="Times New Roman" w:hAnsi="Times New Roman"/>
                <w:b/>
                <w:bCs/>
                <w:color w:val="888888"/>
                <w:sz w:val="22"/>
                <w:szCs w:val="22"/>
              </w:rPr>
              <w:t xml:space="preserve">[INSERIRE SCREENSHOT / DIAGRAMMA]</w:t>
            </w:r>
          </w:p>
          <w:p>
            <w:pPr>
              <w:spacing w:after="80"/>
              <w:jc w:val="center"/>
            </w:pPr>
            <w:r>
              <w:rPr>
                <w:rFonts w:ascii="Times New Roman" w:cs="Times New Roman" w:eastAsia="Times New Roman" w:hAnsi="Times New Roman"/>
                <w:b/>
                <w:bCs/>
                <w:sz w:val="22"/>
                <w:szCs w:val="22"/>
              </w:rPr>
              <w:t xml:space="preserve">Fig. 3 — Screenshot della Network Tab del browser durante l’incident: request POST, status code 504, tempo superiore a 30 secondi. Oscurare dati del contraente</w:t>
            </w:r>
          </w:p>
          <w:p>
            <w:pPr>
              <w:jc w:val="center"/>
            </w:pPr>
            <w:r>
              <w:rPr>
                <w:rFonts w:ascii="Times New Roman" w:cs="Times New Roman" w:eastAsia="Times New Roman" w:hAnsi="Times New Roman"/>
                <w:i/>
                <w:iCs/>
                <w:color w:val="888888"/>
                <w:sz w:val="20"/>
                <w:szCs w:val="20"/>
              </w:rPr>
              <w:t xml:space="preserve">Nota: oscurare eventuali dati personali prima dell’inserimento.</w:t>
            </w:r>
          </w:p>
        </w:tc>
      </w:tr>
    </w:tbl>
    <w:p>
      <w:pPr>
        <w:spacing w:after="6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dashed" w:color="888888" w:sz="2"/>
              <w:left w:val="dashed" w:color="888888" w:sz="2"/>
              <w:bottom w:val="dashed" w:color="888888" w:sz="2"/>
              <w:right w:val="dashed" w:color="888888" w:sz="2"/>
            </w:tcBorders>
            <w:shd w:fill="FAFAFA" w:val="clear"/>
            <w:tcMar>
              <w:top w:type="dxa" w:w="200"/>
              <w:left w:type="dxa" w:w="200"/>
              <w:bottom w:type="dxa" w:w="200"/>
              <w:right w:type="dxa" w:w="200"/>
            </w:tcMar>
          </w:tcPr>
          <w:p>
            <w:pPr>
              <w:spacing w:after="120"/>
              <w:jc w:val="center"/>
            </w:pPr>
            <w:r>
              <w:rPr>
                <w:rFonts w:ascii="Times New Roman" w:cs="Times New Roman" w:eastAsia="Times New Roman" w:hAnsi="Times New Roman"/>
                <w:b/>
                <w:bCs/>
                <w:color w:val="888888"/>
                <w:sz w:val="22"/>
                <w:szCs w:val="22"/>
              </w:rPr>
              <w:t xml:space="preserve">[INSERIRE SCREENSHOT / DIAGRAMMA]</w:t>
            </w:r>
          </w:p>
          <w:p>
            <w:pPr>
              <w:spacing w:after="80"/>
              <w:jc w:val="center"/>
            </w:pPr>
            <w:r>
              <w:rPr>
                <w:rFonts w:ascii="Times New Roman" w:cs="Times New Roman" w:eastAsia="Times New Roman" w:hAnsi="Times New Roman"/>
                <w:b/>
                <w:bCs/>
                <w:sz w:val="22"/>
                <w:szCs w:val="22"/>
              </w:rPr>
              <w:t xml:space="preserve">Fig. 4 — Estratto del log di frontiera su Splunk: record END con elapsed &gt; 30.000ms, esito KO, correlation ID. Oscurare dati sensibili</w:t>
            </w:r>
          </w:p>
          <w:p>
            <w:pPr>
              <w:jc w:val="center"/>
            </w:pPr>
            <w:r>
              <w:rPr>
                <w:rFonts w:ascii="Times New Roman" w:cs="Times New Roman" w:eastAsia="Times New Roman" w:hAnsi="Times New Roman"/>
                <w:i/>
                <w:iCs/>
                <w:color w:val="888888"/>
                <w:sz w:val="20"/>
                <w:szCs w:val="20"/>
              </w:rPr>
              <w:t xml:space="preserve">Nota: oscurare eventuali dati personali prima dell’inserimento.</w:t>
            </w:r>
          </w:p>
        </w:tc>
      </w:tr>
    </w:tbl>
    <w:p>
      <w:pPr>
        <w:spacing w:after="60"/>
      </w:pPr>
    </w:p>
    <w:p>
      <w:pPr>
        <w:pStyle w:val="Heading3"/>
        <w:spacing w:after="140" w:before="240" w:line="360"/>
        <w:jc w:val="both"/>
      </w:pPr>
      <w:r>
        <w:rPr>
          <w:rFonts w:ascii="Times New Roman" w:cs="Times New Roman" w:eastAsia="Times New Roman" w:hAnsi="Times New Roman"/>
          <w:b/>
          <w:bCs/>
          <w:sz w:val="24"/>
          <w:szCs w:val="24"/>
        </w:rPr>
        <w:t xml:space="preserve">4.2.3 — Root cause tecnica</w:t>
      </w:r>
    </w:p>
    <w:p>
      <w:pPr>
        <w:spacing w:after="120" w:line="360"/>
        <w:jc w:val="both"/>
      </w:pPr>
      <w:r>
        <w:rPr>
          <w:rFonts w:ascii="Times New Roman" w:cs="Times New Roman" w:eastAsia="Times New Roman" w:hAnsi="Times New Roman"/>
          <w:sz w:val="24"/>
          <w:szCs w:val="24"/>
        </w:rPr>
        <w:t xml:space="preserve">La root cause tecnica è stata identificata nella latenza eccessiva dei servizi AIA sotto carico. La catena BSA Vita → servizi AIA → database Oracle ha superato la soglia di timeout del gateway (30 secondi). La soglia è configurata a livello di infrastruttura e non risulta parametrizzabile dal team applicativo. Il BFF, non implementando una gestione strutturata dello status code 504, non ha tradotto l’errore in una response comprensibile per il frontend. VITES è rimasto in stato di caricamento indefinito.</w:t>
      </w:r>
    </w:p>
    <w:p>
      <w:pPr>
        <w:pStyle w:val="Heading3"/>
        <w:spacing w:after="140" w:before="240" w:line="360"/>
        <w:jc w:val="both"/>
      </w:pPr>
      <w:r>
        <w:rPr>
          <w:rFonts w:ascii="Times New Roman" w:cs="Times New Roman" w:eastAsia="Times New Roman" w:hAnsi="Times New Roman"/>
          <w:b/>
          <w:bCs/>
          <w:sz w:val="24"/>
          <w:szCs w:val="24"/>
        </w:rPr>
        <w:t xml:space="preserve">4.2.4 — Il defect correlato: “Works as designed”</w:t>
      </w:r>
    </w:p>
    <w:p>
      <w:pPr>
        <w:spacing w:after="120" w:line="360"/>
        <w:jc w:val="both"/>
      </w:pPr>
      <w:r>
        <w:rPr>
          <w:rFonts w:ascii="Times New Roman" w:cs="Times New Roman" w:eastAsia="Times New Roman" w:hAnsi="Times New Roman"/>
          <w:sz w:val="24"/>
          <w:szCs w:val="24"/>
        </w:rPr>
        <w:t xml:space="preserve">Parallelamente all’incident, è stato aperto un defect </w:t>
      </w:r>
      <w:r>
        <w:rPr>
          <w:rFonts w:ascii="Times New Roman" w:cs="Times New Roman" w:eastAsia="Times New Roman" w:hAnsi="Times New Roman"/>
          <w:b/>
          <w:bCs/>
          <w:sz w:val="24"/>
          <w:szCs w:val="24"/>
        </w:rPr>
        <w:t xml:space="preserve">su un applicativo di backend diverso</w:t>
      </w:r>
      <w:r>
        <w:rPr>
          <w:rFonts w:ascii="Times New Roman" w:cs="Times New Roman" w:eastAsia="Times New Roman" w:hAnsi="Times New Roman"/>
          <w:sz w:val="24"/>
          <w:szCs w:val="24"/>
        </w:rPr>
        <w:t xml:space="preserve"> che segnalava il blocco delle funzionalità relative al beneficiario e al titolare effettivo dopo la compilazione del questionario AVC. Il Business Analyst competente ha analizzato la segnalazione e ha classificato il defect come “Works as designed”: il blocco è intenzionale, imposto dalla normativa PEP (Persone Politicamente Esposte).</w:t>
      </w:r>
    </w:p>
    <w:p>
      <w:pPr>
        <w:spacing w:after="120" w:line="360"/>
        <w:jc w:val="both"/>
      </w:pPr>
      <w:r>
        <w:rPr>
          <w:rFonts w:ascii="Times New Roman" w:cs="Times New Roman" w:eastAsia="Times New Roman" w:hAnsi="Times New Roman"/>
          <w:sz w:val="24"/>
          <w:szCs w:val="24"/>
        </w:rPr>
        <w:t xml:space="preserve">Questo caso dimostra concretamente la distinzione tra incident e defect descritta nel Capitolo 1: l’incident (504 Gateway Timeout) insisteva sulla catena BFF → BSA Vita → AIA; il defect (blocco post-AVC) insisteva su un altro applicativo di backend ed era un comportamento progettato, non un malfunzionamento.</w:t>
      </w:r>
    </w:p>
    <w:p>
      <w:pPr>
        <w:spacing w:after="6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C00000" w:sz="6"/>
              <w:left w:val="single" w:color="C00000" w:sz="6"/>
              <w:bottom w:val="single" w:color="C00000" w:sz="6"/>
              <w:right w:val="single" w:color="C00000" w:sz="6"/>
            </w:tcBorders>
            <w:shd w:fill="FEF5F5" w:val="clear"/>
            <w:tcMar>
              <w:top w:type="dxa" w:w="120"/>
              <w:left w:type="dxa" w:w="180"/>
              <w:bottom w:type="dxa" w:w="120"/>
              <w:right w:type="dxa" w:w="180"/>
            </w:tcMar>
          </w:tcPr>
          <w:p>
            <w:pPr>
              <w:spacing w:after="80"/>
            </w:pPr>
            <w:r>
              <w:rPr>
                <w:rFonts w:ascii="Times New Roman" w:cs="Times New Roman" w:eastAsia="Times New Roman" w:hAnsi="Times New Roman"/>
                <w:b/>
                <w:bCs/>
                <w:color w:val="C00000"/>
                <w:sz w:val="22"/>
                <w:szCs w:val="22"/>
              </w:rPr>
              <w:t xml:space="preserve">▸ Lesson learned</w:t>
            </w:r>
          </w:p>
          <w:p>
            <w:pPr>
              <w:spacing w:after="0" w:line="360"/>
              <w:jc w:val="both"/>
            </w:pPr>
            <w:r>
              <w:rPr>
                <w:rFonts w:ascii="Times New Roman" w:cs="Times New Roman" w:eastAsia="Times New Roman" w:hAnsi="Times New Roman"/>
                <w:sz w:val="22"/>
                <w:szCs w:val="22"/>
              </w:rPr>
              <w:t xml:space="preserve">Non tutto ciò che appare come difetto lo è. Prima di intervenire su un comportamento anomalo percepito dall’utente, occorre verificare con il business se si tratta di un malfunzionamento o di un requisito di compliance. Incident e defect sono due fasi del ciclo di vita del software che possono insistere su applicativi backend separati.</w:t>
            </w:r>
          </w:p>
        </w:tc>
      </w:tr>
    </w:tbl>
    <w:p>
      <w:pPr>
        <w:spacing w:after="60"/>
      </w:pPr>
    </w:p>
    <w:p>
      <w:pPr>
        <w:pStyle w:val="Heading2"/>
        <w:spacing w:after="180" w:before="300" w:line="360"/>
        <w:jc w:val="both"/>
      </w:pPr>
      <w:r>
        <w:rPr>
          <w:rFonts w:ascii="Times New Roman" w:cs="Times New Roman" w:eastAsia="Times New Roman" w:hAnsi="Times New Roman"/>
          <w:b/>
          <w:bCs/>
          <w:sz w:val="26"/>
          <w:szCs w:val="26"/>
        </w:rPr>
        <w:t xml:space="preserve">4.3 — Case study: cluster incident sul portafoglio legacy</w:t>
      </w:r>
    </w:p>
    <w:p>
      <w:pPr>
        <w:pStyle w:val="Heading3"/>
        <w:spacing w:after="140" w:before="240" w:line="360"/>
        <w:jc w:val="both"/>
      </w:pPr>
      <w:r>
        <w:rPr>
          <w:rFonts w:ascii="Times New Roman" w:cs="Times New Roman" w:eastAsia="Times New Roman" w:hAnsi="Times New Roman"/>
          <w:b/>
          <w:bCs/>
          <w:sz w:val="24"/>
          <w:szCs w:val="24"/>
        </w:rPr>
        <w:t xml:space="preserve">4.3.1 — I tre incident</w:t>
      </w:r>
    </w:p>
    <w:p>
      <w:pPr>
        <w:spacing w:after="120" w:line="360"/>
        <w:jc w:val="both"/>
      </w:pPr>
      <w:r>
        <w:rPr>
          <w:rFonts w:ascii="Times New Roman" w:cs="Times New Roman" w:eastAsia="Times New Roman" w:hAnsi="Times New Roman"/>
          <w:sz w:val="24"/>
          <w:szCs w:val="24"/>
        </w:rPr>
        <w:t xml:space="preserve">Tra gennaio e marzo 2026 si sono verificati tre incident distinti, tutti relativi a operazioni sul portafoglio VIS che transitano da BSA VitaLegacy. La Tabella 3 ne riassume le caratteristiche.</w:t>
      </w:r>
    </w:p>
    <w:p>
      <w:pPr>
        <w:spacing w:after="60"/>
      </w:pPr>
    </w:p>
    <w:p>
      <w:pPr>
        <w:spacing w:after="120" w:line="360"/>
        <w:jc w:val="both"/>
      </w:pPr>
      <w:r>
        <w:rPr>
          <w:rFonts w:ascii="Times New Roman" w:cs="Times New Roman" w:eastAsia="Times New Roman" w:hAnsi="Times New Roman"/>
          <w:b/>
          <w:bCs/>
          <w:sz w:val="24"/>
          <w:szCs w:val="24"/>
        </w:rPr>
        <w:t xml:space="preserve">Tabella 3</w:t>
      </w:r>
      <w:r>
        <w:rPr>
          <w:rFonts w:ascii="Times New Roman" w:cs="Times New Roman" w:eastAsia="Times New Roman" w:hAnsi="Times New Roman"/>
          <w:sz w:val="24"/>
          <w:szCs w:val="24"/>
        </w:rPr>
        <w:t xml:space="preserve"> — Cluster incident sul portafoglio legacy</w:t>
      </w:r>
    </w:p>
    <w:p>
      <w:pPr>
        <w:spacing w:after="6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700"/>
        <w:gridCol w:w="2803"/>
      </w:tblGrid>
      <w:tr>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Periodo</w:t>
            </w:r>
          </w:p>
        </w:tc>
        <w:tc>
          <w:tcPr>
            <w:tcW w:type="dxa" w:w="1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Operazione</w:t>
            </w:r>
          </w:p>
        </w:tc>
        <w:tc>
          <w:tcPr>
            <w:tcW w:type="dxa" w:w="27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Sintomo</w:t>
            </w:r>
          </w:p>
        </w:tc>
        <w:tc>
          <w:tcPr>
            <w:tcW w:type="dxa" w:w="2803"/>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Root cause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Gen. 2026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AVC standalone</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Applicativo non consente di proseguire</w:t>
            </w:r>
          </w:p>
        </w:tc>
        <w:tc>
          <w:tcPr>
            <w:tcW w:type="dxa" w:w="28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Consultazione polizza con codice agenzia di login, incompatibile con VIS</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Feb. 2026</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ADV Fondo Pensione</w:t>
            </w:r>
          </w:p>
        </w:tc>
        <w:tc>
          <w:tcPr>
            <w:tcW w:type="dxa" w:w="2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Pagina bianca</w:t>
            </w:r>
          </w:p>
        </w:tc>
        <w:tc>
          <w:tcPr>
            <w:tcW w:type="dxa" w:w="28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Medesima root cause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Mar. 2026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ADV standalone</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Pagina bianca dopo inserimento contraente</w:t>
            </w:r>
          </w:p>
        </w:tc>
        <w:tc>
          <w:tcPr>
            <w:tcW w:type="dxa" w:w="28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Medesima root cause</w:t>
            </w:r>
          </w:p>
        </w:tc>
      </w:tr>
    </w:tbl>
    <w:p>
      <w:pPr>
        <w:pStyle w:val="Heading3"/>
        <w:spacing w:after="140" w:before="240" w:line="360"/>
        <w:jc w:val="both"/>
      </w:pPr>
      <w:r>
        <w:rPr>
          <w:rFonts w:ascii="Times New Roman" w:cs="Times New Roman" w:eastAsia="Times New Roman" w:hAnsi="Times New Roman"/>
          <w:b/>
          <w:bCs/>
          <w:sz w:val="24"/>
          <w:szCs w:val="24"/>
        </w:rPr>
        <w:t xml:space="preserve">4.3.2 — Root cause: il mapping compagnia/agenzia</w:t>
      </w:r>
    </w:p>
    <w:p>
      <w:pPr>
        <w:spacing w:after="120" w:line="360"/>
        <w:jc w:val="both"/>
      </w:pPr>
      <w:r>
        <w:rPr>
          <w:rFonts w:ascii="Times New Roman" w:cs="Times New Roman" w:eastAsia="Times New Roman" w:hAnsi="Times New Roman"/>
          <w:sz w:val="24"/>
          <w:szCs w:val="24"/>
        </w:rPr>
        <w:t xml:space="preserve">Le polizze del fondo pensione Teseo per una delle compagnie del gruppo vengono gestite nel database VIS sotto un codice compagnia differente e un’agenzia dedicata di servizio, non coincidente con l’agenzia operativa dell’utente. La chiamata di consultazione polizza veniva effettuata dal BSA utilizzando il codice agenzia di login dell’operatore. I web service VIS (esposti tramite il gateway SALT/Tuxedo), non trovando la polizza sotto quel codice agenzia, restituivano un payload vuoto con status HTTP 200. Il frontend rendeva una pagina bianca.</w:t>
      </w:r>
    </w:p>
    <w:p>
      <w:pPr>
        <w:pStyle w:val="Heading3"/>
        <w:spacing w:after="140" w:before="240" w:line="360"/>
        <w:jc w:val="both"/>
      </w:pPr>
      <w:r>
        <w:rPr>
          <w:rFonts w:ascii="Times New Roman" w:cs="Times New Roman" w:eastAsia="Times New Roman" w:hAnsi="Times New Roman"/>
          <w:b/>
          <w:bCs/>
          <w:sz w:val="24"/>
          <w:szCs w:val="24"/>
        </w:rPr>
        <w:t xml:space="preserve">4.3.3 — Evoluzione dell’analisi: da configurazione a codice</w:t>
      </w:r>
    </w:p>
    <w:p>
      <w:pPr>
        <w:spacing w:after="120" w:line="360"/>
        <w:jc w:val="both"/>
      </w:pPr>
      <w:r>
        <w:rPr>
          <w:rFonts w:ascii="Times New Roman" w:cs="Times New Roman" w:eastAsia="Times New Roman" w:hAnsi="Times New Roman"/>
          <w:sz w:val="24"/>
          <w:szCs w:val="24"/>
        </w:rPr>
        <w:t xml:space="preserve">L’ipotesi iniziale attribuiva la root cause a un errore di routing in Passportal (errato jump verso il componente FE). L’analisi approfondita su Splunk ha dimostrato che il problema risiedeva nella logica del BSA VitaLegacy, che non effettuava la sostituzione dei codici compagnia e agenzia prima di invocare i web service VIS. L’errato routing in Passportal era una concausa, non la causa primaria.</w:t>
      </w:r>
    </w:p>
    <w:p>
      <w:pPr>
        <w:spacing w:after="6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C00000" w:sz="6"/>
              <w:left w:val="single" w:color="C00000" w:sz="6"/>
              <w:bottom w:val="single" w:color="C00000" w:sz="6"/>
              <w:right w:val="single" w:color="C00000" w:sz="6"/>
            </w:tcBorders>
            <w:shd w:fill="FEF5F5" w:val="clear"/>
            <w:tcMar>
              <w:top w:type="dxa" w:w="120"/>
              <w:left w:type="dxa" w:w="180"/>
              <w:bottom w:type="dxa" w:w="120"/>
              <w:right w:type="dxa" w:w="180"/>
            </w:tcMar>
          </w:tcPr>
          <w:p>
            <w:pPr>
              <w:spacing w:after="80"/>
            </w:pPr>
            <w:r>
              <w:rPr>
                <w:rFonts w:ascii="Times New Roman" w:cs="Times New Roman" w:eastAsia="Times New Roman" w:hAnsi="Times New Roman"/>
                <w:b/>
                <w:bCs/>
                <w:color w:val="C00000"/>
                <w:sz w:val="22"/>
                <w:szCs w:val="22"/>
              </w:rPr>
              <w:t xml:space="preserve">▸ Lesson learned</w:t>
            </w:r>
          </w:p>
          <w:p>
            <w:pPr>
              <w:spacing w:after="0" w:line="360"/>
              <w:jc w:val="both"/>
            </w:pPr>
            <w:r>
              <w:rPr>
                <w:rFonts w:ascii="Times New Roman" w:cs="Times New Roman" w:eastAsia="Times New Roman" w:hAnsi="Times New Roman"/>
                <w:sz w:val="22"/>
                <w:szCs w:val="22"/>
              </w:rPr>
              <w:t xml:space="preserve">La prima root cause identificata non è necessariamente quella corretta. Il troubleshooting è iterativo: dal sintomo (pagina bianca) alla concausa (routing) alla root cause vera (logica di traduzione codici nel BSA). Inoltre, questo caso ha evidenziato l’importanza della documentazione tecnica: la gestione custom delle polizze Teseo per la compagnia in questione era scarsamente documentata, il che ha reso più lungo il percorso diagnostico.</w:t>
            </w:r>
          </w:p>
        </w:tc>
      </w:tr>
    </w:tbl>
    <w:p>
      <w:pPr>
        <w:spacing w:after="60"/>
      </w:pPr>
    </w:p>
    <w:p>
      <w:pPr>
        <w:pStyle w:val="Heading3"/>
        <w:spacing w:after="140" w:before="240" w:line="360"/>
        <w:jc w:val="both"/>
      </w:pPr>
      <w:r>
        <w:rPr>
          <w:rFonts w:ascii="Times New Roman" w:cs="Times New Roman" w:eastAsia="Times New Roman" w:hAnsi="Times New Roman"/>
          <w:b/>
          <w:bCs/>
          <w:sz w:val="24"/>
          <w:szCs w:val="24"/>
        </w:rPr>
        <w:t xml:space="preserve">4.3.4 — La soluzione implementata</w:t>
      </w:r>
    </w:p>
    <w:p>
      <w:pPr>
        <w:spacing w:after="120" w:line="360"/>
        <w:jc w:val="both"/>
      </w:pPr>
      <w:r>
        <w:rPr>
          <w:rFonts w:ascii="Times New Roman" w:cs="Times New Roman" w:eastAsia="Times New Roman" w:hAnsi="Times New Roman"/>
          <w:sz w:val="24"/>
          <w:szCs w:val="24"/>
        </w:rPr>
        <w:t xml:space="preserve">La risoluzione ha richiesto una modifica software coordinata su FE e BSA VitaLegacy. La sostituzione dei codici compagnia e agenzia è ora delegata al BSA su tutti gli endpoint del flusso:</w:t>
      </w:r>
    </w:p>
    <w:p>
      <w:pPr>
        <w:pStyle w:val="ListParagraph"/>
        <w:numPr>
          <w:ilvl w:val="0"/>
          <w:numId w:val="9"/>
        </w:numPr>
        <w:spacing w:after="100" w:line="360"/>
        <w:jc w:val="both"/>
      </w:pPr>
      <w:r>
        <w:rPr>
          <w:rFonts w:ascii="Times New Roman" w:cs="Times New Roman" w:eastAsia="Times New Roman" w:hAnsi="Times New Roman"/>
          <w:b/>
          <w:bCs/>
          <w:sz w:val="24"/>
          <w:szCs w:val="24"/>
        </w:rPr>
        <w:t xml:space="preserve">Endpoint di consultazione polizza: </w:t>
      </w:r>
      <w:r>
        <w:rPr>
          <w:rFonts w:ascii="Times New Roman" w:cs="Times New Roman" w:eastAsia="Times New Roman" w:hAnsi="Times New Roman"/>
          <w:sz w:val="24"/>
          <w:szCs w:val="24"/>
        </w:rPr>
        <w:t xml:space="preserve">la sostituzione è immediata all’interno del controller BSA e si riflette sulla request XML inviata ai web service VIS.</w:t>
      </w:r>
    </w:p>
    <w:p>
      <w:pPr>
        <w:pStyle w:val="ListParagraph"/>
        <w:numPr>
          <w:ilvl w:val="0"/>
          <w:numId w:val="9"/>
        </w:numPr>
        <w:spacing w:after="100" w:line="360"/>
        <w:jc w:val="both"/>
      </w:pPr>
      <w:r>
        <w:rPr>
          <w:rFonts w:ascii="Times New Roman" w:cs="Times New Roman" w:eastAsia="Times New Roman" w:hAnsi="Times New Roman"/>
          <w:b/>
          <w:bCs/>
          <w:sz w:val="24"/>
          <w:szCs w:val="24"/>
        </w:rPr>
        <w:t xml:space="preserve">Endpoint di salvataggio questionario AVC: </w:t>
      </w:r>
      <w:r>
        <w:rPr>
          <w:rFonts w:ascii="Times New Roman" w:cs="Times New Roman" w:eastAsia="Times New Roman" w:hAnsi="Times New Roman"/>
          <w:sz w:val="24"/>
          <w:szCs w:val="24"/>
        </w:rPr>
        <w:t xml:space="preserve">la sostituzione viene applicata selettivamente. Verso le chiamate ai web service VIS, i codici vengono sostituiti. Verso le chiamate REST a PPEVO, i codici originali di login vengono mantenuti, perché per PPEVO la gestione VIS delle polizze Teseo è trasparente.</w:t>
      </w:r>
    </w:p>
    <w:p>
      <w:pPr>
        <w:pStyle w:val="ListParagraph"/>
        <w:numPr>
          <w:ilvl w:val="0"/>
          <w:numId w:val="9"/>
        </w:numPr>
        <w:spacing w:after="100" w:line="360"/>
        <w:jc w:val="both"/>
      </w:pPr>
      <w:r>
        <w:rPr>
          <w:rFonts w:ascii="Times New Roman" w:cs="Times New Roman" w:eastAsia="Times New Roman" w:hAnsi="Times New Roman"/>
          <w:b/>
          <w:bCs/>
          <w:sz w:val="24"/>
          <w:szCs w:val="24"/>
        </w:rPr>
        <w:t xml:space="preserve">Gestione delle anagrafiche: </w:t>
      </w:r>
      <w:r>
        <w:rPr>
          <w:rFonts w:ascii="Times New Roman" w:cs="Times New Roman" w:eastAsia="Times New Roman" w:hAnsi="Times New Roman"/>
          <w:sz w:val="24"/>
          <w:szCs w:val="24"/>
        </w:rPr>
        <w:t xml:space="preserve">approccio di duplicazione controllata. L’utente censisce l’anagrafica su Anagrafe Unica con l’agenzia di login. Sulle tabelle interne di VIS viene creata una copia con l’agenzia dedicata. Le due anagrafiche sono accomunate dal codice fiscale. Le chiamate di verifica anagrafica dal frontend utilizzano il codice fiscale come chiave di ricerca, non il codice interno.</w:t>
      </w:r>
    </w:p>
    <w:p>
      <w:pPr>
        <w:spacing w:after="120" w:line="360"/>
        <w:jc w:val="both"/>
      </w:pPr>
      <w:r>
        <w:rPr>
          <w:rFonts w:ascii="Times New Roman" w:cs="Times New Roman" w:eastAsia="Times New Roman" w:hAnsi="Times New Roman"/>
          <w:sz w:val="24"/>
          <w:szCs w:val="24"/>
        </w:rPr>
        <w:t xml:space="preserve">Test end-to-end sono stati effettuati con esito positivo. Il rilascio è avvenuto con la finestra correttiva di aprile 2026.</w:t>
      </w:r>
    </w:p>
    <w:p>
      <w:pPr>
        <w:spacing w:after="6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dashed" w:color="888888" w:sz="2"/>
              <w:left w:val="dashed" w:color="888888" w:sz="2"/>
              <w:bottom w:val="dashed" w:color="888888" w:sz="2"/>
              <w:right w:val="dashed" w:color="888888" w:sz="2"/>
            </w:tcBorders>
            <w:shd w:fill="FAFAFA" w:val="clear"/>
            <w:tcMar>
              <w:top w:type="dxa" w:w="200"/>
              <w:left w:type="dxa" w:w="200"/>
              <w:bottom w:type="dxa" w:w="200"/>
              <w:right w:type="dxa" w:w="200"/>
            </w:tcMar>
          </w:tcPr>
          <w:p>
            <w:pPr>
              <w:spacing w:after="120"/>
              <w:jc w:val="center"/>
            </w:pPr>
            <w:r>
              <w:rPr>
                <w:rFonts w:ascii="Times New Roman" w:cs="Times New Roman" w:eastAsia="Times New Roman" w:hAnsi="Times New Roman"/>
                <w:b/>
                <w:bCs/>
                <w:color w:val="888888"/>
                <w:sz w:val="22"/>
                <w:szCs w:val="22"/>
              </w:rPr>
              <w:t xml:space="preserve">[INSERIRE SCREENSHOT / DIAGRAMMA]</w:t>
            </w:r>
          </w:p>
          <w:p>
            <w:pPr>
              <w:spacing w:after="80"/>
              <w:jc w:val="center"/>
            </w:pPr>
            <w:r>
              <w:rPr>
                <w:rFonts w:ascii="Times New Roman" w:cs="Times New Roman" w:eastAsia="Times New Roman" w:hAnsi="Times New Roman"/>
                <w:b/>
                <w:bCs/>
                <w:sz w:val="22"/>
                <w:szCs w:val="22"/>
              </w:rPr>
              <w:t xml:space="preserve">Fig. 5 — Schema della sostituzione codici compagnia/agenzia nel BSA VitaLegacy. Prima (codice agenzia login → WS VIS → payload vuoto) e Dopo (sostituzione nel BSA → codice agenzia dedicata → WS VIS → payload corretto). Evidenziare la selettività: sostituzione verso VIS ma non verso PPEVO</w:t>
            </w:r>
          </w:p>
          <w:p>
            <w:pPr>
              <w:jc w:val="center"/>
            </w:pPr>
            <w:r>
              <w:rPr>
                <w:rFonts w:ascii="Times New Roman" w:cs="Times New Roman" w:eastAsia="Times New Roman" w:hAnsi="Times New Roman"/>
                <w:i/>
                <w:iCs/>
                <w:color w:val="888888"/>
                <w:sz w:val="20"/>
                <w:szCs w:val="20"/>
              </w:rPr>
              <w:t xml:space="preserve">Nota: oscurare eventuali dati personali prima dell’inserimento.</w:t>
            </w:r>
          </w:p>
        </w:tc>
      </w:tr>
    </w:tbl>
    <w:p>
      <w:pPr>
        <w:spacing w:after="60"/>
      </w:pPr>
    </w:p>
    <w:p>
      <w:pPr>
        <w:pStyle w:val="Heading2"/>
        <w:spacing w:after="180" w:before="300" w:line="360"/>
        <w:jc w:val="both"/>
      </w:pPr>
      <w:r>
        <w:rPr>
          <w:rFonts w:ascii="Times New Roman" w:cs="Times New Roman" w:eastAsia="Times New Roman" w:hAnsi="Times New Roman"/>
          <w:b/>
          <w:bCs/>
          <w:sz w:val="26"/>
          <w:szCs w:val="26"/>
        </w:rPr>
        <w:t xml:space="preserve">4.4 — Case study: incident di data integrity e intervento in produzione</w:t>
      </w:r>
    </w:p>
    <w:p>
      <w:pPr>
        <w:spacing w:after="120" w:line="360"/>
        <w:jc w:val="both"/>
      </w:pPr>
      <w:r>
        <w:rPr>
          <w:rFonts w:ascii="Times New Roman" w:cs="Times New Roman" w:eastAsia="Times New Roman" w:hAnsi="Times New Roman"/>
          <w:sz w:val="24"/>
          <w:szCs w:val="24"/>
        </w:rPr>
        <w:t xml:space="preserve">Nel febbraio 2026 un operatore ha segnalato l’impossibilità di recuperare la documentazione relativa a un’operazione di riscatto totale su una polizza vita. L’operazione era stata completata con successo ma le stampe associate non erano state generate.</w:t>
      </w:r>
    </w:p>
    <w:p>
      <w:pPr>
        <w:spacing w:after="120" w:line="360"/>
        <w:jc w:val="both"/>
      </w:pPr>
      <w:r>
        <w:rPr>
          <w:rFonts w:ascii="Times New Roman" w:cs="Times New Roman" w:eastAsia="Times New Roman" w:hAnsi="Times New Roman"/>
          <w:sz w:val="24"/>
          <w:szCs w:val="24"/>
        </w:rPr>
        <w:t xml:space="preserve">L’analisi su Splunk ha evidenziato che tutte le richieste di stampa per l’operazione erano fallite con esito KO a causa di un problema temporaneo di accesso al database del servizio di stampa, confermato dal referente tecnico. L’operazione di riscatto era andata a buon fine, generando una situazione di deadlock: l’agenzia non poteva rigenerare le stampe dal frontend perché l’operazione era già completata e non poteva essere rieseguita.</w:t>
      </w:r>
    </w:p>
    <w:p>
      <w:pPr>
        <w:pStyle w:val="Heading3"/>
        <w:spacing w:after="140" w:before="240" w:line="360"/>
        <w:jc w:val="both"/>
      </w:pPr>
      <w:r>
        <w:rPr>
          <w:rFonts w:ascii="Times New Roman" w:cs="Times New Roman" w:eastAsia="Times New Roman" w:hAnsi="Times New Roman"/>
          <w:b/>
          <w:bCs/>
          <w:sz w:val="24"/>
          <w:szCs w:val="24"/>
        </w:rPr>
        <w:t xml:space="preserve">4.4.1 — Intervento in produzione</w:t>
      </w:r>
    </w:p>
    <w:p>
      <w:pPr>
        <w:spacing w:after="120" w:line="360"/>
        <w:jc w:val="both"/>
      </w:pPr>
      <w:r>
        <w:rPr>
          <w:rFonts w:ascii="Times New Roman" w:cs="Times New Roman" w:eastAsia="Times New Roman" w:hAnsi="Times New Roman"/>
          <w:sz w:val="24"/>
          <w:szCs w:val="24"/>
        </w:rPr>
        <w:t xml:space="preserve">La risoluzione ha richiesto un intervento diretto in ambiente di produzione: la rigenerazione delle stampe richiamando manualmente le API fallite. Il candidato ha effettuato una chiamata GET diretta in PROD per innescare la rigenerazione del riscatto totale. L’intervento è stato autorizzato dal System Architect e coordinato con il referente tecnico.</w:t>
      </w:r>
    </w:p>
    <w:p>
      <w:pPr>
        <w:spacing w:after="120" w:line="360"/>
        <w:jc w:val="both"/>
      </w:pPr>
      <w:r>
        <w:rPr>
          <w:rFonts w:ascii="Times New Roman" w:cs="Times New Roman" w:eastAsia="Times New Roman" w:hAnsi="Times New Roman"/>
          <w:sz w:val="24"/>
          <w:szCs w:val="24"/>
        </w:rPr>
        <w:t xml:space="preserve">Questo caso dimostra il principio della delega strutturata nel framework SAFe: l’apprendista ha isolato la root cause, documentato i findings nel sistema di ticketing, e l’esecuzione dell’intervento in produzione è avvenuta con l’autorizzazione e la supervisione del System Architect.</w:t>
      </w:r>
    </w:p>
    <w:p>
      <w:pPr>
        <w:pStyle w:val="Heading2"/>
        <w:spacing w:after="180" w:before="300" w:line="360"/>
        <w:jc w:val="both"/>
      </w:pPr>
      <w:r>
        <w:rPr>
          <w:rFonts w:ascii="Times New Roman" w:cs="Times New Roman" w:eastAsia="Times New Roman" w:hAnsi="Times New Roman"/>
          <w:b/>
          <w:bCs/>
          <w:sz w:val="26"/>
          <w:szCs w:val="26"/>
        </w:rPr>
        <w:t xml:space="preserve">4.5 — Gestione defect: mapping anagrafico tra sistemi</w:t>
      </w:r>
    </w:p>
    <w:p>
      <w:pPr>
        <w:spacing w:after="120" w:line="360"/>
        <w:jc w:val="both"/>
      </w:pPr>
      <w:r>
        <w:rPr>
          <w:rFonts w:ascii="Times New Roman" w:cs="Times New Roman" w:eastAsia="Times New Roman" w:hAnsi="Times New Roman"/>
          <w:sz w:val="24"/>
          <w:szCs w:val="24"/>
        </w:rPr>
        <w:t xml:space="preserve">Un defect di mapping dati tra BSA Anagrafe e AIA ha evidenziato che il campo codice condizione professionale presenta tabelle di decodifica differenti tra i due sistemi: lo stesso codice numerico corrisponde a descrizioni diverse. Il fix ha richiesto l’allineamento delle tabelle di decodifica e un intervento coordinato tra il team VITA e il team che gestisce BSA Anagrafe. Questo caso conferma che la coerenza semantica dei campi tra sistemi eterogenei non può essere data per scontata e richiede validazione esplicita dei contratti dati.</w:t>
      </w:r>
    </w:p>
    <w:p>
      <w:pPr>
        <w:pStyle w:val="Heading2"/>
        <w:spacing w:after="180" w:before="300" w:line="360"/>
        <w:jc w:val="both"/>
      </w:pPr>
      <w:r>
        <w:rPr>
          <w:rFonts w:ascii="Times New Roman" w:cs="Times New Roman" w:eastAsia="Times New Roman" w:hAnsi="Times New Roman"/>
          <w:b/>
          <w:bCs/>
          <w:sz w:val="26"/>
          <w:szCs w:val="26"/>
        </w:rPr>
        <w:t xml:space="preserve">4.6 — Unit testing</w:t>
      </w:r>
    </w:p>
    <w:p>
      <w:pPr>
        <w:spacing w:after="120" w:line="360"/>
        <w:jc w:val="both"/>
      </w:pPr>
      <w:r>
        <w:rPr>
          <w:rFonts w:ascii="Times New Roman" w:cs="Times New Roman" w:eastAsia="Times New Roman" w:hAnsi="Times New Roman"/>
          <w:sz w:val="24"/>
          <w:szCs w:val="24"/>
        </w:rPr>
        <w:t xml:space="preserve">Nell’ambito delle attività di sviluppo, il candidato ha lavorato sulla scrittura di unit test per i controller del BSA. La struttura dei test segue il pattern standard JUnit con Mockito per il mocking delle dipendenze, nel contesto di un’applicazione SpringBoot.</w:t>
      </w:r>
    </w:p>
    <w:p>
      <w:pPr>
        <w:spacing w:after="120" w:line="360"/>
        <w:jc w:val="both"/>
      </w:pPr>
      <w:r>
        <w:rPr>
          <w:rFonts w:ascii="Times New Roman" w:cs="Times New Roman" w:eastAsia="Times New Roman" w:hAnsi="Times New Roman"/>
          <w:sz w:val="24"/>
          <w:szCs w:val="24"/>
        </w:rPr>
        <w:t xml:space="preserve">Gli unit test verificano il comportamento dei singoli endpoint del BSA in isolamento, simulando le response dei servizi downstream (AIA, VIS). Questo approccio consente di verificare che il controller gestisca correttamente i diversi scenari: response di successo, timeout, eccezioni nei servizi backend.</w:t>
      </w:r>
    </w:p>
    <w:p>
      <w:pPr>
        <w:spacing w:after="120" w:line="360"/>
        <w:jc w:val="both"/>
      </w:pPr>
      <w:r>
        <w:rPr>
          <w:rFonts w:ascii="Times New Roman" w:cs="Times New Roman" w:eastAsia="Times New Roman" w:hAnsi="Times New Roman"/>
          <w:sz w:val="24"/>
          <w:szCs w:val="24"/>
        </w:rPr>
        <w:t xml:space="preserve">L’analisi degli incident documentati nella tesi suggerisce aree in cui l’estensione della copertura di test avrebbe potuto prevenire i failure osservati:</w:t>
      </w:r>
    </w:p>
    <w:p>
      <w:pPr>
        <w:pStyle w:val="ListParagraph"/>
        <w:numPr>
          <w:ilvl w:val="0"/>
          <w:numId w:val="10"/>
        </w:numPr>
        <w:spacing w:after="100" w:line="360"/>
        <w:jc w:val="both"/>
      </w:pPr>
      <w:r>
        <w:rPr>
          <w:rFonts w:ascii="Times New Roman" w:cs="Times New Roman" w:eastAsia="Times New Roman" w:hAnsi="Times New Roman"/>
          <w:b/>
          <w:bCs/>
          <w:sz w:val="24"/>
          <w:szCs w:val="24"/>
        </w:rPr>
        <w:t xml:space="preserve">Test sulla gestione degli status code 5xx: </w:t>
      </w:r>
      <w:r>
        <w:rPr>
          <w:rFonts w:ascii="Times New Roman" w:cs="Times New Roman" w:eastAsia="Times New Roman" w:hAnsi="Times New Roman"/>
          <w:sz w:val="24"/>
          <w:szCs w:val="24"/>
        </w:rPr>
        <w:t xml:space="preserve">un test che verifichi il comportamento del BFF alla ricezione di un 504 dal BSA avrebbe evidenziato l’assenza di una response di errore strutturata per il frontend.</w:t>
      </w:r>
    </w:p>
    <w:p>
      <w:pPr>
        <w:pStyle w:val="ListParagraph"/>
        <w:numPr>
          <w:ilvl w:val="0"/>
          <w:numId w:val="10"/>
        </w:numPr>
        <w:spacing w:after="100" w:line="360"/>
        <w:jc w:val="both"/>
      </w:pPr>
      <w:r>
        <w:rPr>
          <w:rFonts w:ascii="Times New Roman" w:cs="Times New Roman" w:eastAsia="Times New Roman" w:hAnsi="Times New Roman"/>
          <w:b/>
          <w:bCs/>
          <w:sz w:val="24"/>
          <w:szCs w:val="24"/>
        </w:rPr>
        <w:t xml:space="preserve">Test sul tipo di ritorno nel catch: </w:t>
      </w:r>
      <w:r>
        <w:rPr>
          <w:rFonts w:ascii="Times New Roman" w:cs="Times New Roman" w:eastAsia="Times New Roman" w:hAnsi="Times New Roman"/>
          <w:sz w:val="24"/>
          <w:szCs w:val="24"/>
        </w:rPr>
        <w:t xml:space="preserve">un test che verifichi il tipo dell’oggetto restituito dal metodo di consultazione polizza in caso di eccezione SOAP avrebbe intercettato il tipo di ritorno errato prima del rilascio in produzione.</w:t>
      </w:r>
    </w:p>
    <w:p>
      <w:pPr>
        <w:pStyle w:val="ListParagraph"/>
        <w:numPr>
          <w:ilvl w:val="0"/>
          <w:numId w:val="10"/>
        </w:numPr>
        <w:spacing w:after="100" w:line="360"/>
        <w:jc w:val="both"/>
      </w:pPr>
      <w:r>
        <w:rPr>
          <w:rFonts w:ascii="Times New Roman" w:cs="Times New Roman" w:eastAsia="Times New Roman" w:hAnsi="Times New Roman"/>
          <w:b/>
          <w:bCs/>
          <w:sz w:val="24"/>
          <w:szCs w:val="24"/>
        </w:rPr>
        <w:t xml:space="preserve">Test di integrazione: </w:t>
      </w:r>
      <w:r>
        <w:rPr>
          <w:rFonts w:ascii="Times New Roman" w:cs="Times New Roman" w:eastAsia="Times New Roman" w:hAnsi="Times New Roman"/>
          <w:sz w:val="24"/>
          <w:szCs w:val="24"/>
        </w:rPr>
        <w:t xml:space="preserve">l’estensione del concetto di test oltre gli unit test, verso test di integrazione che verifichino il flusso end-to-end BFF → BSA → servizi backend, consentirebbe di rilevare anomalie nel contratto dati tra i layer.</w:t>
      </w:r>
    </w:p>
    <w:p>
      <w:r>
        <w:br w:type="page"/>
      </w:r>
    </w:p>
    <w:p>
      <w:pPr>
        <w:pStyle w:val="Heading1"/>
        <w:spacing w:after="240" w:before="360" w:line="360"/>
        <w:jc w:val="both"/>
      </w:pPr>
      <w:r>
        <w:rPr>
          <w:rFonts w:ascii="Times New Roman" w:cs="Times New Roman" w:eastAsia="Times New Roman" w:hAnsi="Times New Roman"/>
          <w:b/>
          <w:bCs/>
          <w:sz w:val="28"/>
          <w:szCs w:val="28"/>
        </w:rPr>
        <w:t xml:space="preserve">Conclusioni</w:t>
      </w:r>
    </w:p>
    <w:p>
      <w:pPr>
        <w:pStyle w:val="Heading2"/>
        <w:spacing w:after="180" w:before="300" w:line="360"/>
        <w:jc w:val="both"/>
      </w:pPr>
      <w:r>
        <w:rPr>
          <w:rFonts w:ascii="Times New Roman" w:cs="Times New Roman" w:eastAsia="Times New Roman" w:hAnsi="Times New Roman"/>
          <w:b/>
          <w:bCs/>
          <w:sz w:val="26"/>
          <w:szCs w:val="26"/>
        </w:rPr>
        <w:t xml:space="preserve">Competenze acquisite</w:t>
      </w:r>
    </w:p>
    <w:p>
      <w:pPr>
        <w:pStyle w:val="ListParagraph"/>
        <w:numPr>
          <w:ilvl w:val="0"/>
          <w:numId w:val="11"/>
        </w:numPr>
        <w:spacing w:after="100" w:line="360"/>
        <w:jc w:val="both"/>
      </w:pPr>
      <w:r>
        <w:rPr>
          <w:rFonts w:ascii="Times New Roman" w:cs="Times New Roman" w:eastAsia="Times New Roman" w:hAnsi="Times New Roman"/>
          <w:b/>
          <w:bCs/>
          <w:sz w:val="24"/>
          <w:szCs w:val="24"/>
        </w:rPr>
        <w:t xml:space="preserve">Troubleshooting di sistemi distribuiti in produzione: </w:t>
      </w:r>
      <w:r>
        <w:rPr>
          <w:rFonts w:ascii="Times New Roman" w:cs="Times New Roman" w:eastAsia="Times New Roman" w:hAnsi="Times New Roman"/>
          <w:sz w:val="24"/>
          <w:szCs w:val="24"/>
        </w:rPr>
        <w:t xml:space="preserve">capacità di diagnosticare failure reali utilizzando log centralizzati su Splunk (correlation ID, elapsed, esito), di replicare i problemi negli ambienti di test (SYSR2, PRE PROD) e di isolare la root cause attraverso il debug locale.</w:t>
      </w:r>
    </w:p>
    <w:p>
      <w:pPr>
        <w:pStyle w:val="ListParagraph"/>
        <w:numPr>
          <w:ilvl w:val="0"/>
          <w:numId w:val="11"/>
        </w:numPr>
        <w:spacing w:after="100" w:line="360"/>
        <w:jc w:val="both"/>
      </w:pPr>
      <w:r>
        <w:rPr>
          <w:rFonts w:ascii="Times New Roman" w:cs="Times New Roman" w:eastAsia="Times New Roman" w:hAnsi="Times New Roman"/>
          <w:b/>
          <w:bCs/>
          <w:sz w:val="24"/>
          <w:szCs w:val="24"/>
        </w:rPr>
        <w:t xml:space="preserve">Distinzione tra root cause tecnica e root cause di business: </w:t>
      </w:r>
      <w:r>
        <w:rPr>
          <w:rFonts w:ascii="Times New Roman" w:cs="Times New Roman" w:eastAsia="Times New Roman" w:hAnsi="Times New Roman"/>
          <w:sz w:val="24"/>
          <w:szCs w:val="24"/>
        </w:rPr>
        <w:t xml:space="preserve">capacità di determinare se un comportamento osservato è un malfunzionamento o un requisito di compliance (es. blocco post-AVC come misura PEP).</w:t>
      </w:r>
    </w:p>
    <w:p>
      <w:pPr>
        <w:pStyle w:val="ListParagraph"/>
        <w:numPr>
          <w:ilvl w:val="0"/>
          <w:numId w:val="11"/>
        </w:numPr>
        <w:spacing w:after="100" w:line="360"/>
        <w:jc w:val="both"/>
      </w:pPr>
      <w:r>
        <w:rPr>
          <w:rFonts w:ascii="Times New Roman" w:cs="Times New Roman" w:eastAsia="Times New Roman" w:hAnsi="Times New Roman"/>
          <w:b/>
          <w:bCs/>
          <w:sz w:val="24"/>
          <w:szCs w:val="24"/>
        </w:rPr>
        <w:t xml:space="preserve">Metodo di lavoro strutturato: </w:t>
      </w:r>
      <w:r>
        <w:rPr>
          <w:rFonts w:ascii="Times New Roman" w:cs="Times New Roman" w:eastAsia="Times New Roman" w:hAnsi="Times New Roman"/>
          <w:sz w:val="24"/>
          <w:szCs w:val="24"/>
        </w:rPr>
        <w:t xml:space="preserve">applicazione sistematica del metodo in sette fasi dal ricevimento dell’incident alla chiusura del ticket, con capacità di escalation quando il layer coinvolto esula dal perimetro di competenza.</w:t>
      </w:r>
    </w:p>
    <w:p>
      <w:pPr>
        <w:pStyle w:val="ListParagraph"/>
        <w:numPr>
          <w:ilvl w:val="0"/>
          <w:numId w:val="11"/>
        </w:numPr>
        <w:spacing w:after="100" w:line="360"/>
        <w:jc w:val="both"/>
      </w:pPr>
      <w:r>
        <w:rPr>
          <w:rFonts w:ascii="Times New Roman" w:cs="Times New Roman" w:eastAsia="Times New Roman" w:hAnsi="Times New Roman"/>
          <w:b/>
          <w:bCs/>
          <w:sz w:val="24"/>
          <w:szCs w:val="24"/>
        </w:rPr>
        <w:t xml:space="preserve">Intervento in produzione sotto autorizzazione: </w:t>
      </w:r>
      <w:r>
        <w:rPr>
          <w:rFonts w:ascii="Times New Roman" w:cs="Times New Roman" w:eastAsia="Times New Roman" w:hAnsi="Times New Roman"/>
          <w:sz w:val="24"/>
          <w:szCs w:val="24"/>
        </w:rPr>
        <w:t xml:space="preserve">esperienza diretta di intervento in ambiente PROD (rigenerazione stampe via API), coordinato con il System Architect e il referente tecnico.</w:t>
      </w:r>
    </w:p>
    <w:p>
      <w:pPr>
        <w:pStyle w:val="ListParagraph"/>
        <w:numPr>
          <w:ilvl w:val="0"/>
          <w:numId w:val="11"/>
        </w:numPr>
        <w:spacing w:after="100" w:line="360"/>
        <w:jc w:val="both"/>
      </w:pPr>
      <w:r>
        <w:rPr>
          <w:rFonts w:ascii="Times New Roman" w:cs="Times New Roman" w:eastAsia="Times New Roman" w:hAnsi="Times New Roman"/>
          <w:b/>
          <w:bCs/>
          <w:sz w:val="24"/>
          <w:szCs w:val="24"/>
        </w:rPr>
        <w:t xml:space="preserve">Comprensione dell’architettura enterprise: </w:t>
      </w:r>
      <w:r>
        <w:rPr>
          <w:rFonts w:ascii="Times New Roman" w:cs="Times New Roman" w:eastAsia="Times New Roman" w:hAnsi="Times New Roman"/>
          <w:sz w:val="24"/>
          <w:szCs w:val="24"/>
        </w:rPr>
        <w:t xml:space="preserve">conoscenza operativa dei layer applicativi dell’ecosistema VITA, delle tecnologie coinvolte (Angular, SpringBoot, Maven, Oracle, SALT/Tuxedo/Cobol, AKS) e delle interazioni tra i componenti.</w:t>
      </w:r>
    </w:p>
    <w:p>
      <w:pPr>
        <w:pStyle w:val="Heading2"/>
        <w:spacing w:after="180" w:before="300" w:line="360"/>
        <w:jc w:val="both"/>
      </w:pPr>
      <w:r>
        <w:rPr>
          <w:rFonts w:ascii="Times New Roman" w:cs="Times New Roman" w:eastAsia="Times New Roman" w:hAnsi="Times New Roman"/>
          <w:b/>
          <w:bCs/>
          <w:sz w:val="26"/>
          <w:szCs w:val="26"/>
        </w:rPr>
        <w:t xml:space="preserve">Proposte di miglioramento</w:t>
      </w:r>
    </w:p>
    <w:p>
      <w:pPr>
        <w:pStyle w:val="ListParagraph"/>
        <w:numPr>
          <w:ilvl w:val="0"/>
          <w:numId w:val="12"/>
        </w:numPr>
        <w:spacing w:after="100" w:line="360"/>
        <w:jc w:val="both"/>
      </w:pPr>
      <w:r>
        <w:rPr>
          <w:rFonts w:ascii="Times New Roman" w:cs="Times New Roman" w:eastAsia="Times New Roman" w:hAnsi="Times New Roman"/>
          <w:b/>
          <w:bCs/>
          <w:sz w:val="24"/>
          <w:szCs w:val="24"/>
        </w:rPr>
        <w:t xml:space="preserve">Gestione errori 5xx nel BFF: </w:t>
      </w:r>
      <w:r>
        <w:rPr>
          <w:rFonts w:ascii="Times New Roman" w:cs="Times New Roman" w:eastAsia="Times New Roman" w:hAnsi="Times New Roman"/>
          <w:sz w:val="24"/>
          <w:szCs w:val="24"/>
        </w:rPr>
        <w:t xml:space="preserve">implementare una gestione strutturata dei response code 5xx. Un 504 dovrebbe produrre una response JSON con codice errore e messaggio leggibile, non il silenzio.</w:t>
      </w:r>
    </w:p>
    <w:p>
      <w:pPr>
        <w:pStyle w:val="ListParagraph"/>
        <w:numPr>
          <w:ilvl w:val="0"/>
          <w:numId w:val="12"/>
        </w:numPr>
        <w:spacing w:after="100" w:line="360"/>
        <w:jc w:val="both"/>
      </w:pPr>
      <w:r>
        <w:rPr>
          <w:rFonts w:ascii="Times New Roman" w:cs="Times New Roman" w:eastAsia="Times New Roman" w:hAnsi="Times New Roman"/>
          <w:b/>
          <w:bCs/>
          <w:sz w:val="24"/>
          <w:szCs w:val="24"/>
        </w:rPr>
        <w:t xml:space="preserve">Estensione della copertura di test: </w:t>
      </w:r>
      <w:r>
        <w:rPr>
          <w:rFonts w:ascii="Times New Roman" w:cs="Times New Roman" w:eastAsia="Times New Roman" w:hAnsi="Times New Roman"/>
          <w:sz w:val="24"/>
          <w:szCs w:val="24"/>
        </w:rPr>
        <w:t xml:space="preserve">estendere gli unit test ai casi di errore (timeout, eccezioni SOAP, tipi di ritorno errati nel catch). Valutare l’introduzione di test di integrazione per verificare i contratti dati tra i layer.</w:t>
      </w:r>
    </w:p>
    <w:p>
      <w:pPr>
        <w:pStyle w:val="ListParagraph"/>
        <w:numPr>
          <w:ilvl w:val="0"/>
          <w:numId w:val="12"/>
        </w:numPr>
        <w:spacing w:after="100" w:line="360"/>
        <w:jc w:val="both"/>
      </w:pPr>
      <w:r>
        <w:rPr>
          <w:rFonts w:ascii="Times New Roman" w:cs="Times New Roman" w:eastAsia="Times New Roman" w:hAnsi="Times New Roman"/>
          <w:b/>
          <w:bCs/>
          <w:sz w:val="24"/>
          <w:szCs w:val="24"/>
        </w:rPr>
        <w:t xml:space="preserve">Documentazione tecnica: </w:t>
      </w:r>
      <w:r>
        <w:rPr>
          <w:rFonts w:ascii="Times New Roman" w:cs="Times New Roman" w:eastAsia="Times New Roman" w:hAnsi="Times New Roman"/>
          <w:sz w:val="24"/>
          <w:szCs w:val="24"/>
        </w:rPr>
        <w:t xml:space="preserve">il cluster di incident sul portafoglio legacy ha evidenziato lacune nella documentazione della gestione custom delle polizze Teseo. Una documentazione tecnica aggiornata avrebbe accelerato il percorso diagnostico.</w:t>
      </w:r>
    </w:p>
    <w:p>
      <w:pPr>
        <w:pStyle w:val="Heading2"/>
        <w:spacing w:after="180" w:before="300" w:line="360"/>
        <w:jc w:val="both"/>
      </w:pPr>
      <w:r>
        <w:rPr>
          <w:rFonts w:ascii="Times New Roman" w:cs="Times New Roman" w:eastAsia="Times New Roman" w:hAnsi="Times New Roman"/>
          <w:b/>
          <w:bCs/>
          <w:sz w:val="26"/>
          <w:szCs w:val="26"/>
        </w:rPr>
        <w:t xml:space="preserve">Considerazione finale</w:t>
      </w:r>
    </w:p>
    <w:p>
      <w:pPr>
        <w:spacing w:after="120" w:line="360"/>
        <w:jc w:val="both"/>
      </w:pPr>
      <w:r>
        <w:rPr>
          <w:rFonts w:ascii="Times New Roman" w:cs="Times New Roman" w:eastAsia="Times New Roman" w:hAnsi="Times New Roman"/>
          <w:sz w:val="24"/>
          <w:szCs w:val="24"/>
        </w:rPr>
        <w:t xml:space="preserve">Il percorso in Reale ITES ha fornito competenze che nessun percorso formativo teorico avrebbe potuto offrire con la stessa efficacia: l’esperienza di diagnosticare failure reali in un sistema distribuito in produzione, sotto la pressione di utenti bloccati e SLA attivi. L’architettura non è un diagramma: è il modo in cui il sistema fallisce e il modo in cui lo si ripara. Le competenze acquisite — dal troubleshooting alla gestione dei ticket, dalla comprensione dell’architettura alla collaborazione con i diversi ruoli del framework SAFe — costituiscono la base su cui continuare a costruire il percorso professionale.</w:t>
      </w:r>
    </w:p>
    <w:p>
      <w:r>
        <w:br w:type="page"/>
      </w:r>
    </w:p>
    <w:p>
      <w:pPr>
        <w:pStyle w:val="Heading1"/>
        <w:spacing w:after="240" w:before="360" w:line="360"/>
        <w:jc w:val="both"/>
      </w:pPr>
      <w:r>
        <w:rPr>
          <w:rFonts w:ascii="Times New Roman" w:cs="Times New Roman" w:eastAsia="Times New Roman" w:hAnsi="Times New Roman"/>
          <w:b/>
          <w:bCs/>
          <w:sz w:val="28"/>
          <w:szCs w:val="28"/>
        </w:rPr>
        <w:t xml:space="preserve">Appendice A — Glossario Tecnico</w:t>
      </w:r>
    </w:p>
    <w:p>
      <w:pPr>
        <w:spacing w:after="6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2000"/>
        <w:gridCol w:w="6503"/>
      </w:tblGrid>
      <w:tr>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Termine</w:t>
            </w:r>
          </w:p>
        </w:tc>
        <w:tc>
          <w:tcPr>
            <w:tcW w:type="dxa" w:w="6503"/>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Definizione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AKS</w:t>
            </w:r>
          </w:p>
        </w:tc>
        <w:tc>
          <w:tcPr>
            <w:tcW w:type="dxa" w:w="65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Azure Kubernetes Service. Servizio di orchestrazione container su piattaforma cloud Microsoft Azure.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AML</w:t>
            </w:r>
          </w:p>
        </w:tc>
        <w:tc>
          <w:tcPr>
            <w:tcW w:type="dxa" w:w="65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Anti Money Laundering. Controlli antiriciclaggio obbligatori per legge.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AVC</w:t>
            </w:r>
          </w:p>
        </w:tc>
        <w:tc>
          <w:tcPr>
            <w:tcW w:type="dxa" w:w="65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Adeguata Verifica della Clientela. Questionario obbligatorio pre-emissione polizza vita.</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BFF</w:t>
            </w:r>
          </w:p>
        </w:tc>
        <w:tc>
          <w:tcPr>
            <w:tcW w:type="dxa" w:w="65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Backend For Frontend. Applicazione SpringBoot che serve il FE e invoca i BSA.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BSA</w:t>
            </w:r>
          </w:p>
        </w:tc>
        <w:tc>
          <w:tcPr>
            <w:tcW w:type="dxa" w:w="65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Business Sidecar for API. Applicazione Java SpringBoot/Maven che standardizza e espone le API di un dominio di business.</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CDN</w:t>
            </w:r>
          </w:p>
        </w:tc>
        <w:tc>
          <w:tcPr>
            <w:tcW w:type="dxa" w:w="65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Content Delivery Network. Non utilizzata nell’ecosistema VITES (il BFF serve il FE direttamente).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Cobol</w:t>
            </w:r>
          </w:p>
        </w:tc>
        <w:tc>
          <w:tcPr>
            <w:tcW w:type="dxa" w:w="65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Linguaggio di programmazione legacy utilizzato nei servizi Tuxedo di VIS.</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DTO</w:t>
            </w:r>
          </w:p>
        </w:tc>
        <w:tc>
          <w:tcPr>
            <w:tcW w:type="dxa" w:w="65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Data Transfer Object. Oggetto per il trasferimento di dati tra componenti software.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iFrame</w:t>
            </w:r>
          </w:p>
        </w:tc>
        <w:tc>
          <w:tcPr>
            <w:tcW w:type="dxa" w:w="65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Elemento HTML per incorporare un documento all’interno di un altro. VITES vive in Passportal tramite iFrame.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Maven</w:t>
            </w:r>
          </w:p>
        </w:tc>
        <w:tc>
          <w:tcPr>
            <w:tcW w:type="dxa" w:w="65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Build automation tool e gestore di dipendenze per progetti Java.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PEP</w:t>
            </w:r>
          </w:p>
        </w:tc>
        <w:tc>
          <w:tcPr>
            <w:tcW w:type="dxa" w:w="65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Persona Politicamente Esposta. Soggetto sottoposto a controlli antiriciclaggio rafforzati.</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PIP</w:t>
            </w:r>
          </w:p>
        </w:tc>
        <w:tc>
          <w:tcPr>
            <w:tcW w:type="dxa" w:w="65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Piano Individuale Pensionistico. Primo prodotto emesso su AIA nella migrazione da VIS.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POD</w:t>
            </w:r>
          </w:p>
        </w:tc>
        <w:tc>
          <w:tcPr>
            <w:tcW w:type="dxa" w:w="65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Unità di deployment in Kubernetes. VITES (FE+BFF) gira in un POD su cluster AKS.</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REST</w:t>
            </w:r>
          </w:p>
        </w:tc>
        <w:tc>
          <w:tcPr>
            <w:tcW w:type="dxa" w:w="65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Representational State Transfer. Stile architetturale per API web basato su HTTP.</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SAFe</w:t>
            </w:r>
          </w:p>
        </w:tc>
        <w:tc>
          <w:tcPr>
            <w:tcW w:type="dxa" w:w="65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Scaled Agile Framework. Framework per la gestione Agile di grandi organizzazioni [4].</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SALT</w:t>
            </w:r>
          </w:p>
        </w:tc>
        <w:tc>
          <w:tcPr>
            <w:tcW w:type="dxa" w:w="65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Service Architecture Leveraging Tuxedo. Gateway Oracle che espone servizi WSDL/SOAP di VIS.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SOAP</w:t>
            </w:r>
          </w:p>
        </w:tc>
        <w:tc>
          <w:tcPr>
            <w:tcW w:type="dxa" w:w="65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Simple Object Access Protocol. Protocollo basato su XML per comunicazione tra servizi.</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SPA</w:t>
            </w:r>
          </w:p>
        </w:tc>
        <w:tc>
          <w:tcPr>
            <w:tcW w:type="dxa" w:w="65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Single Page Application. Architettura frontend in cui l’applicazione è una singola pagina web (VITES è una SPA Angular).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Splunk</w:t>
            </w:r>
          </w:p>
        </w:tc>
        <w:tc>
          <w:tcPr>
            <w:tcW w:type="dxa" w:w="65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Piattaforma di centralizzazione e analisi dei log applicativi. Retention 180 giorni.</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SpringBoot</w:t>
            </w:r>
          </w:p>
        </w:tc>
        <w:tc>
          <w:tcPr>
            <w:tcW w:type="dxa" w:w="65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Framework Java per lo sviluppo di applicazioni standalone. Utilizzato per BFF e BSA.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Tuxedo</w:t>
            </w:r>
          </w:p>
        </w:tc>
        <w:tc>
          <w:tcPr>
            <w:tcW w:type="dxa" w:w="65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Oracle Tuxedo. Middleware per transazioni distribuite. Contiene i servizi Cobol di VIS.</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WSDL</w:t>
            </w:r>
          </w:p>
        </w:tc>
        <w:tc>
          <w:tcPr>
            <w:tcW w:type="dxa" w:w="65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Web Services Description Language. Linguaggio XML per la descrizione dei servizi SOAP.</w:t>
            </w:r>
          </w:p>
        </w:tc>
      </w:tr>
    </w:tbl>
    <w:p>
      <w:r>
        <w:br w:type="page"/>
      </w:r>
    </w:p>
    <w:p>
      <w:pPr>
        <w:pStyle w:val="Heading1"/>
        <w:spacing w:after="240" w:before="360" w:line="360"/>
        <w:jc w:val="both"/>
      </w:pPr>
      <w:r>
        <w:rPr>
          <w:rFonts w:ascii="Times New Roman" w:cs="Times New Roman" w:eastAsia="Times New Roman" w:hAnsi="Times New Roman"/>
          <w:b/>
          <w:bCs/>
          <w:sz w:val="28"/>
          <w:szCs w:val="28"/>
        </w:rPr>
        <w:t xml:space="preserve">Appendice B — Mapping Architettura → Incident → Root Cause</w:t>
      </w:r>
    </w:p>
    <w:p>
      <w:pPr>
        <w:spacing w:after="60"/>
      </w:pPr>
    </w:p>
    <w:p>
      <w:pPr>
        <w:spacing w:after="120" w:line="360"/>
        <w:jc w:val="both"/>
      </w:pPr>
      <w:r>
        <w:rPr>
          <w:rFonts w:ascii="Times New Roman" w:cs="Times New Roman" w:eastAsia="Times New Roman" w:hAnsi="Times New Roman"/>
          <w:b/>
          <w:bCs/>
          <w:sz w:val="24"/>
          <w:szCs w:val="24"/>
        </w:rPr>
        <w:t xml:space="preserve">Tabella 4</w:t>
      </w:r>
      <w:r>
        <w:rPr>
          <w:rFonts w:ascii="Times New Roman" w:cs="Times New Roman" w:eastAsia="Times New Roman" w:hAnsi="Times New Roman"/>
          <w:sz w:val="24"/>
          <w:szCs w:val="24"/>
        </w:rPr>
        <w:t xml:space="preserve"> — Mapping completo</w:t>
      </w:r>
    </w:p>
    <w:p>
      <w:pPr>
        <w:spacing w:after="6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200"/>
        <w:gridCol w:w="2303"/>
      </w:tblGrid>
      <w:tr>
        <w:tc>
          <w:tcPr>
            <w:tcW w:type="dxa" w:w="1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Layer</w:t>
            </w:r>
          </w:p>
        </w:tc>
        <w:tc>
          <w:tcPr>
            <w:tcW w:type="dxa" w:w="1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Capitolo</w:t>
            </w:r>
          </w:p>
        </w:tc>
        <w:tc>
          <w:tcPr>
            <w:tcW w:type="dxa" w:w="3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Root Cause</w:t>
            </w:r>
          </w:p>
        </w:tc>
        <w:tc>
          <w:tcPr>
            <w:tcW w:type="dxa" w:w="2303"/>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Tipo</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BSA Vita → AIA</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Cap. 4.2</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Timeout servizi AIA sotto carico → 504 Gateway Timeout</w:t>
            </w:r>
          </w:p>
        </w:tc>
        <w:tc>
          <w:tcPr>
            <w:tcW w:type="dxa" w:w="2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Tecnico</w:t>
            </w:r>
          </w:p>
        </w:tc>
      </w:tr>
      <w:tr>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Backend AVC</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Cap. 4.2</w:t>
            </w:r>
          </w:p>
        </w:tc>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Blocco post-AVC: works as designed (compliance PEP)</w:t>
            </w:r>
          </w:p>
        </w:tc>
        <w:tc>
          <w:tcPr>
            <w:tcW w:type="dxa" w:w="2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Business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BSA VitaLegacy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Cap. 4.3</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Mapping errato compagnia/agenzia nelle chiamate a WS VIS</w:t>
            </w:r>
          </w:p>
        </w:tc>
        <w:tc>
          <w:tcPr>
            <w:tcW w:type="dxa" w:w="2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Tecnico (codice)</w:t>
            </w:r>
          </w:p>
        </w:tc>
      </w:tr>
      <w:tr>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Passportal</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Cap. 4.3</w:t>
            </w:r>
          </w:p>
        </w:tc>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Routing errato: jump verso componente FE errato (concausa)</w:t>
            </w:r>
          </w:p>
        </w:tc>
        <w:tc>
          <w:tcPr>
            <w:tcW w:type="dxa" w:w="2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Configurazione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Servizio stampe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Cap. 4.4</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Problema temporaneo accesso DB → stampe non generate → deadlock</w:t>
            </w:r>
          </w:p>
        </w:tc>
        <w:tc>
          <w:tcPr>
            <w:tcW w:type="dxa" w:w="2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Infrastruttura</w:t>
            </w:r>
          </w:p>
        </w:tc>
      </w:tr>
      <w:tr>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BSA Anagrafe/AIA</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Cap. 4.5</w:t>
            </w:r>
          </w:p>
        </w:tc>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Mapping errato codice condizione professionale tra sistemi</w:t>
            </w:r>
          </w:p>
        </w:tc>
        <w:tc>
          <w:tcPr>
            <w:tcW w:type="dxa" w:w="2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Contratto dati</w:t>
            </w:r>
          </w:p>
        </w:tc>
      </w:tr>
    </w:tbl>
    <w:p>
      <w:r>
        <w:br w:type="page"/>
      </w:r>
    </w:p>
    <w:p>
      <w:pPr>
        <w:pStyle w:val="Heading1"/>
        <w:spacing w:after="240" w:before="360" w:line="360"/>
        <w:jc w:val="both"/>
      </w:pPr>
      <w:r>
        <w:rPr>
          <w:rFonts w:ascii="Times New Roman" w:cs="Times New Roman" w:eastAsia="Times New Roman" w:hAnsi="Times New Roman"/>
          <w:b/>
          <w:bCs/>
          <w:sz w:val="28"/>
          <w:szCs w:val="28"/>
        </w:rPr>
        <w:t xml:space="preserve">Bibliografia</w:t>
      </w:r>
    </w:p>
    <w:p>
      <w:pPr>
        <w:spacing w:after="60"/>
      </w:pPr>
    </w:p>
    <w:p>
      <w:pPr>
        <w:spacing w:after="120" w:line="360"/>
        <w:jc w:val="both"/>
      </w:pPr>
      <w:r>
        <w:rPr>
          <w:rFonts w:ascii="Times New Roman" w:cs="Times New Roman" w:eastAsia="Times New Roman" w:hAnsi="Times New Roman"/>
          <w:sz w:val="24"/>
          <w:szCs w:val="24"/>
        </w:rPr>
        <w:t xml:space="preserve">[1] Evans E.: Domain-Driven Design: Tackling Complexity in the Heart of Software. 2003. Boston: Addison-Wesley.</w:t>
      </w:r>
    </w:p>
    <w:p>
      <w:pPr>
        <w:spacing w:after="120" w:line="360"/>
        <w:jc w:val="both"/>
      </w:pPr>
      <w:r>
        <w:rPr>
          <w:rFonts w:ascii="Times New Roman" w:cs="Times New Roman" w:eastAsia="Times New Roman" w:hAnsi="Times New Roman"/>
          <w:sz w:val="24"/>
          <w:szCs w:val="24"/>
        </w:rPr>
        <w:t xml:space="preserve">[2] Newman S.: Building Microservices: Designing Fine-Grained Systems. 2021. Sebastopol: O’Reilly Media (seconda edizione).</w:t>
      </w:r>
    </w:p>
    <w:p>
      <w:pPr>
        <w:spacing w:after="120" w:line="360"/>
        <w:jc w:val="both"/>
      </w:pPr>
      <w:r>
        <w:rPr>
          <w:rFonts w:ascii="Times New Roman" w:cs="Times New Roman" w:eastAsia="Times New Roman" w:hAnsi="Times New Roman"/>
          <w:sz w:val="24"/>
          <w:szCs w:val="24"/>
        </w:rPr>
        <w:t xml:space="preserve">[3] Richardson C.: Microservices Patterns: With Examples in Java. 2018. Shelter Island: Manning Publications.</w:t>
      </w:r>
    </w:p>
    <w:p>
      <w:pPr>
        <w:spacing w:after="120" w:line="360"/>
        <w:jc w:val="both"/>
      </w:pPr>
      <w:r>
        <w:rPr>
          <w:rFonts w:ascii="Times New Roman" w:cs="Times New Roman" w:eastAsia="Times New Roman" w:hAnsi="Times New Roman"/>
          <w:sz w:val="24"/>
          <w:szCs w:val="24"/>
        </w:rPr>
        <w:t xml:space="preserve">[4] Scaled Agile Inc.: SAFe 6.0 Framework. Consultato il 15/04/2026. https://scaledagileframework.com/</w:t>
      </w:r>
    </w:p>
    <w:p>
      <w:pPr>
        <w:spacing w:after="120" w:line="360"/>
        <w:jc w:val="both"/>
      </w:pPr>
      <w:r>
        <w:rPr>
          <w:rFonts w:ascii="Times New Roman" w:cs="Times New Roman" w:eastAsia="Times New Roman" w:hAnsi="Times New Roman"/>
          <w:sz w:val="24"/>
          <w:szCs w:val="24"/>
        </w:rPr>
        <w:t xml:space="preserve">[5] Documentazione interna Reale ITES: API Management — API Architecture Blueprint v1.0.</w:t>
      </w:r>
    </w:p>
    <w:p>
      <w:pPr>
        <w:spacing w:after="120" w:line="360"/>
        <w:jc w:val="both"/>
      </w:pPr>
      <w:r>
        <w:rPr>
          <w:rFonts w:ascii="Times New Roman" w:cs="Times New Roman" w:eastAsia="Times New Roman" w:hAnsi="Times New Roman"/>
          <w:sz w:val="24"/>
          <w:szCs w:val="24"/>
        </w:rPr>
        <w:t xml:space="preserve">[6] Documentazione interna Reale ITES: VITES Descrittori Custom per UI v2.1 (22/03/2024).</w:t>
      </w:r>
    </w:p>
    <w:p>
      <w:pPr>
        <w:spacing w:after="120" w:line="360"/>
        <w:jc w:val="both"/>
      </w:pPr>
      <w:r>
        <w:rPr>
          <w:rFonts w:ascii="Times New Roman" w:cs="Times New Roman" w:eastAsia="Times New Roman" w:hAnsi="Times New Roman"/>
          <w:sz w:val="24"/>
          <w:szCs w:val="24"/>
        </w:rPr>
        <w:t xml:space="preserve">[7] Documentazione interna Reale ITES: Application Log Guidelines v7.0 (30/03/2026).</w:t>
      </w:r>
    </w:p>
    <w:p>
      <w:pPr>
        <w:spacing w:after="120" w:line="360"/>
        <w:jc w:val="both"/>
      </w:pPr>
      <w:r>
        <w:rPr>
          <w:rFonts w:ascii="Times New Roman" w:cs="Times New Roman" w:eastAsia="Times New Roman" w:hAnsi="Times New Roman"/>
          <w:sz w:val="24"/>
          <w:szCs w:val="24"/>
        </w:rPr>
        <w:t xml:space="preserve">[8] Documentazione interna Reale ITES: OX GESTLOG Log Applicativi Frontiera V6.</w:t>
      </w:r>
    </w:p>
    <w:sectPr>
      <w:headerReference w:type="default" r:id="rId7"/>
      <w:footerReference w:type="default" r:id="rId8"/>
      <w:pgSz w:w="11906" w:h="16838" w:orient="portrait"/>
      <w:pgMar w:top="1701" w:right="1418" w:bottom="1418"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i/>
        <w:iCs/>
        <w:color w:val="888888"/>
        <w:sz w:val="18"/>
        <w:szCs w:val="18"/>
      </w:rPr>
      <w:t xml:space="preserve">Tesi ITS — Achille Fomo Kamkuimo</w:t>
    </w:r>
    <w:r>
      <w:rPr>
        <w:rFonts w:ascii="Times New Roman" w:cs="Times New Roman" w:eastAsia="Times New Roman" w:hAnsi="Times New Roman"/>
        <w:i/>
        <w:iCs/>
        <w:color w:val="888888"/>
        <w:sz w:val="18"/>
        <w:szCs w:val="18"/>
      </w:rPr>
      <w:t xml:space="preserve">	Reale ITES — Ecosistema VITA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80" w:before="3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4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2026-04-27T16:55:27.674Z</dcterms:created>
  <dcterms:modified xsi:type="dcterms:W3CDTF">2026-04-27T16:55:27.675Z</dcterms:modified>
</cp:coreProperties>
</file>

<file path=docProps/custom.xml><?xml version="1.0" encoding="utf-8"?>
<Properties xmlns="http://schemas.openxmlformats.org/officeDocument/2006/custom-properties" xmlns:vt="http://schemas.openxmlformats.org/officeDocument/2006/docPropsVTypes"/>
</file>