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jc w:val="center"/>
      </w:pPr>
      <w:r>
        <w:rPr>
          <w:rFonts w:ascii="Times New Roman" w:cs="Times New Roman" w:eastAsia="Times New Roman" w:hAnsi="Times New Roman"/>
          <w:b w:val="false"/>
          <w:bCs w:val="false"/>
          <w:sz w:val="20"/>
          <w:szCs w:val="20"/>
        </w:rPr>
        <w:t xml:space="preserve">[INSERIRE LOGHI UFFICIALI ITS - dal template FOMO_KAMKUIMO_ACHILLE.doc]</w:t>
      </w:r>
    </w:p>
    <w:p>
      <w:pPr>
        <w:spacing w:after="80"/>
      </w:pPr>
    </w:p>
    <w:p>
      <w:pPr>
        <w:spacing w:after="80"/>
      </w:pPr>
    </w:p>
    <w:p>
      <w:pPr>
        <w:spacing w:after="80"/>
      </w:pPr>
    </w:p>
    <w:p>
      <w:pPr>
        <w:spacing w:after="120"/>
        <w:jc w:val="center"/>
      </w:pPr>
      <w:r>
        <w:rPr>
          <w:rFonts w:ascii="Times New Roman" w:cs="Times New Roman" w:eastAsia="Times New Roman" w:hAnsi="Times New Roman"/>
          <w:b/>
          <w:bCs/>
          <w:sz w:val="24"/>
          <w:szCs w:val="24"/>
        </w:rPr>
        <w:t xml:space="preserve">ISTITUTO TECNOLOGICO SUPERIORE ACADEMY</w:t>
      </w:r>
    </w:p>
    <w:p>
      <w:pPr>
        <w:spacing w:after="120"/>
        <w:jc w:val="center"/>
      </w:pPr>
      <w:r>
        <w:rPr>
          <w:rFonts w:ascii="Times New Roman" w:cs="Times New Roman" w:eastAsia="Times New Roman" w:hAnsi="Times New Roman"/>
          <w:b w:val="false"/>
          <w:bCs w:val="false"/>
          <w:sz w:val="22"/>
          <w:szCs w:val="22"/>
        </w:rPr>
        <w:t xml:space="preserve">PER LE TECNOLOGIE DELLA INFORMAZIONE</w:t>
      </w:r>
    </w:p>
    <w:p>
      <w:pPr>
        <w:spacing w:after="120"/>
        <w:jc w:val="center"/>
      </w:pPr>
      <w:r>
        <w:rPr>
          <w:rFonts w:ascii="Times New Roman" w:cs="Times New Roman" w:eastAsia="Times New Roman" w:hAnsi="Times New Roman"/>
          <w:b w:val="false"/>
          <w:bCs w:val="false"/>
          <w:sz w:val="22"/>
          <w:szCs w:val="22"/>
        </w:rPr>
        <w:t xml:space="preserve">E DELLA COMUNICAZIONE DEL PIEMONTE</w:t>
      </w:r>
    </w:p>
    <w:p>
      <w:pPr>
        <w:spacing w:after="80"/>
      </w:pPr>
    </w:p>
    <w:p>
      <w:pPr>
        <w:spacing w:after="120"/>
        <w:jc w:val="center"/>
      </w:pPr>
      <w:r>
        <w:rPr>
          <w:rFonts w:ascii="Times New Roman" w:cs="Times New Roman" w:eastAsia="Times New Roman" w:hAnsi="Times New Roman"/>
          <w:b w:val="false"/>
          <w:bCs w:val="false"/>
          <w:sz w:val="20"/>
          <w:szCs w:val="20"/>
        </w:rPr>
        <w:t xml:space="preserve">Sede legale: Torino, Piazza Carlo Felice 18</w:t>
      </w:r>
    </w:p>
    <w:p>
      <w:pPr>
        <w:spacing w:after="80"/>
      </w:pPr>
    </w:p>
    <w:p>
      <w:pPr>
        <w:spacing w:after="80"/>
      </w:pPr>
    </w:p>
    <w:p>
      <w:pPr>
        <w:spacing w:after="120"/>
        <w:jc w:val="center"/>
      </w:pPr>
      <w:r>
        <w:rPr>
          <w:rFonts w:ascii="Times New Roman" w:cs="Times New Roman" w:eastAsia="Times New Roman" w:hAnsi="Times New Roman"/>
          <w:b w:val="false"/>
          <w:bCs w:val="false"/>
          <w:sz w:val="20"/>
          <w:szCs w:val="20"/>
        </w:rPr>
        <w:t xml:space="preserve">DENOMINAZIONE CORSO:</w:t>
      </w:r>
    </w:p>
    <w:p>
      <w:pPr>
        <w:spacing w:after="120"/>
        <w:jc w:val="center"/>
      </w:pPr>
      <w:r>
        <w:rPr>
          <w:rFonts w:ascii="Times New Roman" w:cs="Times New Roman" w:eastAsia="Times New Roman" w:hAnsi="Times New Roman"/>
          <w:b/>
          <w:bCs/>
          <w:sz w:val="24"/>
          <w:szCs w:val="24"/>
        </w:rPr>
        <w:t xml:space="preserve">Tecnico superiore Sviluppatore software</w:t>
      </w:r>
    </w:p>
    <w:p>
      <w:pPr>
        <w:spacing w:after="120"/>
        <w:jc w:val="center"/>
      </w:pPr>
      <w:r>
        <w:rPr>
          <w:rFonts w:ascii="Times New Roman" w:cs="Times New Roman" w:eastAsia="Times New Roman" w:hAnsi="Times New Roman"/>
          <w:b/>
          <w:bCs/>
          <w:sz w:val="24"/>
          <w:szCs w:val="24"/>
        </w:rPr>
        <w:t xml:space="preserve">INSURANCE SOFTWARE DEVELOPER</w:t>
      </w:r>
    </w:p>
    <w:p>
      <w:pPr>
        <w:spacing w:after="80"/>
      </w:pPr>
    </w:p>
    <w:p>
      <w:pPr>
        <w:spacing w:after="80"/>
      </w:pPr>
    </w:p>
    <w:p>
      <w:pPr>
        <w:spacing w:after="80"/>
      </w:pPr>
    </w:p>
    <w:p>
      <w:pPr>
        <w:spacing w:after="120"/>
        <w:jc w:val="center"/>
      </w:pPr>
      <w:r>
        <w:rPr>
          <w:rFonts w:ascii="Times New Roman" w:cs="Times New Roman" w:eastAsia="Times New Roman" w:hAnsi="Times New Roman"/>
          <w:b w:val="false"/>
          <w:bCs w:val="false"/>
          <w:sz w:val="22"/>
          <w:szCs w:val="22"/>
        </w:rPr>
        <w:t xml:space="preserve">TITOLO TESI</w:t>
      </w:r>
    </w:p>
    <w:p>
      <w:pPr>
        <w:spacing w:after="80"/>
      </w:pPr>
    </w:p>
    <w:p>
      <w:pPr>
        <w:spacing w:after="120"/>
        <w:jc w:val="center"/>
      </w:pPr>
      <w:r>
        <w:rPr>
          <w:rFonts w:ascii="Times New Roman" w:cs="Times New Roman" w:eastAsia="Times New Roman" w:hAnsi="Times New Roman"/>
          <w:b/>
          <w:bCs/>
          <w:sz w:val="36"/>
          <w:szCs w:val="36"/>
        </w:rPr>
        <w:t xml:space="preserve">Application Maintenance e Troubleshooting</w:t>
      </w:r>
    </w:p>
    <w:p>
      <w:pPr>
        <w:spacing w:after="120"/>
        <w:jc w:val="center"/>
      </w:pPr>
      <w:r>
        <w:rPr>
          <w:rFonts w:ascii="Times New Roman" w:cs="Times New Roman" w:eastAsia="Times New Roman" w:hAnsi="Times New Roman"/>
          <w:b w:val="false"/>
          <w:bCs w:val="false"/>
          <w:sz w:val="28"/>
          <w:szCs w:val="28"/>
        </w:rPr>
        <w:t xml:space="preserve">nell’ecosistema VITA di Reale ITES</w:t>
      </w:r>
    </w:p>
    <w:p>
      <w:pPr>
        <w:spacing w:after="80"/>
      </w:pPr>
    </w:p>
    <w:p>
      <w:pPr>
        <w:spacing w:after="120"/>
        <w:jc w:val="center"/>
      </w:pPr>
      <w:r>
        <w:rPr>
          <w:rFonts w:ascii="Times New Roman" w:cs="Times New Roman" w:eastAsia="Times New Roman" w:hAnsi="Times New Roman"/>
          <w:b w:val="false"/>
          <w:bCs w:val="false"/>
          <w:sz w:val="24"/>
          <w:szCs w:val="24"/>
        </w:rPr>
        <w:t xml:space="preserve">Metodologia, incident e lessons learned</w:t>
      </w:r>
    </w:p>
    <w:p>
      <w:pPr>
        <w:spacing w:after="80"/>
      </w:pPr>
    </w:p>
    <w:p>
      <w:pPr>
        <w:spacing w:after="80"/>
      </w:pPr>
    </w:p>
    <w:p>
      <w:pPr>
        <w:spacing w:after="80"/>
      </w:pPr>
    </w:p>
    <w:p>
      <w:pPr>
        <w:spacing w:after="80"/>
      </w:pPr>
    </w:p>
    <w:p>
      <w:pPr>
        <w:spacing w:after="80"/>
      </w:pPr>
    </w:p>
    <w:p>
      <w:pPr>
        <w:spacing w:after="80"/>
      </w:pPr>
    </w:p>
    <w:p>
      <w:pPr>
        <w:spacing w:after="80"/>
      </w:pPr>
    </w:p>
    <w:p>
      <w:pPr>
        <w:spacing w:after="120"/>
        <w:jc w:val="center"/>
      </w:pPr>
      <w:r>
        <w:rPr>
          <w:rFonts w:ascii="Times New Roman" w:cs="Times New Roman" w:eastAsia="Times New Roman" w:hAnsi="Times New Roman"/>
          <w:b w:val="false"/>
          <w:bCs w:val="false"/>
          <w:sz w:val="22"/>
          <w:szCs w:val="22"/>
        </w:rPr>
        <w:t xml:space="preserve">Candidato</w:t>
      </w:r>
    </w:p>
    <w:p>
      <w:pPr>
        <w:spacing w:after="120"/>
        <w:jc w:val="center"/>
      </w:pPr>
      <w:r>
        <w:rPr>
          <w:rFonts w:ascii="Times New Roman" w:cs="Times New Roman" w:eastAsia="Times New Roman" w:hAnsi="Times New Roman"/>
          <w:b/>
          <w:bCs/>
          <w:sz w:val="26"/>
          <w:szCs w:val="26"/>
        </w:rPr>
        <w:t xml:space="preserve">FOMO KAMKUIMO ACHILLE</w:t>
      </w:r>
    </w:p>
    <w:p>
      <w:pPr>
        <w:spacing w:after="80"/>
      </w:pPr>
    </w:p>
    <w:p>
      <w:pPr>
        <w:spacing w:after="120"/>
        <w:jc w:val="center"/>
      </w:pPr>
      <w:r>
        <w:rPr>
          <w:rFonts w:ascii="Times New Roman" w:cs="Times New Roman" w:eastAsia="Times New Roman" w:hAnsi="Times New Roman"/>
          <w:b w:val="false"/>
          <w:bCs w:val="false"/>
          <w:sz w:val="22"/>
          <w:szCs w:val="22"/>
        </w:rPr>
        <w:t xml:space="preserve">Azienda ospitante: Reale ITES S.p.A.</w:t>
      </w:r>
    </w:p>
    <w:p>
      <w:pPr>
        <w:spacing w:after="120"/>
        <w:jc w:val="center"/>
      </w:pPr>
      <w:r>
        <w:rPr>
          <w:rFonts w:ascii="Times New Roman" w:cs="Times New Roman" w:eastAsia="Times New Roman" w:hAnsi="Times New Roman"/>
          <w:b w:val="false"/>
          <w:bCs w:val="false"/>
          <w:sz w:val="22"/>
          <w:szCs w:val="22"/>
        </w:rPr>
        <w:t xml:space="preserve">Anno Accademico 2025–2026</w:t>
      </w:r>
    </w:p>
    <w:p>
      <w:pPr>
        <w:spacing w:after="80"/>
      </w:pPr>
    </w:p>
    <w:p>
      <w:pPr>
        <w:spacing w:after="120"/>
        <w:jc w:val="center"/>
      </w:pPr>
      <w:r>
        <w:rPr>
          <w:rFonts w:ascii="Times New Roman" w:cs="Times New Roman" w:eastAsia="Times New Roman" w:hAnsi="Times New Roman"/>
          <w:b w:val="false"/>
          <w:bCs w:val="false"/>
          <w:sz w:val="18"/>
          <w:szCs w:val="18"/>
        </w:rPr>
        <w:t xml:space="preserve">[INSERIRE LOGHI: Coesione Italia 21-27 | Cofinanziato UE | Regione Piemonte]</w:t>
      </w:r>
    </w:p>
    <w:p>
      <w:pPr>
        <w:sectPr>
          <w:pgSz w:w="11906" w:h="16838" w:orient="portrait"/>
          <w:pgMar w:top="1440" w:right="1440" w:bottom="1440" w:left="1440" w:header="708" w:footer="708" w:gutter="0"/>
          <w:pgNumType/>
          <w:docGrid w:linePitch="360"/>
        </w:sectPr>
      </w:pPr>
    </w:p>
    <w:p>
      <w:pPr>
        <w:pStyle w:val="Heading1"/>
        <w:spacing w:after="240" w:before="480" w:line="360"/>
        <w:jc w:val="both"/>
      </w:pPr>
      <w:r>
        <w:rPr>
          <w:rFonts w:ascii="Times New Roman" w:cs="Times New Roman" w:eastAsia="Times New Roman" w:hAnsi="Times New Roman"/>
          <w:b/>
          <w:bCs/>
          <w:sz w:val="32"/>
          <w:szCs w:val="32"/>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line="360"/>
        <w:jc w:val="both"/>
      </w:pPr>
      <w:r>
        <w:rPr>
          <w:rFonts w:ascii="Times New Roman" w:cs="Times New Roman" w:eastAsia="Times New Roman" w:hAnsi="Times New Roman"/>
          <w:b/>
          <w:bCs/>
          <w:sz w:val="32"/>
          <w:szCs w:val="32"/>
        </w:rPr>
        <w:t xml:space="preserve">Introduzione</w:t>
      </w:r>
    </w:p>
    <w:p>
      <w:pPr>
        <w:spacing w:after="120" w:line="360"/>
        <w:jc w:val="both"/>
      </w:pPr>
      <w:r>
        <w:rPr>
          <w:rFonts w:ascii="Times New Roman" w:cs="Times New Roman" w:eastAsia="Times New Roman" w:hAnsi="Times New Roman"/>
          <w:sz w:val="24"/>
          <w:szCs w:val="24"/>
        </w:rPr>
        <w:t xml:space="preserve">Il presente lavoro di tesi viene sviluppato da Achille Fomo Kamkuimo, studente del corso Tecnico superiore Sviluppatore software — Insurance Software Developer presso l’ITS ICT Piemonte di Torino, nell’ambito del tirocinio formativo svolto in Reale ITES S.p.A., società tecnologica del Gruppo Reale Mutua.</w:t>
      </w:r>
    </w:p>
    <w:p>
      <w:pPr>
        <w:spacing w:after="120" w:line="360"/>
        <w:jc w:val="both"/>
      </w:pPr>
      <w:r>
        <w:rPr>
          <w:rFonts w:ascii="Times New Roman" w:cs="Times New Roman" w:eastAsia="Times New Roman" w:hAnsi="Times New Roman"/>
          <w:sz w:val="24"/>
          <w:szCs w:val="24"/>
        </w:rPr>
        <w:t xml:space="preserve">Il candidato ha svolto l’attività di apprendistato all’interno del team di sviluppo che gestisce l’ecosistema applicativo VITA, il quale supporta il ramo assicurativo Vita del Gruppo. Le attività operative hanno riguardato l’Application Maintenance, la gestione di incident e defect, il troubleshooting su sistemi distribuiti in produzione, lo sviluppo di piccole feature evolutive e la scrittura di unit test. Il percorso formativo — dal Camerun nel 2019, attraverso il Politecnico di Torino e l’ITS ICT, fino all’inserimento in un team di sviluppo enterprise — ha richiesto la costruzione progressiva di competenze tecniche e di contesto che vengono documentate in questa tesi.</w:t>
      </w:r>
    </w:p>
    <w:p>
      <w:pPr>
        <w:spacing w:after="120" w:line="360"/>
        <w:jc w:val="both"/>
      </w:pPr>
      <w:r>
        <w:rPr>
          <w:rFonts w:ascii="Times New Roman" w:cs="Times New Roman" w:eastAsia="Times New Roman" w:hAnsi="Times New Roman"/>
          <w:sz w:val="24"/>
          <w:szCs w:val="24"/>
        </w:rPr>
        <w:t xml:space="preserve">La tesi è organizzata in quattro capitoli. Il Capitolo 1 descrive il contesto operativo: il team, il framework SAFe adottato e i ruoli coinvolti. Il Capitolo 2 illustra l’architettura IT dell’ecosistema VITA in dettaglio, analizzando ogni layer applicativo dal punto di vista tecnico e funzionale. Il Capitolo 3 presenta il ciclo di vita del software in Reale ITES, distinguendo tra ciclo evolutivo e ciclo correttivo e descrivendo il sistema di ticketing. Il Capitolo 4 documenta le attività concrete svolte durante il tirocinio attraverso case study reali: incident, defect, troubleshooting e unit testing.</w:t>
      </w:r>
    </w:p>
    <w:p>
      <w:pPr>
        <w:spacing w:after="120" w:line="360"/>
        <w:jc w:val="both"/>
      </w:pPr>
      <w:r>
        <w:rPr>
          <w:rFonts w:ascii="Times New Roman" w:cs="Times New Roman" w:eastAsia="Times New Roman" w:hAnsi="Times New Roman"/>
          <w:sz w:val="24"/>
          <w:szCs w:val="24"/>
        </w:rPr>
        <w:t xml:space="preserve">In conformità con le policy di riservatezza aziendale, i nomi dei contraenti, i numeri di polizza, i codici interni e i nominativi dei colleghi operativi sono stati anonimizzati. Sono stati mantenuti i nomi dei sistemi applicativi, i pattern architetturali e le root cause tecniche.</w:t>
      </w:r>
    </w:p>
    <w:p>
      <w:r>
        <w:br w:type="page"/>
      </w:r>
    </w:p>
    <w:p>
      <w:pPr>
        <w:pStyle w:val="Heading1"/>
        <w:spacing w:after="240" w:before="480" w:line="360"/>
        <w:jc w:val="both"/>
      </w:pPr>
      <w:r>
        <w:rPr>
          <w:rFonts w:ascii="Times New Roman" w:cs="Times New Roman" w:eastAsia="Times New Roman" w:hAnsi="Times New Roman"/>
          <w:b/>
          <w:bCs/>
          <w:sz w:val="32"/>
          <w:szCs w:val="32"/>
        </w:rPr>
        <w:t xml:space="preserve">Capitolo 1 — Contesto Operativo e Framework SAFe</w:t>
      </w:r>
    </w:p>
    <w:p>
      <w:pPr>
        <w:pStyle w:val="Heading2"/>
        <w:spacing w:after="200" w:before="360" w:line="360"/>
        <w:jc w:val="both"/>
      </w:pPr>
      <w:r>
        <w:rPr>
          <w:rFonts w:ascii="Times New Roman" w:cs="Times New Roman" w:eastAsia="Times New Roman" w:hAnsi="Times New Roman"/>
          <w:b/>
          <w:bCs/>
          <w:sz w:val="28"/>
          <w:szCs w:val="28"/>
        </w:rPr>
        <w:t xml:space="preserve">1.1 — Il team VITA in Reale ITES</w:t>
      </w:r>
    </w:p>
    <w:p>
      <w:pPr>
        <w:spacing w:after="120" w:line="360"/>
        <w:jc w:val="both"/>
      </w:pPr>
      <w:r>
        <w:rPr>
          <w:rFonts w:ascii="Times New Roman" w:cs="Times New Roman" w:eastAsia="Times New Roman" w:hAnsi="Times New Roman"/>
          <w:sz w:val="24"/>
          <w:szCs w:val="24"/>
        </w:rPr>
        <w:t xml:space="preserve">L’attività di apprendistato si è svolta all’interno del team di sviluppo che gestisce l’ecosistema VITA. Il team è responsabile dello sviluppo evolutivo, dell’Application Maintenance e della gestione degli incident e dei defect su tutti i layer applicativi del perimetro: frontend (VITES), Backend For Frontend (BFF), Business Sidecar for API (BSA VITA e BSA VITA LEGACY) e le relative integrazioni con i sistemi di backend (AIA e VIS). Il team opera nel framework SAFe (Scaled Agile Framework) [4].</w:t>
      </w:r>
    </w:p>
    <w:p>
      <w:pPr>
        <w:pStyle w:val="Heading2"/>
        <w:spacing w:after="200" w:before="360" w:line="360"/>
        <w:jc w:val="both"/>
      </w:pPr>
      <w:r>
        <w:rPr>
          <w:rFonts w:ascii="Times New Roman" w:cs="Times New Roman" w:eastAsia="Times New Roman" w:hAnsi="Times New Roman"/>
          <w:b/>
          <w:bCs/>
          <w:sz w:val="28"/>
          <w:szCs w:val="28"/>
        </w:rPr>
        <w:t xml:space="preserve">1.2 — Ruoli nel team</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System Architect: </w:t>
      </w:r>
      <w:r>
        <w:rPr>
          <w:rFonts w:ascii="Times New Roman" w:cs="Times New Roman" w:eastAsia="Times New Roman" w:hAnsi="Times New Roman"/>
          <w:sz w:val="24"/>
          <w:szCs w:val="24"/>
        </w:rPr>
        <w:t xml:space="preserve">visione architetturale del treno Agile, standard tecnici, autorizzazione interventi in produzione. Non sviluppa codice.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IT Analyst: </w:t>
      </w:r>
      <w:r>
        <w:rPr>
          <w:rFonts w:ascii="Times New Roman" w:cs="Times New Roman" w:eastAsia="Times New Roman" w:hAnsi="Times New Roman"/>
          <w:sz w:val="24"/>
          <w:szCs w:val="24"/>
        </w:rPr>
        <w:t xml:space="preserve">requisiti tecnici, test funzionali, Help Desk di terzo livello, documentazione, presidio fornitori.</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Business Analyst: </w:t>
      </w:r>
      <w:r>
        <w:rPr>
          <w:rFonts w:ascii="Times New Roman" w:cs="Times New Roman" w:eastAsia="Times New Roman" w:hAnsi="Times New Roman"/>
          <w:sz w:val="24"/>
          <w:szCs w:val="24"/>
        </w:rPr>
        <w:t xml:space="preserve">traduzione requisiti di business in user stories, acceptance criteria e test case. Ponte tra business e team tecnico.</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Sviluppatore: </w:t>
      </w:r>
      <w:r>
        <w:rPr>
          <w:rFonts w:ascii="Times New Roman" w:cs="Times New Roman" w:eastAsia="Times New Roman" w:hAnsi="Times New Roman"/>
          <w:sz w:val="24"/>
          <w:szCs w:val="24"/>
        </w:rPr>
        <w:t xml:space="preserve">sviluppo codice, implementazione fix, unit test, troubleshooting. Il ruolo ricoperto dal candidato.</w:t>
      </w:r>
    </w:p>
    <w:p>
      <w:pPr>
        <w:pStyle w:val="Heading2"/>
        <w:spacing w:after="200" w:before="360" w:line="360"/>
        <w:jc w:val="both"/>
      </w:pPr>
      <w:r>
        <w:rPr>
          <w:rFonts w:ascii="Times New Roman" w:cs="Times New Roman" w:eastAsia="Times New Roman" w:hAnsi="Times New Roman"/>
          <w:b/>
          <w:bCs/>
          <w:sz w:val="28"/>
          <w:szCs w:val="28"/>
        </w:rPr>
        <w:t xml:space="preserve">1.3 — Cerimonie Agile</w:t>
      </w:r>
    </w:p>
    <w:p>
      <w:pPr>
        <w:pStyle w:val="ListParagraph"/>
        <w:numPr>
          <w:ilvl w:val="0"/>
          <w:numId w:val="3"/>
        </w:numPr>
        <w:spacing w:after="120" w:line="360"/>
        <w:jc w:val="both"/>
      </w:pPr>
      <w:r>
        <w:rPr>
          <w:rFonts w:ascii="Times New Roman" w:cs="Times New Roman" w:eastAsia="Times New Roman" w:hAnsi="Times New Roman"/>
          <w:b/>
          <w:bCs/>
          <w:sz w:val="24"/>
          <w:szCs w:val="24"/>
        </w:rPr>
        <w:t xml:space="preserve">Daily Scrum: </w:t>
      </w:r>
      <w:r>
        <w:rPr>
          <w:rFonts w:ascii="Times New Roman" w:cs="Times New Roman" w:eastAsia="Times New Roman" w:hAnsi="Times New Roman"/>
          <w:sz w:val="24"/>
          <w:szCs w:val="24"/>
        </w:rPr>
        <w:t xml:space="preserve">standup quotidiano, 15 minuti. Stato avanzamento, impedimenti, priorità.</w:t>
      </w:r>
    </w:p>
    <w:p>
      <w:pPr>
        <w:pStyle w:val="ListParagraph"/>
        <w:numPr>
          <w:ilvl w:val="0"/>
          <w:numId w:val="3"/>
        </w:numPr>
        <w:spacing w:after="120" w:line="360"/>
        <w:jc w:val="both"/>
      </w:pPr>
      <w:r>
        <w:rPr>
          <w:rFonts w:ascii="Times New Roman" w:cs="Times New Roman" w:eastAsia="Times New Roman" w:hAnsi="Times New Roman"/>
          <w:b/>
          <w:bCs/>
          <w:sz w:val="24"/>
          <w:szCs w:val="24"/>
        </w:rPr>
        <w:t xml:space="preserve">Sprint Planning: </w:t>
      </w:r>
      <w:r>
        <w:rPr>
          <w:rFonts w:ascii="Times New Roman" w:cs="Times New Roman" w:eastAsia="Times New Roman" w:hAnsi="Times New Roman"/>
          <w:sz w:val="24"/>
          <w:szCs w:val="24"/>
        </w:rPr>
        <w:t xml:space="preserve">pianificazione sprint (2 settimane). Backlog, assegnazione user stories, stima sforzo.</w:t>
      </w:r>
    </w:p>
    <w:p>
      <w:pPr>
        <w:pStyle w:val="ListParagraph"/>
        <w:numPr>
          <w:ilvl w:val="0"/>
          <w:numId w:val="3"/>
        </w:numPr>
        <w:spacing w:after="120" w:line="360"/>
        <w:jc w:val="both"/>
      </w:pPr>
      <w:r>
        <w:rPr>
          <w:rFonts w:ascii="Times New Roman" w:cs="Times New Roman" w:eastAsia="Times New Roman" w:hAnsi="Times New Roman"/>
          <w:b/>
          <w:bCs/>
          <w:sz w:val="24"/>
          <w:szCs w:val="24"/>
        </w:rPr>
        <w:t xml:space="preserve">PI Planning: </w:t>
      </w:r>
      <w:r>
        <w:rPr>
          <w:rFonts w:ascii="Times New Roman" w:cs="Times New Roman" w:eastAsia="Times New Roman" w:hAnsi="Times New Roman"/>
          <w:sz w:val="24"/>
          <w:szCs w:val="24"/>
        </w:rPr>
        <w:t xml:space="preserve">pianificazione trimestrale a livello di treno. Obiettivi del Program Increment, dipendenze.</w:t>
      </w:r>
    </w:p>
    <w:p>
      <w:pPr>
        <w:pStyle w:val="ListParagraph"/>
        <w:numPr>
          <w:ilvl w:val="0"/>
          <w:numId w:val="3"/>
        </w:numPr>
        <w:spacing w:after="120" w:line="360"/>
        <w:jc w:val="both"/>
      </w:pPr>
      <w:r>
        <w:rPr>
          <w:rFonts w:ascii="Times New Roman" w:cs="Times New Roman" w:eastAsia="Times New Roman" w:hAnsi="Times New Roman"/>
          <w:b/>
          <w:bCs/>
          <w:sz w:val="24"/>
          <w:szCs w:val="24"/>
        </w:rPr>
        <w:t xml:space="preserve">Sprint Review e Retrospective: </w:t>
      </w:r>
      <w:r>
        <w:rPr>
          <w:rFonts w:ascii="Times New Roman" w:cs="Times New Roman" w:eastAsia="Times New Roman" w:hAnsi="Times New Roman"/>
          <w:sz w:val="24"/>
          <w:szCs w:val="24"/>
        </w:rPr>
        <w:t xml:space="preserve">presentazione risultati e analisi retrospettiva con miglioramenti.</w:t>
      </w:r>
    </w:p>
    <w:p>
      <w:pPr>
        <w:pStyle w:val="Heading2"/>
        <w:spacing w:after="200" w:before="360" w:line="360"/>
        <w:jc w:val="both"/>
      </w:pPr>
      <w:r>
        <w:rPr>
          <w:rFonts w:ascii="Times New Roman" w:cs="Times New Roman" w:eastAsia="Times New Roman" w:hAnsi="Times New Roman"/>
          <w:b/>
          <w:bCs/>
          <w:sz w:val="28"/>
          <w:szCs w:val="28"/>
        </w:rPr>
        <w:t xml:space="preserve">1.4 — Il sistema di ticketing: incident e defect</w:t>
      </w:r>
    </w:p>
    <w:p>
      <w:pPr>
        <w:spacing w:after="120" w:line="360"/>
        <w:jc w:val="both"/>
      </w:pPr>
      <w:r>
        <w:rPr>
          <w:rFonts w:ascii="Times New Roman" w:cs="Times New Roman" w:eastAsia="Times New Roman" w:hAnsi="Times New Roman"/>
          <w:b/>
          <w:bCs/>
          <w:sz w:val="24"/>
          <w:szCs w:val="24"/>
        </w:rPr>
        <w:t xml:space="preserve">Incident: </w:t>
      </w:r>
      <w:r>
        <w:rPr>
          <w:rFonts w:ascii="Times New Roman" w:cs="Times New Roman" w:eastAsia="Times New Roman" w:hAnsi="Times New Roman"/>
          <w:sz w:val="24"/>
          <w:szCs w:val="24"/>
        </w:rPr>
        <w:t xml:space="preserve">evento imprevisto che causa interruzione o degrado del servizio in produzione. Escalation HD1 (triage) → HD2 (analisi funzionale) → HD3 (analisi tecnica, team di sviluppo).</w:t>
      </w:r>
    </w:p>
    <w:p>
      <w:pPr>
        <w:spacing w:after="120" w:line="360"/>
        <w:jc w:val="both"/>
      </w:pPr>
      <w:r>
        <w:rPr>
          <w:rFonts w:ascii="Times New Roman" w:cs="Times New Roman" w:eastAsia="Times New Roman" w:hAnsi="Times New Roman"/>
          <w:b/>
          <w:bCs/>
          <w:sz w:val="24"/>
          <w:szCs w:val="24"/>
        </w:rPr>
        <w:t xml:space="preserve">Defect: </w:t>
      </w:r>
      <w:r>
        <w:rPr>
          <w:rFonts w:ascii="Times New Roman" w:cs="Times New Roman" w:eastAsia="Times New Roman" w:hAnsi="Times New Roman"/>
          <w:sz w:val="24"/>
          <w:szCs w:val="24"/>
        </w:rPr>
        <w:t xml:space="preserve">comportamento software non conforme ai requisiti. Ciclo separato dagli incident, può coinvolgere applicativi diversi. Non necessariamente causa interruzione immediata.</w:t>
      </w:r>
    </w:p>
    <w:p>
      <w:pPr>
        <w:spacing w:after="120" w:line="360"/>
        <w:jc w:val="both"/>
      </w:pPr>
      <w:r>
        <w:rPr>
          <w:rFonts w:ascii="Times New Roman" w:cs="Times New Roman" w:eastAsia="Times New Roman" w:hAnsi="Times New Roman"/>
          <w:sz w:val="24"/>
          <w:szCs w:val="24"/>
        </w:rPr>
        <w:t xml:space="preserve">La distinzione tra incident e defect si è rivelata fondamentale nel Capitolo 4, dove un incident tecnico e un defect di compliance, segnalati contemporaneamente, si riferivano a due root cause distinte su due applicativi separati.</w:t>
      </w:r>
    </w:p>
    <w:p>
      <w:r>
        <w:br w:type="page"/>
      </w:r>
    </w:p>
    <w:p>
      <w:pPr>
        <w:pStyle w:val="Heading1"/>
        <w:spacing w:after="240" w:before="480" w:line="360"/>
        <w:jc w:val="both"/>
      </w:pPr>
      <w:r>
        <w:rPr>
          <w:rFonts w:ascii="Times New Roman" w:cs="Times New Roman" w:eastAsia="Times New Roman" w:hAnsi="Times New Roman"/>
          <w:b/>
          <w:bCs/>
          <w:sz w:val="32"/>
          <w:szCs w:val="32"/>
        </w:rPr>
        <w:t xml:space="preserve">Capitolo 2 — Architettura IT dell’Ecosistema VITA</w:t>
      </w:r>
    </w:p>
    <w:p>
      <w:pPr>
        <w:spacing w:after="120" w:line="360"/>
        <w:jc w:val="both"/>
      </w:pPr>
      <w:r>
        <w:rPr>
          <w:rFonts w:ascii="Times New Roman" w:cs="Times New Roman" w:eastAsia="Times New Roman" w:hAnsi="Times New Roman"/>
          <w:sz w:val="24"/>
          <w:szCs w:val="24"/>
        </w:rPr>
        <w:t xml:space="preserve">Questo capitolo illustra l’architettura IT dell’ecosistema VITA analizzando ogni layer dal punto di vista tecnico e funzionale.</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0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1 — Diagramma architetturale completo. Passportal (iFrame) → VITES/BFF (stesso pacchetto, POD su AKS) → BSA Vita → AIA (Oracle) / BSA VitaLegacy → VIS (SALT/Tuxedo/Cobol). Laterali: AU (BSA Anagrafe), PPEVO, Stampe. Basarsi sul diagramma SharePoint del team</w:t>
            </w:r>
          </w:p>
          <w:p>
            <w:pPr>
              <w:jc w:val="center"/>
            </w:pPr>
            <w:r>
              <w:rPr>
                <w:rFonts w:ascii="Times New Roman" w:cs="Times New Roman" w:eastAsia="Times New Roman" w:hAnsi="Times New Roman"/>
                <w:i/>
                <w:iCs/>
                <w:color w:val="888888"/>
                <w:sz w:val="20"/>
                <w:szCs w:val="20"/>
              </w:rPr>
              <w:t xml:space="preserve">Oscurare dati personali.</w:t>
            </w:r>
          </w:p>
        </w:tc>
      </w:tr>
    </w:tbl>
    <w:p>
      <w:pPr>
        <w:spacing w:after="80"/>
      </w:pPr>
    </w:p>
    <w:p>
      <w:pPr>
        <w:pStyle w:val="Heading2"/>
        <w:spacing w:after="200" w:before="360" w:line="360"/>
        <w:jc w:val="both"/>
      </w:pPr>
      <w:r>
        <w:rPr>
          <w:rFonts w:ascii="Times New Roman" w:cs="Times New Roman" w:eastAsia="Times New Roman" w:hAnsi="Times New Roman"/>
          <w:b/>
          <w:bCs/>
          <w:sz w:val="28"/>
          <w:szCs w:val="28"/>
        </w:rPr>
        <w:t xml:space="preserve">2.1 — Passportal</w:t>
      </w:r>
    </w:p>
    <w:p>
      <w:pPr>
        <w:spacing w:after="120" w:line="360"/>
        <w:jc w:val="both"/>
      </w:pPr>
      <w:r>
        <w:rPr>
          <w:rFonts w:ascii="Times New Roman" w:cs="Times New Roman" w:eastAsia="Times New Roman" w:hAnsi="Times New Roman"/>
          <w:sz w:val="24"/>
          <w:szCs w:val="24"/>
        </w:rPr>
        <w:t xml:space="preserve">Passportal è l’applicativo di front end da cui l’operatore di agenzia opera. Ospita tutti i vertical applicativi. VITES vive all’interno di Passportal tramite iFrame. Passportal gestisce il routing delle richieste (mapping URL → vertical), l’autenticazione federata SSO e il contenimento dei vertical in contesti isolati. La configurazione del jump da Passportal verso VITES deve essere mantenuta allineata con l’evoluzione dei path applicativi: un disallineamento ha generato il cluster di incident documentato nella sezione 4.3.</w:t>
      </w:r>
    </w:p>
    <w:p>
      <w:pPr>
        <w:pStyle w:val="Heading2"/>
        <w:spacing w:after="200" w:before="360" w:line="360"/>
        <w:jc w:val="both"/>
      </w:pPr>
      <w:r>
        <w:rPr>
          <w:rFonts w:ascii="Times New Roman" w:cs="Times New Roman" w:eastAsia="Times New Roman" w:hAnsi="Times New Roman"/>
          <w:b/>
          <w:bCs/>
          <w:sz w:val="28"/>
          <w:szCs w:val="28"/>
        </w:rPr>
        <w:t xml:space="preserve">2.2 — VITES e BFF</w:t>
      </w:r>
    </w:p>
    <w:p>
      <w:pPr>
        <w:spacing w:after="120" w:line="360"/>
        <w:jc w:val="both"/>
      </w:pPr>
      <w:r>
        <w:rPr>
          <w:rFonts w:ascii="Times New Roman" w:cs="Times New Roman" w:eastAsia="Times New Roman" w:hAnsi="Times New Roman"/>
          <w:b/>
          <w:bCs/>
          <w:sz w:val="24"/>
          <w:szCs w:val="24"/>
        </w:rPr>
        <w:t xml:space="preserve">VITES </w:t>
      </w:r>
      <w:r>
        <w:rPr>
          <w:rFonts w:ascii="Times New Roman" w:cs="Times New Roman" w:eastAsia="Times New Roman" w:hAnsi="Times New Roman"/>
          <w:sz w:val="24"/>
          <w:szCs w:val="24"/>
        </w:rPr>
        <w:t xml:space="preserve">è una Single Page Application scritta in </w:t>
      </w:r>
      <w:r>
        <w:rPr>
          <w:rFonts w:ascii="Times New Roman" w:cs="Times New Roman" w:eastAsia="Times New Roman" w:hAnsi="Times New Roman"/>
          <w:b/>
          <w:bCs/>
          <w:sz w:val="24"/>
          <w:szCs w:val="24"/>
        </w:rPr>
        <w:t xml:space="preserve">Angular</w:t>
      </w:r>
      <w:r>
        <w:rPr>
          <w:rFonts w:ascii="Times New Roman" w:cs="Times New Roman" w:eastAsia="Times New Roman" w:hAnsi="Times New Roman"/>
          <w:sz w:val="24"/>
          <w:szCs w:val="24"/>
        </w:rPr>
        <w:t xml:space="preserve">. Le form vengono costruite dinamicamente da descrittori JSON [6]. Il </w:t>
      </w:r>
      <w:r>
        <w:rPr>
          <w:rFonts w:ascii="Times New Roman" w:cs="Times New Roman" w:eastAsia="Times New Roman" w:hAnsi="Times New Roman"/>
          <w:b/>
          <w:bCs/>
          <w:sz w:val="24"/>
          <w:szCs w:val="24"/>
        </w:rPr>
        <w:t xml:space="preserve">BFF (Backend For Frontend) </w:t>
      </w:r>
      <w:r>
        <w:rPr>
          <w:rFonts w:ascii="Times New Roman" w:cs="Times New Roman" w:eastAsia="Times New Roman" w:hAnsi="Times New Roman"/>
          <w:sz w:val="24"/>
          <w:szCs w:val="24"/>
        </w:rPr>
        <w:t xml:space="preserve">è un’applicazione </w:t>
      </w:r>
      <w:r>
        <w:rPr>
          <w:rFonts w:ascii="Times New Roman" w:cs="Times New Roman" w:eastAsia="Times New Roman" w:hAnsi="Times New Roman"/>
          <w:b/>
          <w:bCs/>
          <w:sz w:val="24"/>
          <w:szCs w:val="24"/>
        </w:rPr>
        <w:t xml:space="preserve">Java SpringBoot</w:t>
      </w:r>
      <w:r>
        <w:rPr>
          <w:rFonts w:ascii="Times New Roman" w:cs="Times New Roman" w:eastAsia="Times New Roman" w:hAnsi="Times New Roman"/>
          <w:sz w:val="24"/>
          <w:szCs w:val="24"/>
        </w:rPr>
        <w:t xml:space="preserve"> deployata </w:t>
      </w:r>
      <w:r>
        <w:rPr>
          <w:rFonts w:ascii="Times New Roman" w:cs="Times New Roman" w:eastAsia="Times New Roman" w:hAnsi="Times New Roman"/>
          <w:b/>
          <w:bCs/>
          <w:sz w:val="24"/>
          <w:szCs w:val="24"/>
        </w:rPr>
        <w:t xml:space="preserve">nello stesso pacchetto</w:t>
      </w:r>
      <w:r>
        <w:rPr>
          <w:rFonts w:ascii="Times New Roman" w:cs="Times New Roman" w:eastAsia="Times New Roman" w:hAnsi="Times New Roman"/>
          <w:sz w:val="24"/>
          <w:szCs w:val="24"/>
        </w:rPr>
        <w:t xml:space="preserve"> del frontend. Il BFF serve il FE al client (non viene usata una CDN). Il pacchetto VITES+BFF gira in un </w:t>
      </w:r>
      <w:r>
        <w:rPr>
          <w:rFonts w:ascii="Times New Roman" w:cs="Times New Roman" w:eastAsia="Times New Roman" w:hAnsi="Times New Roman"/>
          <w:b/>
          <w:bCs/>
          <w:sz w:val="24"/>
          <w:szCs w:val="24"/>
        </w:rPr>
        <w:t xml:space="preserve">POD</w:t>
      </w:r>
      <w:r>
        <w:rPr>
          <w:rFonts w:ascii="Times New Roman" w:cs="Times New Roman" w:eastAsia="Times New Roman" w:hAnsi="Times New Roman"/>
          <w:sz w:val="24"/>
          <w:szCs w:val="24"/>
        </w:rPr>
        <w:t xml:space="preserve"> dentro un cluster </w:t>
      </w:r>
      <w:r>
        <w:rPr>
          <w:rFonts w:ascii="Times New Roman" w:cs="Times New Roman" w:eastAsia="Times New Roman" w:hAnsi="Times New Roman"/>
          <w:b/>
          <w:bCs/>
          <w:sz w:val="24"/>
          <w:szCs w:val="24"/>
        </w:rPr>
        <w:t xml:space="preserve">Azure Kubernetes Service (AKS)</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Funzioni del BFF:</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Autenticazione e autorizzazione</w:t>
      </w:r>
      <w:r>
        <w:rPr>
          <w:rFonts w:ascii="Times New Roman" w:cs="Times New Roman" w:eastAsia="Times New Roman" w:hAnsi="Times New Roman"/>
          <w:sz w:val="24"/>
          <w:szCs w:val="24"/>
        </w:rPr>
        <w:t xml:space="preserve"> della sessione utente.</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Logging</w:t>
      </w:r>
      <w:r>
        <w:rPr>
          <w:rFonts w:ascii="Times New Roman" w:cs="Times New Roman" w:eastAsia="Times New Roman" w:hAnsi="Times New Roman"/>
          <w:sz w:val="24"/>
          <w:szCs w:val="24"/>
        </w:rPr>
        <w:t xml:space="preserve"> strutturato con correlation-id, session-id, elapsed, esito [7][8].</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Invocazione dei BSA</w:t>
      </w:r>
      <w:r>
        <w:rPr>
          <w:rFonts w:ascii="Times New Roman" w:cs="Times New Roman" w:eastAsia="Times New Roman" w:hAnsi="Times New Roman"/>
          <w:sz w:val="24"/>
          <w:szCs w:val="24"/>
        </w:rPr>
        <w:t xml:space="preserve"> tramite l’endpoint /invocaBsa: il BFF wrappa request e response verso i diversi BSA (Vita, VitaLegacy, Anagrafe, Documentale, Questionario Adeguatezza, etc.).</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Orchestrazione</w:t>
      </w:r>
      <w:r>
        <w:rPr>
          <w:rFonts w:ascii="Times New Roman" w:cs="Times New Roman" w:eastAsia="Times New Roman" w:hAnsi="Times New Roman"/>
          <w:sz w:val="24"/>
          <w:szCs w:val="24"/>
        </w:rPr>
        <w:t xml:space="preserve"> in alcuni casi (es. stampe): chiamate verso più endpoint. Ma nell’architettura VITA la logica di business è spostata verso i backend (AIA, VIS).</w:t>
      </w:r>
    </w:p>
    <w:p>
      <w:pPr>
        <w:spacing w:after="120" w:line="360"/>
        <w:jc w:val="both"/>
      </w:pPr>
      <w:r>
        <w:rPr>
          <w:rFonts w:ascii="Times New Roman" w:cs="Times New Roman" w:eastAsia="Times New Roman" w:hAnsi="Times New Roman"/>
          <w:sz w:val="24"/>
          <w:szCs w:val="24"/>
        </w:rPr>
        <w:t xml:space="preserve">Il BFF non contiene logica di business propria. Funge da intermediario tra frontend e BSA, wrappando request e response.</w:t>
      </w:r>
    </w:p>
    <w:p>
      <w:pPr>
        <w:pStyle w:val="Heading2"/>
        <w:spacing w:after="200" w:before="360" w:line="360"/>
        <w:jc w:val="both"/>
      </w:pPr>
      <w:r>
        <w:rPr>
          <w:rFonts w:ascii="Times New Roman" w:cs="Times New Roman" w:eastAsia="Times New Roman" w:hAnsi="Times New Roman"/>
          <w:b/>
          <w:bCs/>
          <w:sz w:val="28"/>
          <w:szCs w:val="28"/>
        </w:rPr>
        <w:t xml:space="preserve">2.3 — BSA: Business Sidecar for API</w:t>
      </w:r>
    </w:p>
    <w:p>
      <w:pPr>
        <w:spacing w:after="120" w:line="360"/>
        <w:jc w:val="both"/>
      </w:pPr>
      <w:r>
        <w:rPr>
          <w:rFonts w:ascii="Times New Roman" w:cs="Times New Roman" w:eastAsia="Times New Roman" w:hAnsi="Times New Roman"/>
          <w:sz w:val="24"/>
          <w:szCs w:val="24"/>
        </w:rPr>
        <w:t xml:space="preserve">Ogni BSA è un’applicazione </w:t>
      </w:r>
      <w:r>
        <w:rPr>
          <w:rFonts w:ascii="Times New Roman" w:cs="Times New Roman" w:eastAsia="Times New Roman" w:hAnsi="Times New Roman"/>
          <w:b/>
          <w:bCs/>
          <w:sz w:val="24"/>
          <w:szCs w:val="24"/>
        </w:rPr>
        <w:t xml:space="preserve">Java SpringBoot</w:t>
      </w:r>
      <w:r>
        <w:rPr>
          <w:rFonts w:ascii="Times New Roman" w:cs="Times New Roman" w:eastAsia="Times New Roman" w:hAnsi="Times New Roman"/>
          <w:sz w:val="24"/>
          <w:szCs w:val="24"/>
        </w:rPr>
        <w:t xml:space="preserve"> con </w:t>
      </w:r>
      <w:r>
        <w:rPr>
          <w:rFonts w:ascii="Times New Roman" w:cs="Times New Roman" w:eastAsia="Times New Roman" w:hAnsi="Times New Roman"/>
          <w:b/>
          <w:bCs/>
          <w:sz w:val="24"/>
          <w:szCs w:val="24"/>
        </w:rPr>
        <w:t xml:space="preserve">Maven</w:t>
      </w:r>
      <w:r>
        <w:rPr>
          <w:rFonts w:ascii="Times New Roman" w:cs="Times New Roman" w:eastAsia="Times New Roman" w:hAnsi="Times New Roman"/>
          <w:sz w:val="24"/>
          <w:szCs w:val="24"/>
        </w:rPr>
        <w:t xml:space="preserve"> come build tool. Standardizza le API di un dominio di business.</w:t>
      </w:r>
    </w:p>
    <w:p>
      <w:pPr>
        <w:spacing w:after="80"/>
      </w:pPr>
    </w:p>
    <w:p>
      <w:pPr>
        <w:spacing w:after="120" w:line="360"/>
        <w:jc w:val="both"/>
      </w:pPr>
      <w:r>
        <w:rPr>
          <w:rFonts w:ascii="Times New Roman" w:cs="Times New Roman" w:eastAsia="Times New Roman" w:hAnsi="Times New Roman"/>
          <w:b/>
          <w:bCs/>
          <w:sz w:val="24"/>
          <w:szCs w:val="24"/>
        </w:rPr>
        <w:t xml:space="preserve">Tabella 1</w:t>
      </w:r>
      <w:r>
        <w:rPr>
          <w:rFonts w:ascii="Times New Roman" w:cs="Times New Roman" w:eastAsia="Times New Roman" w:hAnsi="Times New Roman"/>
          <w:sz w:val="24"/>
          <w:szCs w:val="24"/>
        </w:rPr>
        <w:t xml:space="preserve"> — BSA dell’ecosistema</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500"/>
        <w:gridCol w:w="6003"/>
      </w:tblGrid>
      <w:tr>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BSA</w:t>
            </w:r>
          </w:p>
        </w:tc>
        <w:tc>
          <w:tcPr>
            <w:tcW w:type="dxa" w:w="60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Dominio funzionale</w:t>
            </w:r>
          </w:p>
        </w:tc>
      </w:tr>
      <w:tr>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Vita</w:t>
            </w:r>
          </w:p>
        </w:tc>
        <w:tc>
          <w:tcPr>
            <w:tcW w:type="dxa" w:w="60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Standardizza API del portafoglio AIA. REST e SOAP verso AIA. NON fa operazioni dirette su DB.</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VitaLegacy</w:t>
            </w:r>
          </w:p>
        </w:tc>
        <w:tc>
          <w:tcPr>
            <w:tcW w:type="dxa" w:w="60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Invoca WS SOAP di VIS per operazioni su portafoglio legacy.</w:t>
            </w:r>
          </w:p>
        </w:tc>
      </w:tr>
      <w:tr>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Anagrafe</w:t>
            </w:r>
          </w:p>
        </w:tc>
        <w:tc>
          <w:tcPr>
            <w:tcW w:type="dxa" w:w="60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API Anagrafe Unica (SGU2/SGU8). Controlli AML.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Documentale</w:t>
            </w:r>
          </w:p>
        </w:tc>
        <w:tc>
          <w:tcPr>
            <w:tcW w:type="dxa" w:w="60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API sistema stampe e documentazione.</w:t>
            </w:r>
          </w:p>
        </w:tc>
      </w:tr>
      <w:tr>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Quest. Adeguatezza</w:t>
            </w:r>
          </w:p>
        </w:tc>
        <w:tc>
          <w:tcPr>
            <w:tcW w:type="dxa" w:w="60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Interfaccia verso PPEVO per questionari evoluti.</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ServiziComuni</w:t>
            </w:r>
          </w:p>
        </w:tc>
        <w:tc>
          <w:tcPr>
            <w:tcW w:type="dxa" w:w="60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Servizi trasversali condivisi.</w:t>
            </w:r>
          </w:p>
        </w:tc>
      </w:tr>
    </w:tbl>
    <w:p>
      <w:pPr>
        <w:spacing w:after="80"/>
      </w:pPr>
    </w:p>
    <w:p>
      <w:pPr>
        <w:spacing w:after="120" w:line="360"/>
        <w:jc w:val="both"/>
      </w:pPr>
      <w:r>
        <w:rPr>
          <w:rFonts w:ascii="Times New Roman" w:cs="Times New Roman" w:eastAsia="Times New Roman" w:hAnsi="Times New Roman"/>
          <w:sz w:val="24"/>
          <w:szCs w:val="24"/>
        </w:rPr>
        <w:t xml:space="preserve">Il </w:t>
      </w:r>
      <w:r>
        <w:rPr>
          <w:rFonts w:ascii="Times New Roman" w:cs="Times New Roman" w:eastAsia="Times New Roman" w:hAnsi="Times New Roman"/>
          <w:b/>
          <w:bCs/>
          <w:sz w:val="24"/>
          <w:szCs w:val="24"/>
        </w:rPr>
        <w:t xml:space="preserve">BSA Vita</w:t>
      </w:r>
      <w:r>
        <w:rPr>
          <w:rFonts w:ascii="Times New Roman" w:cs="Times New Roman" w:eastAsia="Times New Roman" w:hAnsi="Times New Roman"/>
          <w:sz w:val="24"/>
          <w:szCs w:val="24"/>
        </w:rPr>
        <w:t xml:space="preserve"> invoca i servizi di AIA, che contengono logica applicativa e di business e a valle eseguono operazioni sul database </w:t>
      </w:r>
      <w:r>
        <w:rPr>
          <w:rFonts w:ascii="Times New Roman" w:cs="Times New Roman" w:eastAsia="Times New Roman" w:hAnsi="Times New Roman"/>
          <w:b/>
          <w:bCs/>
          <w:sz w:val="24"/>
          <w:szCs w:val="24"/>
        </w:rPr>
        <w:t xml:space="preserve">Oracle</w:t>
      </w:r>
      <w:r>
        <w:rPr>
          <w:rFonts w:ascii="Times New Roman" w:cs="Times New Roman" w:eastAsia="Times New Roman" w:hAnsi="Times New Roman"/>
          <w:sz w:val="24"/>
          <w:szCs w:val="24"/>
        </w:rPr>
        <w:t xml:space="preserve">. Il BSA Vita non effettua mai operazioni dirette sul database.</w:t>
      </w:r>
    </w:p>
    <w:p>
      <w:pPr>
        <w:spacing w:after="120" w:line="360"/>
        <w:jc w:val="both"/>
      </w:pPr>
      <w:r>
        <w:rPr>
          <w:rFonts w:ascii="Times New Roman" w:cs="Times New Roman" w:eastAsia="Times New Roman" w:hAnsi="Times New Roman"/>
          <w:sz w:val="24"/>
          <w:szCs w:val="24"/>
        </w:rPr>
        <w:t xml:space="preserve">Il </w:t>
      </w:r>
      <w:r>
        <w:rPr>
          <w:rFonts w:ascii="Times New Roman" w:cs="Times New Roman" w:eastAsia="Times New Roman" w:hAnsi="Times New Roman"/>
          <w:b/>
          <w:bCs/>
          <w:sz w:val="24"/>
          <w:szCs w:val="24"/>
        </w:rPr>
        <w:t xml:space="preserve">BSA VitaLegacy</w:t>
      </w:r>
      <w:r>
        <w:rPr>
          <w:rFonts w:ascii="Times New Roman" w:cs="Times New Roman" w:eastAsia="Times New Roman" w:hAnsi="Times New Roman"/>
          <w:sz w:val="24"/>
          <w:szCs w:val="24"/>
        </w:rPr>
        <w:t xml:space="preserve"> invoca i web service SOAP esposti dal gateway SALT di VIS.</w:t>
      </w:r>
    </w:p>
    <w:p>
      <w:pPr>
        <w:pStyle w:val="Heading2"/>
        <w:spacing w:after="200" w:before="360" w:line="360"/>
        <w:jc w:val="both"/>
      </w:pPr>
      <w:r>
        <w:rPr>
          <w:rFonts w:ascii="Times New Roman" w:cs="Times New Roman" w:eastAsia="Times New Roman" w:hAnsi="Times New Roman"/>
          <w:b/>
          <w:bCs/>
          <w:sz w:val="28"/>
          <w:szCs w:val="28"/>
        </w:rPr>
        <w:t xml:space="preserve">2.4 — AIA: backend del portafoglio moderno</w:t>
      </w:r>
    </w:p>
    <w:p>
      <w:pPr>
        <w:spacing w:after="120" w:line="360"/>
        <w:jc w:val="both"/>
      </w:pPr>
      <w:r>
        <w:rPr>
          <w:rFonts w:ascii="Times New Roman" w:cs="Times New Roman" w:eastAsia="Times New Roman" w:hAnsi="Times New Roman"/>
          <w:sz w:val="24"/>
          <w:szCs w:val="24"/>
        </w:rPr>
        <w:t xml:space="preserve">AIA è il vero backend di una parte del portafoglio Vita. Gestisce l’emissione per il prodotto PIP (migrazione progressiva da VIS in corso) e operazioni postvendita. Database Oracle. La logica di business risiede in AIA, non nel BSA.</w:t>
      </w:r>
    </w:p>
    <w:p>
      <w:pPr>
        <w:pStyle w:val="Heading2"/>
        <w:spacing w:after="200" w:before="360" w:line="360"/>
        <w:jc w:val="both"/>
      </w:pPr>
      <w:r>
        <w:rPr>
          <w:rFonts w:ascii="Times New Roman" w:cs="Times New Roman" w:eastAsia="Times New Roman" w:hAnsi="Times New Roman"/>
          <w:b/>
          <w:bCs/>
          <w:sz w:val="28"/>
          <w:szCs w:val="28"/>
        </w:rPr>
        <w:t xml:space="preserve">2.5 — VIS: portafoglio legacy</w:t>
      </w:r>
    </w:p>
    <w:p>
      <w:pPr>
        <w:spacing w:after="120" w:line="360"/>
        <w:jc w:val="both"/>
      </w:pPr>
      <w:r>
        <w:rPr>
          <w:rFonts w:ascii="Times New Roman" w:cs="Times New Roman" w:eastAsia="Times New Roman" w:hAnsi="Times New Roman"/>
          <w:sz w:val="24"/>
          <w:szCs w:val="24"/>
        </w:rPr>
        <w:t xml:space="preserve">Database </w:t>
      </w:r>
      <w:r>
        <w:rPr>
          <w:rFonts w:ascii="Times New Roman" w:cs="Times New Roman" w:eastAsia="Times New Roman" w:hAnsi="Times New Roman"/>
          <w:b/>
          <w:bCs/>
          <w:sz w:val="24"/>
          <w:szCs w:val="24"/>
        </w:rPr>
        <w:t xml:space="preserve">Oracle SQL</w:t>
      </w:r>
      <w:r>
        <w:rPr>
          <w:rFonts w:ascii="Times New Roman" w:cs="Times New Roman" w:eastAsia="Times New Roman" w:hAnsi="Times New Roman"/>
          <w:sz w:val="24"/>
          <w:szCs w:val="24"/>
        </w:rPr>
        <w:t xml:space="preserve">. Gateway </w:t>
      </w:r>
      <w:r>
        <w:rPr>
          <w:rFonts w:ascii="Times New Roman" w:cs="Times New Roman" w:eastAsia="Times New Roman" w:hAnsi="Times New Roman"/>
          <w:b/>
          <w:bCs/>
          <w:sz w:val="24"/>
          <w:szCs w:val="24"/>
        </w:rPr>
        <w:t xml:space="preserve">Oracle SALT</w:t>
      </w:r>
      <w:r>
        <w:rPr>
          <w:rFonts w:ascii="Times New Roman" w:cs="Times New Roman" w:eastAsia="Times New Roman" w:hAnsi="Times New Roman"/>
          <w:sz w:val="24"/>
          <w:szCs w:val="24"/>
        </w:rPr>
        <w:t xml:space="preserve"> (Service Architecture Leveraging Tuxedo) espone servizi </w:t>
      </w:r>
      <w:r>
        <w:rPr>
          <w:rFonts w:ascii="Times New Roman" w:cs="Times New Roman" w:eastAsia="Times New Roman" w:hAnsi="Times New Roman"/>
          <w:b/>
          <w:bCs/>
          <w:sz w:val="24"/>
          <w:szCs w:val="24"/>
        </w:rPr>
        <w:t xml:space="preserve">WSDL/SOAP</w:t>
      </w:r>
      <w:r>
        <w:rPr>
          <w:rFonts w:ascii="Times New Roman" w:cs="Times New Roman" w:eastAsia="Times New Roman" w:hAnsi="Times New Roman"/>
          <w:sz w:val="24"/>
          <w:szCs w:val="24"/>
        </w:rPr>
        <w:t xml:space="preserve">. Lo strato </w:t>
      </w:r>
      <w:r>
        <w:rPr>
          <w:rFonts w:ascii="Times New Roman" w:cs="Times New Roman" w:eastAsia="Times New Roman" w:hAnsi="Times New Roman"/>
          <w:b/>
          <w:bCs/>
          <w:sz w:val="24"/>
          <w:szCs w:val="24"/>
        </w:rPr>
        <w:t xml:space="preserve">Oracle Tuxedo</w:t>
      </w:r>
      <w:r>
        <w:rPr>
          <w:rFonts w:ascii="Times New Roman" w:cs="Times New Roman" w:eastAsia="Times New Roman" w:hAnsi="Times New Roman"/>
          <w:sz w:val="24"/>
          <w:szCs w:val="24"/>
        </w:rPr>
        <w:t xml:space="preserve"> contiene servizi scritti in </w:t>
      </w:r>
      <w:r>
        <w:rPr>
          <w:rFonts w:ascii="Times New Roman" w:cs="Times New Roman" w:eastAsia="Times New Roman" w:hAnsi="Times New Roman"/>
          <w:b/>
          <w:bCs/>
          <w:sz w:val="24"/>
          <w:szCs w:val="24"/>
        </w:rPr>
        <w:t xml:space="preserve">Cobol</w:t>
      </w:r>
      <w:r>
        <w:rPr>
          <w:rFonts w:ascii="Times New Roman" w:cs="Times New Roman" w:eastAsia="Times New Roman" w:hAnsi="Times New Roman"/>
          <w:sz w:val="24"/>
          <w:szCs w:val="24"/>
        </w:rPr>
        <w:t xml:space="preserve">. Su VIS si effettuano operazioni di postvendita (riscatti, variazioni, consultazioni). Per il fondo pensione aperto Teseo, VIS gestisce anche l’emissione.</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0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2 — Schema VIS: Oracle SQL → SALT Gateway → WSDL/SOAP → Tuxedo → Cobol. Flusso dal BSA VitaLegacy verso SALT</w:t>
            </w:r>
          </w:p>
          <w:p>
            <w:pPr>
              <w:jc w:val="center"/>
            </w:pPr>
            <w:r>
              <w:rPr>
                <w:rFonts w:ascii="Times New Roman" w:cs="Times New Roman" w:eastAsia="Times New Roman" w:hAnsi="Times New Roman"/>
                <w:i/>
                <w:iCs/>
                <w:color w:val="888888"/>
                <w:sz w:val="20"/>
                <w:szCs w:val="20"/>
              </w:rPr>
              <w:t xml:space="preserve">Oscurare dati personali.</w:t>
            </w:r>
          </w:p>
        </w:tc>
      </w:tr>
    </w:tbl>
    <w:p>
      <w:pPr>
        <w:spacing w:after="80"/>
      </w:pPr>
    </w:p>
    <w:p>
      <w:pPr>
        <w:pStyle w:val="Heading2"/>
        <w:spacing w:after="200" w:before="360" w:line="360"/>
        <w:jc w:val="both"/>
      </w:pPr>
      <w:r>
        <w:rPr>
          <w:rFonts w:ascii="Times New Roman" w:cs="Times New Roman" w:eastAsia="Times New Roman" w:hAnsi="Times New Roman"/>
          <w:b/>
          <w:bCs/>
          <w:sz w:val="28"/>
          <w:szCs w:val="28"/>
        </w:rPr>
        <w:t xml:space="preserve">2.6 — Sistemi esterni: PPEVO, Anagrafe Unica, Stampe</w:t>
      </w:r>
    </w:p>
    <w:p>
      <w:pPr>
        <w:spacing w:after="120" w:line="360"/>
        <w:jc w:val="both"/>
      </w:pPr>
      <w:r>
        <w:rPr>
          <w:rFonts w:ascii="Times New Roman" w:cs="Times New Roman" w:eastAsia="Times New Roman" w:hAnsi="Times New Roman"/>
          <w:sz w:val="24"/>
          <w:szCs w:val="24"/>
        </w:rPr>
        <w:t xml:space="preserve">PPEVO: sistema esterno per questionari evoluti. Le chiamate BSA verso PPEVO usano codici compagnia/agenzia di login (gestione VIS polizze Teseo è trasparente per PPEVO). Anagrafe Unica (AU): gestione centralizzata dati anagrafici, accesso tramite BSA Anagrafe. Il frontend accede con codice fiscale come chiave. Stampe: generazione documenti associati alle polizze, tramite BSA Documentale.</w:t>
      </w:r>
    </w:p>
    <w:p>
      <w:pPr>
        <w:pStyle w:val="Heading2"/>
        <w:spacing w:after="200" w:before="360" w:line="360"/>
        <w:jc w:val="both"/>
      </w:pPr>
      <w:r>
        <w:rPr>
          <w:rFonts w:ascii="Times New Roman" w:cs="Times New Roman" w:eastAsia="Times New Roman" w:hAnsi="Times New Roman"/>
          <w:b/>
          <w:bCs/>
          <w:sz w:val="28"/>
          <w:szCs w:val="28"/>
        </w:rPr>
        <w:t xml:space="preserve">2.7 — Logging e observability</w:t>
      </w:r>
    </w:p>
    <w:p>
      <w:pPr>
        <w:spacing w:after="120" w:line="360"/>
        <w:jc w:val="both"/>
      </w:pPr>
      <w:r>
        <w:rPr>
          <w:rFonts w:ascii="Times New Roman" w:cs="Times New Roman" w:eastAsia="Times New Roman" w:hAnsi="Times New Roman"/>
          <w:sz w:val="24"/>
          <w:szCs w:val="24"/>
        </w:rPr>
        <w:t xml:space="preserve">Log centralizzati su Splunk, retention 180 giorni. Ogni chiamata genera record START e END con elapsed (ms), esito (OK/KO), correlation-id, session-id [7][8].</w:t>
      </w:r>
    </w:p>
    <w:p>
      <w:pPr>
        <w:spacing w:after="80"/>
      </w:pPr>
    </w:p>
    <w:p>
      <w:pPr>
        <w:spacing w:after="120" w:line="360"/>
        <w:jc w:val="both"/>
      </w:pPr>
      <w:r>
        <w:rPr>
          <w:rFonts w:ascii="Times New Roman" w:cs="Times New Roman" w:eastAsia="Times New Roman" w:hAnsi="Times New Roman"/>
          <w:b/>
          <w:bCs/>
          <w:sz w:val="24"/>
          <w:szCs w:val="24"/>
        </w:rPr>
        <w:t xml:space="preserve">Tabella 2</w:t>
      </w:r>
      <w:r>
        <w:rPr>
          <w:rFonts w:ascii="Times New Roman" w:cs="Times New Roman" w:eastAsia="Times New Roman" w:hAnsi="Times New Roman"/>
          <w:sz w:val="24"/>
          <w:szCs w:val="24"/>
        </w:rPr>
        <w:t xml:space="preserve"> — Campi log rilevanti</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703"/>
      </w:tblGrid>
      <w:tr>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Campo</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Tipo</w:t>
            </w:r>
          </w:p>
        </w:tc>
        <w:tc>
          <w:tcPr>
            <w:tcW w:type="dxa" w:w="47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Descrizione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Timestamp</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ISO 8601</w:t>
            </w:r>
          </w:p>
        </w:tc>
        <w:tc>
          <w:tcPr>
            <w:tcW w:type="dxa" w:w="47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Data e ora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Tipo record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START/END</w:t>
            </w:r>
          </w:p>
        </w:tc>
        <w:tc>
          <w:tcPr>
            <w:tcW w:type="dxa" w:w="47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Inizio o fine operazione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Elapsed</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Long (ms)</w:t>
            </w:r>
          </w:p>
        </w:tc>
        <w:tc>
          <w:tcPr>
            <w:tcW w:type="dxa" w:w="47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Tempo trascorso (solo su END)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Esito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OK/KO</w:t>
            </w:r>
          </w:p>
        </w:tc>
        <w:tc>
          <w:tcPr>
            <w:tcW w:type="dxa" w:w="47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KO = eccezione o timeout</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Correlation-ID</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UUID</w:t>
            </w:r>
          </w:p>
        </w:tc>
        <w:tc>
          <w:tcPr>
            <w:tcW w:type="dxa" w:w="47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Traccia la request attraverso i layer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Session-ID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String</w:t>
            </w:r>
          </w:p>
        </w:tc>
        <w:tc>
          <w:tcPr>
            <w:tcW w:type="dxa" w:w="47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Sessione utente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Servizio</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String</w:t>
            </w:r>
          </w:p>
        </w:tc>
        <w:tc>
          <w:tcPr>
            <w:tcW w:type="dxa" w:w="47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Endpoint e metodo HTTP</w:t>
            </w:r>
          </w:p>
        </w:tc>
      </w:tr>
    </w:tbl>
    <w:p>
      <w:pPr>
        <w:pStyle w:val="Heading2"/>
        <w:spacing w:after="200" w:before="360" w:line="360"/>
        <w:jc w:val="both"/>
      </w:pPr>
      <w:r>
        <w:rPr>
          <w:rFonts w:ascii="Times New Roman" w:cs="Times New Roman" w:eastAsia="Times New Roman" w:hAnsi="Times New Roman"/>
          <w:b/>
          <w:bCs/>
          <w:sz w:val="28"/>
          <w:szCs w:val="28"/>
        </w:rPr>
        <w:t xml:space="preserve">2.8 — Ambienti</w:t>
      </w:r>
    </w:p>
    <w:p>
      <w:pPr>
        <w:pStyle w:val="ListParagraph"/>
        <w:numPr>
          <w:ilvl w:val="0"/>
          <w:numId w:val="5"/>
        </w:numPr>
        <w:spacing w:after="120" w:line="360"/>
        <w:jc w:val="both"/>
      </w:pPr>
      <w:r>
        <w:rPr>
          <w:rFonts w:ascii="Times New Roman" w:cs="Times New Roman" w:eastAsia="Times New Roman" w:hAnsi="Times New Roman"/>
          <w:b/>
          <w:bCs/>
          <w:sz w:val="24"/>
          <w:szCs w:val="24"/>
        </w:rPr>
        <w:t xml:space="preserve">SYSR2: </w:t>
      </w:r>
      <w:r>
        <w:rPr>
          <w:rFonts w:ascii="Times New Roman" w:cs="Times New Roman" w:eastAsia="Times New Roman" w:hAnsi="Times New Roman"/>
          <w:sz w:val="24"/>
          <w:szCs w:val="24"/>
        </w:rPr>
        <w:t xml:space="preserve">ambiente di test. Replica e verifica incident.</w:t>
      </w:r>
    </w:p>
    <w:p>
      <w:pPr>
        <w:pStyle w:val="ListParagraph"/>
        <w:numPr>
          <w:ilvl w:val="0"/>
          <w:numId w:val="5"/>
        </w:numPr>
        <w:spacing w:after="120" w:line="360"/>
        <w:jc w:val="both"/>
      </w:pPr>
      <w:r>
        <w:rPr>
          <w:rFonts w:ascii="Times New Roman" w:cs="Times New Roman" w:eastAsia="Times New Roman" w:hAnsi="Times New Roman"/>
          <w:b/>
          <w:bCs/>
          <w:sz w:val="24"/>
          <w:szCs w:val="24"/>
        </w:rPr>
        <w:t xml:space="preserve">PRE PROD: </w:t>
      </w:r>
      <w:r>
        <w:rPr>
          <w:rFonts w:ascii="Times New Roman" w:cs="Times New Roman" w:eastAsia="Times New Roman" w:hAnsi="Times New Roman"/>
          <w:sz w:val="24"/>
          <w:szCs w:val="24"/>
        </w:rPr>
        <w:t xml:space="preserve">validazione finale pre-rilascio.</w:t>
      </w:r>
    </w:p>
    <w:p>
      <w:pPr>
        <w:pStyle w:val="ListParagraph"/>
        <w:numPr>
          <w:ilvl w:val="0"/>
          <w:numId w:val="5"/>
        </w:numPr>
        <w:spacing w:after="120" w:line="360"/>
        <w:jc w:val="both"/>
      </w:pPr>
      <w:r>
        <w:rPr>
          <w:rFonts w:ascii="Times New Roman" w:cs="Times New Roman" w:eastAsia="Times New Roman" w:hAnsi="Times New Roman"/>
          <w:b/>
          <w:bCs/>
          <w:sz w:val="24"/>
          <w:szCs w:val="24"/>
        </w:rPr>
        <w:t xml:space="preserve">PROD: </w:t>
      </w:r>
      <w:r>
        <w:rPr>
          <w:rFonts w:ascii="Times New Roman" w:cs="Times New Roman" w:eastAsia="Times New Roman" w:hAnsi="Times New Roman"/>
          <w:sz w:val="24"/>
          <w:szCs w:val="24"/>
        </w:rPr>
        <w:t xml:space="preserve">produzione. Interventi diretti richiedono autorizzazione System Architect.</w:t>
      </w:r>
    </w:p>
    <w:p>
      <w:r>
        <w:br w:type="page"/>
      </w:r>
    </w:p>
    <w:p>
      <w:pPr>
        <w:pStyle w:val="Heading1"/>
        <w:spacing w:after="240" w:before="480" w:line="360"/>
        <w:jc w:val="both"/>
      </w:pPr>
      <w:r>
        <w:rPr>
          <w:rFonts w:ascii="Times New Roman" w:cs="Times New Roman" w:eastAsia="Times New Roman" w:hAnsi="Times New Roman"/>
          <w:b/>
          <w:bCs/>
          <w:sz w:val="32"/>
          <w:szCs w:val="32"/>
        </w:rPr>
        <w:t xml:space="preserve">Capitolo 3 — Ciclo di Vita del Software in Reale ITES</w:t>
      </w:r>
    </w:p>
    <w:p>
      <w:pPr>
        <w:pStyle w:val="Heading2"/>
        <w:spacing w:after="200" w:before="360" w:line="360"/>
        <w:jc w:val="both"/>
      </w:pPr>
      <w:r>
        <w:rPr>
          <w:rFonts w:ascii="Times New Roman" w:cs="Times New Roman" w:eastAsia="Times New Roman" w:hAnsi="Times New Roman"/>
          <w:b/>
          <w:bCs/>
          <w:sz w:val="28"/>
          <w:szCs w:val="28"/>
        </w:rPr>
        <w:t xml:space="preserve">3.1 — Ciclo evolutivo e ciclo correttivo</w:t>
      </w:r>
    </w:p>
    <w:p>
      <w:pPr>
        <w:spacing w:after="120" w:line="360"/>
        <w:jc w:val="both"/>
      </w:pPr>
      <w:r>
        <w:rPr>
          <w:rFonts w:ascii="Times New Roman" w:cs="Times New Roman" w:eastAsia="Times New Roman" w:hAnsi="Times New Roman"/>
          <w:b/>
          <w:bCs/>
          <w:sz w:val="24"/>
          <w:szCs w:val="24"/>
        </w:rPr>
        <w:t xml:space="preserve">Ciclo evolutivo: </w:t>
      </w:r>
      <w:r>
        <w:rPr>
          <w:rFonts w:ascii="Times New Roman" w:cs="Times New Roman" w:eastAsia="Times New Roman" w:hAnsi="Times New Roman"/>
          <w:sz w:val="24"/>
          <w:szCs w:val="24"/>
        </w:rPr>
        <w:t xml:space="preserve">sviluppo nuove funzionalità. Esempio: progetto Dismissione Positiv [5] con emissione prodotto PIP su AIA (migrazione da VIS). Flusso: requisiti → analisi funzionale → sviluppo → test SYSR2 → validazione PRE PROD → rilascio PROD.</w:t>
      </w:r>
    </w:p>
    <w:p>
      <w:pPr>
        <w:spacing w:after="120" w:line="360"/>
        <w:jc w:val="both"/>
      </w:pPr>
      <w:r>
        <w:rPr>
          <w:rFonts w:ascii="Times New Roman" w:cs="Times New Roman" w:eastAsia="Times New Roman" w:hAnsi="Times New Roman"/>
          <w:b/>
          <w:bCs/>
          <w:sz w:val="24"/>
          <w:szCs w:val="24"/>
        </w:rPr>
        <w:t xml:space="preserve">Ciclo correttivo: </w:t>
      </w:r>
      <w:r>
        <w:rPr>
          <w:rFonts w:ascii="Times New Roman" w:cs="Times New Roman" w:eastAsia="Times New Roman" w:hAnsi="Times New Roman"/>
          <w:sz w:val="24"/>
          <w:szCs w:val="24"/>
        </w:rPr>
        <w:t xml:space="preserve">gestione incident e defect in produzione. Flusso: segnalazione → analisi (log, replica) → fix → test regressione → rilascio con finestra correttiva.</w:t>
      </w:r>
    </w:p>
    <w:p>
      <w:pPr>
        <w:pStyle w:val="Heading2"/>
        <w:spacing w:after="200" w:before="360" w:line="360"/>
        <w:jc w:val="both"/>
      </w:pPr>
      <w:r>
        <w:rPr>
          <w:rFonts w:ascii="Times New Roman" w:cs="Times New Roman" w:eastAsia="Times New Roman" w:hAnsi="Times New Roman"/>
          <w:b/>
          <w:bCs/>
          <w:sz w:val="28"/>
          <w:szCs w:val="28"/>
        </w:rPr>
        <w:t xml:space="preserve">3.2 — Gestione incident</w:t>
      </w:r>
    </w:p>
    <w:p>
      <w:pPr>
        <w:spacing w:after="120" w:line="360"/>
        <w:jc w:val="both"/>
      </w:pPr>
      <w:r>
        <w:rPr>
          <w:rFonts w:ascii="Times New Roman" w:cs="Times New Roman" w:eastAsia="Times New Roman" w:hAnsi="Times New Roman"/>
          <w:sz w:val="24"/>
          <w:szCs w:val="24"/>
        </w:rPr>
        <w:t xml:space="preserve">Escalation a tre livelli: HD1 (triage, classificazione), HD2 (analisi funzionale, workaround), HD3 (analisi tecnica, fix). Il team VITA opera come HD3. La qualità della segnalazione iniziale è determinante per la velocità di risoluzione.</w:t>
      </w:r>
    </w:p>
    <w:p>
      <w:pPr>
        <w:pStyle w:val="Heading2"/>
        <w:spacing w:after="200" w:before="360" w:line="360"/>
        <w:jc w:val="both"/>
      </w:pPr>
      <w:r>
        <w:rPr>
          <w:rFonts w:ascii="Times New Roman" w:cs="Times New Roman" w:eastAsia="Times New Roman" w:hAnsi="Times New Roman"/>
          <w:b/>
          <w:bCs/>
          <w:sz w:val="28"/>
          <w:szCs w:val="28"/>
        </w:rPr>
        <w:t xml:space="preserve">3.3 — Gestione defect</w:t>
      </w:r>
    </w:p>
    <w:p>
      <w:pPr>
        <w:spacing w:after="120" w:line="360"/>
        <w:jc w:val="both"/>
      </w:pPr>
      <w:r>
        <w:rPr>
          <w:rFonts w:ascii="Times New Roman" w:cs="Times New Roman" w:eastAsia="Times New Roman" w:hAnsi="Times New Roman"/>
          <w:sz w:val="24"/>
          <w:szCs w:val="24"/>
        </w:rPr>
        <w:t xml:space="preserve">Comportamento non conforme ai requisiti. Ciclo separato. Nel Capitolo 4 viene documentato un caso in cui un defect è stato chiuso come “Works as designed” perché il comportamento era intenzionale (compliance).</w:t>
      </w:r>
    </w:p>
    <w:p>
      <w:pPr>
        <w:pStyle w:val="Heading2"/>
        <w:spacing w:after="200" w:before="360" w:line="360"/>
        <w:jc w:val="both"/>
      </w:pPr>
      <w:r>
        <w:rPr>
          <w:rFonts w:ascii="Times New Roman" w:cs="Times New Roman" w:eastAsia="Times New Roman" w:hAnsi="Times New Roman"/>
          <w:b/>
          <w:bCs/>
          <w:sz w:val="28"/>
          <w:szCs w:val="28"/>
        </w:rPr>
        <w:t xml:space="preserve">3.4 — Pipeline di sviluppo e deploy</w:t>
      </w:r>
    </w:p>
    <w:p>
      <w:pPr>
        <w:pStyle w:val="ListParagraph"/>
        <w:numPr>
          <w:ilvl w:val="0"/>
          <w:numId w:val="6"/>
        </w:numPr>
        <w:spacing w:after="120" w:line="360"/>
        <w:jc w:val="both"/>
      </w:pPr>
      <w:r>
        <w:rPr>
          <w:rFonts w:ascii="Times New Roman" w:cs="Times New Roman" w:eastAsia="Times New Roman" w:hAnsi="Times New Roman"/>
          <w:b/>
          <w:bCs/>
          <w:sz w:val="24"/>
          <w:szCs w:val="24"/>
        </w:rPr>
        <w:t xml:space="preserve">Sviluppo locale: </w:t>
      </w:r>
      <w:r>
        <w:rPr>
          <w:rFonts w:ascii="Times New Roman" w:cs="Times New Roman" w:eastAsia="Times New Roman" w:hAnsi="Times New Roman"/>
          <w:sz w:val="24"/>
          <w:szCs w:val="24"/>
        </w:rPr>
        <w:t xml:space="preserve">branch locale, fix/feature, test unitari, debug.</w:t>
      </w:r>
    </w:p>
    <w:p>
      <w:pPr>
        <w:pStyle w:val="ListParagraph"/>
        <w:numPr>
          <w:ilvl w:val="0"/>
          <w:numId w:val="6"/>
        </w:numPr>
        <w:spacing w:after="120" w:line="360"/>
        <w:jc w:val="both"/>
      </w:pPr>
      <w:r>
        <w:rPr>
          <w:rFonts w:ascii="Times New Roman" w:cs="Times New Roman" w:eastAsia="Times New Roman" w:hAnsi="Times New Roman"/>
          <w:b/>
          <w:bCs/>
          <w:sz w:val="24"/>
          <w:szCs w:val="24"/>
        </w:rPr>
        <w:t xml:space="preserve">Push su Azure DevOps: </w:t>
      </w:r>
      <w:r>
        <w:rPr>
          <w:rFonts w:ascii="Times New Roman" w:cs="Times New Roman" w:eastAsia="Times New Roman" w:hAnsi="Times New Roman"/>
          <w:sz w:val="24"/>
          <w:szCs w:val="24"/>
        </w:rPr>
        <w:t xml:space="preserve">push sul repository remoto con approvazione del referente tecnico.</w:t>
      </w:r>
    </w:p>
    <w:p>
      <w:pPr>
        <w:pStyle w:val="ListParagraph"/>
        <w:numPr>
          <w:ilvl w:val="0"/>
          <w:numId w:val="6"/>
        </w:numPr>
        <w:spacing w:after="120" w:line="360"/>
        <w:jc w:val="both"/>
      </w:pPr>
      <w:r>
        <w:rPr>
          <w:rFonts w:ascii="Times New Roman" w:cs="Times New Roman" w:eastAsia="Times New Roman" w:hAnsi="Times New Roman"/>
          <w:b/>
          <w:bCs/>
          <w:sz w:val="24"/>
          <w:szCs w:val="24"/>
        </w:rPr>
        <w:t xml:space="preserve">Deploy in ambiente minore: </w:t>
      </w:r>
      <w:r>
        <w:rPr>
          <w:rFonts w:ascii="Times New Roman" w:cs="Times New Roman" w:eastAsia="Times New Roman" w:hAnsi="Times New Roman"/>
          <w:sz w:val="24"/>
          <w:szCs w:val="24"/>
        </w:rPr>
        <w:t xml:space="preserve">SYSR2 o PRE PROD per validazione.</w:t>
      </w:r>
    </w:p>
    <w:p>
      <w:pPr>
        <w:pStyle w:val="ListParagraph"/>
        <w:numPr>
          <w:ilvl w:val="0"/>
          <w:numId w:val="6"/>
        </w:numPr>
        <w:spacing w:after="120" w:line="360"/>
        <w:jc w:val="both"/>
      </w:pPr>
      <w:r>
        <w:rPr>
          <w:rFonts w:ascii="Times New Roman" w:cs="Times New Roman" w:eastAsia="Times New Roman" w:hAnsi="Times New Roman"/>
          <w:b/>
          <w:bCs/>
          <w:sz w:val="24"/>
          <w:szCs w:val="24"/>
        </w:rPr>
        <w:t xml:space="preserve">Rilascio in PROD: </w:t>
      </w:r>
      <w:r>
        <w:rPr>
          <w:rFonts w:ascii="Times New Roman" w:cs="Times New Roman" w:eastAsia="Times New Roman" w:hAnsi="Times New Roman"/>
          <w:sz w:val="24"/>
          <w:szCs w:val="24"/>
        </w:rPr>
        <w:t xml:space="preserve">finestre correttive (fix) o release evolutive (feature). Pipeline configurate su Azure DevOps.</w:t>
      </w:r>
    </w:p>
    <w:p>
      <w:pPr>
        <w:pStyle w:val="Heading2"/>
        <w:spacing w:after="200" w:before="360" w:line="360"/>
        <w:jc w:val="both"/>
      </w:pPr>
      <w:r>
        <w:rPr>
          <w:rFonts w:ascii="Times New Roman" w:cs="Times New Roman" w:eastAsia="Times New Roman" w:hAnsi="Times New Roman"/>
          <w:b/>
          <w:bCs/>
          <w:sz w:val="28"/>
          <w:szCs w:val="28"/>
        </w:rPr>
        <w:t xml:space="preserve">3.5 — Application Maintenance</w:t>
      </w:r>
    </w:p>
    <w:p>
      <w:pPr>
        <w:spacing w:after="120" w:line="360"/>
        <w:jc w:val="both"/>
      </w:pPr>
      <w:r>
        <w:rPr>
          <w:rFonts w:ascii="Times New Roman" w:cs="Times New Roman" w:eastAsia="Times New Roman" w:hAnsi="Times New Roman"/>
          <w:sz w:val="24"/>
          <w:szCs w:val="24"/>
        </w:rPr>
        <w:t xml:space="preserve">Comprende monitoraggio, gestione incident/defect, interventi correttivi, aggiornamenti di configurazione. Il candidato ha partecipato attivamente, come documentato nei case study del Capitolo 4.</w:t>
      </w:r>
    </w:p>
    <w:p>
      <w:r>
        <w:br w:type="page"/>
      </w:r>
    </w:p>
    <w:p>
      <w:pPr>
        <w:pStyle w:val="Heading1"/>
        <w:spacing w:after="240" w:before="480" w:line="360"/>
        <w:jc w:val="both"/>
      </w:pPr>
      <w:r>
        <w:rPr>
          <w:rFonts w:ascii="Times New Roman" w:cs="Times New Roman" w:eastAsia="Times New Roman" w:hAnsi="Times New Roman"/>
          <w:b/>
          <w:bCs/>
          <w:sz w:val="32"/>
          <w:szCs w:val="32"/>
        </w:rPr>
        <w:t xml:space="preserve">Capitolo 4 — Attività Svolte nel Perimetro</w:t>
      </w:r>
    </w:p>
    <w:p>
      <w:pPr>
        <w:pStyle w:val="Heading2"/>
        <w:spacing w:after="200" w:before="360" w:line="360"/>
        <w:jc w:val="both"/>
      </w:pPr>
      <w:r>
        <w:rPr>
          <w:rFonts w:ascii="Times New Roman" w:cs="Times New Roman" w:eastAsia="Times New Roman" w:hAnsi="Times New Roman"/>
          <w:b/>
          <w:bCs/>
          <w:sz w:val="28"/>
          <w:szCs w:val="28"/>
        </w:rPr>
        <w:t xml:space="preserve">4.1 — Il metodo di troubleshooting</w:t>
      </w:r>
    </w:p>
    <w:p>
      <w:pPr>
        <w:spacing w:after="120" w:line="360"/>
        <w:jc w:val="both"/>
      </w:pPr>
      <w:r>
        <w:rPr>
          <w:rFonts w:ascii="Times New Roman" w:cs="Times New Roman" w:eastAsia="Times New Roman" w:hAnsi="Times New Roman"/>
          <w:sz w:val="24"/>
          <w:szCs w:val="24"/>
        </w:rPr>
        <w:t xml:space="preserve">Il metodo di troubleshooting, appreso attraverso knowledge transfer e consolidato nella pratica:</w:t>
      </w:r>
    </w:p>
    <w:p>
      <w:pPr>
        <w:pStyle w:val="ListParagraph"/>
        <w:numPr>
          <w:ilvl w:val="0"/>
          <w:numId w:val="7"/>
        </w:numPr>
        <w:spacing w:after="120" w:line="360"/>
        <w:jc w:val="both"/>
      </w:pPr>
      <w:r>
        <w:rPr>
          <w:rFonts w:ascii="Times New Roman" w:cs="Times New Roman" w:eastAsia="Times New Roman" w:hAnsi="Times New Roman"/>
          <w:b/>
          <w:bCs/>
          <w:sz w:val="24"/>
          <w:szCs w:val="24"/>
        </w:rPr>
        <w:t xml:space="preserve">1. Analisi log Splunk: </w:t>
      </w:r>
      <w:r>
        <w:rPr>
          <w:rFonts w:ascii="Times New Roman" w:cs="Times New Roman" w:eastAsia="Times New Roman" w:hAnsi="Times New Roman"/>
          <w:sz w:val="24"/>
          <w:szCs w:val="24"/>
        </w:rPr>
        <w:t xml:space="preserve">correlation-id della request, tracciatura attraverso tutti i layer, esiti, elapsed, stack trace.</w:t>
      </w:r>
    </w:p>
    <w:p>
      <w:pPr>
        <w:pStyle w:val="ListParagraph"/>
        <w:numPr>
          <w:ilvl w:val="0"/>
          <w:numId w:val="7"/>
        </w:numPr>
        <w:spacing w:after="120" w:line="360"/>
        <w:jc w:val="both"/>
      </w:pPr>
      <w:r>
        <w:rPr>
          <w:rFonts w:ascii="Times New Roman" w:cs="Times New Roman" w:eastAsia="Times New Roman" w:hAnsi="Times New Roman"/>
          <w:b/>
          <w:bCs/>
          <w:sz w:val="24"/>
          <w:szCs w:val="24"/>
        </w:rPr>
        <w:t xml:space="preserve">2. Replica in ambiente minore: </w:t>
      </w:r>
      <w:r>
        <w:rPr>
          <w:rFonts w:ascii="Times New Roman" w:cs="Times New Roman" w:eastAsia="Times New Roman" w:hAnsi="Times New Roman"/>
          <w:sz w:val="24"/>
          <w:szCs w:val="24"/>
        </w:rPr>
        <w:t xml:space="preserve">SYSR2 o PRE PROD. Se non riproducibile: condizione legata a carico/dati/configurazione.</w:t>
      </w:r>
    </w:p>
    <w:p>
      <w:pPr>
        <w:pStyle w:val="ListParagraph"/>
        <w:numPr>
          <w:ilvl w:val="0"/>
          <w:numId w:val="7"/>
        </w:numPr>
        <w:spacing w:after="120" w:line="360"/>
        <w:jc w:val="both"/>
      </w:pPr>
      <w:r>
        <w:rPr>
          <w:rFonts w:ascii="Times New Roman" w:cs="Times New Roman" w:eastAsia="Times New Roman" w:hAnsi="Times New Roman"/>
          <w:b/>
          <w:bCs/>
          <w:sz w:val="24"/>
          <w:szCs w:val="24"/>
        </w:rPr>
        <w:t xml:space="preserve">3. Replica in locale: </w:t>
      </w:r>
      <w:r>
        <w:rPr>
          <w:rFonts w:ascii="Times New Roman" w:cs="Times New Roman" w:eastAsia="Times New Roman" w:hAnsi="Times New Roman"/>
          <w:sz w:val="24"/>
          <w:szCs w:val="24"/>
        </w:rPr>
        <w:t xml:space="preserve">se il layer è a perimetro (BFF o BSA), replica in ambiente di sviluppo locale.</w:t>
      </w:r>
    </w:p>
    <w:p>
      <w:pPr>
        <w:pStyle w:val="ListParagraph"/>
        <w:numPr>
          <w:ilvl w:val="0"/>
          <w:numId w:val="7"/>
        </w:numPr>
        <w:spacing w:after="120" w:line="360"/>
        <w:jc w:val="both"/>
      </w:pPr>
      <w:r>
        <w:rPr>
          <w:rFonts w:ascii="Times New Roman" w:cs="Times New Roman" w:eastAsia="Times New Roman" w:hAnsi="Times New Roman"/>
          <w:b/>
          <w:bCs/>
          <w:sz w:val="24"/>
          <w:szCs w:val="24"/>
        </w:rPr>
        <w:t xml:space="preserve">4. Debug e isolamento: </w:t>
      </w:r>
      <w:r>
        <w:rPr>
          <w:rFonts w:ascii="Times New Roman" w:cs="Times New Roman" w:eastAsia="Times New Roman" w:hAnsi="Times New Roman"/>
          <w:sz w:val="24"/>
          <w:szCs w:val="24"/>
        </w:rPr>
        <w:t xml:space="preserve">debug locale, identificazione componente/classe/metodo esatto, root cause.</w:t>
      </w:r>
    </w:p>
    <w:p>
      <w:pPr>
        <w:pStyle w:val="ListParagraph"/>
        <w:numPr>
          <w:ilvl w:val="0"/>
          <w:numId w:val="7"/>
        </w:numPr>
        <w:spacing w:after="120" w:line="360"/>
        <w:jc w:val="both"/>
      </w:pPr>
      <w:r>
        <w:rPr>
          <w:rFonts w:ascii="Times New Roman" w:cs="Times New Roman" w:eastAsia="Times New Roman" w:hAnsi="Times New Roman"/>
          <w:b/>
          <w:bCs/>
          <w:sz w:val="24"/>
          <w:szCs w:val="24"/>
        </w:rPr>
        <w:t xml:space="preserve">5. Fix e test: </w:t>
      </w:r>
      <w:r>
        <w:rPr>
          <w:rFonts w:ascii="Times New Roman" w:cs="Times New Roman" w:eastAsia="Times New Roman" w:hAnsi="Times New Roman"/>
          <w:sz w:val="24"/>
          <w:szCs w:val="24"/>
        </w:rPr>
        <w:t xml:space="preserve">implementazione correzione, unit test di regressione.</w:t>
      </w:r>
    </w:p>
    <w:p>
      <w:pPr>
        <w:pStyle w:val="ListParagraph"/>
        <w:numPr>
          <w:ilvl w:val="0"/>
          <w:numId w:val="7"/>
        </w:numPr>
        <w:spacing w:after="120" w:line="360"/>
        <w:jc w:val="both"/>
      </w:pPr>
      <w:r>
        <w:rPr>
          <w:rFonts w:ascii="Times New Roman" w:cs="Times New Roman" w:eastAsia="Times New Roman" w:hAnsi="Times New Roman"/>
          <w:b/>
          <w:bCs/>
          <w:sz w:val="24"/>
          <w:szCs w:val="24"/>
        </w:rPr>
        <w:t xml:space="preserve">6. Push e deploy: </w:t>
      </w:r>
      <w:r>
        <w:rPr>
          <w:rFonts w:ascii="Times New Roman" w:cs="Times New Roman" w:eastAsia="Times New Roman" w:hAnsi="Times New Roman"/>
          <w:sz w:val="24"/>
          <w:szCs w:val="24"/>
        </w:rPr>
        <w:t xml:space="preserve">push su Azure DevOps (con approvazione), deploy in ambiente minore, pipeline per PROD.</w:t>
      </w:r>
    </w:p>
    <w:p>
      <w:pPr>
        <w:pStyle w:val="ListParagraph"/>
        <w:numPr>
          <w:ilvl w:val="0"/>
          <w:numId w:val="7"/>
        </w:numPr>
        <w:spacing w:after="120" w:line="360"/>
        <w:jc w:val="both"/>
      </w:pPr>
      <w:r>
        <w:rPr>
          <w:rFonts w:ascii="Times New Roman" w:cs="Times New Roman" w:eastAsia="Times New Roman" w:hAnsi="Times New Roman"/>
          <w:b/>
          <w:bCs/>
          <w:sz w:val="24"/>
          <w:szCs w:val="24"/>
        </w:rPr>
        <w:t xml:space="preserve">7. Riassegnazione: </w:t>
      </w:r>
      <w:r>
        <w:rPr>
          <w:rFonts w:ascii="Times New Roman" w:cs="Times New Roman" w:eastAsia="Times New Roman" w:hAnsi="Times New Roman"/>
          <w:sz w:val="24"/>
          <w:szCs w:val="24"/>
        </w:rPr>
        <w:t xml:space="preserve">se il layer non è a perimetro, riassegnazione ticket e ingaggio gruppi competenza.</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0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3 — Flowchart del metodo di troubleshooting. Ricezione → Log Splunk → Replica SYSR2/PREPROD → Locale → Debug → Fix → Test → Push DevOps → Deploy. Branch: se non a perimetro → Riassegnazione</w:t>
            </w:r>
          </w:p>
          <w:p>
            <w:pPr>
              <w:jc w:val="center"/>
            </w:pPr>
            <w:r>
              <w:rPr>
                <w:rFonts w:ascii="Times New Roman" w:cs="Times New Roman" w:eastAsia="Times New Roman" w:hAnsi="Times New Roman"/>
                <w:i/>
                <w:iCs/>
                <w:color w:val="888888"/>
                <w:sz w:val="20"/>
                <w:szCs w:val="20"/>
              </w:rPr>
              <w:t xml:space="preserve">Oscurare dati personali.</w:t>
            </w:r>
          </w:p>
        </w:tc>
      </w:tr>
    </w:tbl>
    <w:p>
      <w:pPr>
        <w:spacing w:after="80"/>
      </w:pPr>
    </w:p>
    <w:p>
      <w:pPr>
        <w:pStyle w:val="Heading2"/>
        <w:spacing w:after="200" w:before="360" w:line="360"/>
        <w:jc w:val="both"/>
      </w:pPr>
      <w:r>
        <w:rPr>
          <w:rFonts w:ascii="Times New Roman" w:cs="Times New Roman" w:eastAsia="Times New Roman" w:hAnsi="Times New Roman"/>
          <w:b/>
          <w:bCs/>
          <w:sz w:val="28"/>
          <w:szCs w:val="28"/>
        </w:rPr>
        <w:t xml:space="preserve">4.2 — Case study 1: Incident AVC di gennaio 2026</w:t>
      </w:r>
    </w:p>
    <w:p>
      <w:pPr>
        <w:pStyle w:val="Heading3"/>
        <w:spacing w:after="160" w:before="280" w:line="360"/>
        <w:jc w:val="both"/>
      </w:pPr>
      <w:r>
        <w:rPr>
          <w:rFonts w:ascii="Times New Roman" w:cs="Times New Roman" w:eastAsia="Times New Roman" w:hAnsi="Times New Roman"/>
          <w:b/>
          <w:bCs/>
          <w:sz w:val="24"/>
          <w:szCs w:val="24"/>
        </w:rPr>
        <w:t xml:space="preserve">4.2.1 — Contesto</w:t>
      </w:r>
    </w:p>
    <w:p>
      <w:pPr>
        <w:spacing w:after="120" w:line="360"/>
        <w:jc w:val="both"/>
      </w:pPr>
      <w:r>
        <w:rPr>
          <w:rFonts w:ascii="Times New Roman" w:cs="Times New Roman" w:eastAsia="Times New Roman" w:hAnsi="Times New Roman"/>
          <w:sz w:val="24"/>
          <w:szCs w:val="24"/>
        </w:rPr>
        <w:t xml:space="preserve">Un operatore, compilando il questionario AVC su una polizza vita intestata a un contraente persona giuridica (“Società Alfa”), ha eseguito Calcola e Salva Profilo. Freeze completo dell’interfaccia, nessun feedback. Segnalazione respinta 2 volte per insufficienza informativa, accettata alla terza iterazione.</w:t>
      </w:r>
    </w:p>
    <w:p>
      <w:pPr>
        <w:pStyle w:val="Heading3"/>
        <w:spacing w:after="160" w:before="280" w:line="360"/>
        <w:jc w:val="both"/>
      </w:pPr>
      <w:r>
        <w:rPr>
          <w:rFonts w:ascii="Times New Roman" w:cs="Times New Roman" w:eastAsia="Times New Roman" w:hAnsi="Times New Roman"/>
          <w:b/>
          <w:bCs/>
          <w:sz w:val="24"/>
          <w:szCs w:val="24"/>
        </w:rPr>
        <w:t xml:space="preserve">4.2.2 — Timeline e analisi</w:t>
      </w:r>
    </w:p>
    <w:p>
      <w:pPr>
        <w:spacing w:after="80"/>
      </w:pPr>
    </w:p>
    <w:p>
      <w:pPr>
        <w:spacing w:after="120" w:line="360"/>
        <w:jc w:val="both"/>
      </w:pPr>
      <w:r>
        <w:rPr>
          <w:rFonts w:ascii="Times New Roman" w:cs="Times New Roman" w:eastAsia="Times New Roman" w:hAnsi="Times New Roman"/>
          <w:b/>
          <w:bCs/>
          <w:sz w:val="24"/>
          <w:szCs w:val="24"/>
        </w:rPr>
        <w:t xml:space="preserve">Tabella 3</w:t>
      </w:r>
      <w:r>
        <w:rPr>
          <w:rFonts w:ascii="Times New Roman" w:cs="Times New Roman" w:eastAsia="Times New Roman" w:hAnsi="Times New Roman"/>
          <w:sz w:val="24"/>
          <w:szCs w:val="24"/>
        </w:rPr>
        <w:t xml:space="preserve"> — Timeline incident AVC</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303"/>
      </w:tblGrid>
      <w:tr>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Tempo</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Componente</w:t>
            </w:r>
          </w:p>
        </w:tc>
        <w:tc>
          <w:tcPr>
            <w:tcW w:type="dxa" w:w="53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Evento</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T+0s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VITES</w:t>
            </w:r>
          </w:p>
        </w:tc>
        <w:tc>
          <w:tcPr>
            <w:tcW w:type="dxa" w:w="5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L’utente preme Calcola e Salva Profilo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T+0.1s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BFF</w:t>
            </w:r>
          </w:p>
        </w:tc>
        <w:tc>
          <w:tcPr>
            <w:tcW w:type="dxa" w:w="5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Inoltra al BSA Vita tramite /invocaBsa</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T+0.2s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BSA Vita</w:t>
            </w:r>
          </w:p>
        </w:tc>
        <w:tc>
          <w:tcPr>
            <w:tcW w:type="dxa" w:w="5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Invoca il servizio AVC di AIA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T+0.3s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AIA</w:t>
            </w:r>
          </w:p>
        </w:tc>
        <w:tc>
          <w:tcPr>
            <w:tcW w:type="dxa" w:w="5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Esegue logica di business, tenta scrittura su Oracle DB</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T+30s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Gateway</w:t>
            </w:r>
          </w:p>
        </w:tc>
        <w:tc>
          <w:tcPr>
            <w:tcW w:type="dxa" w:w="5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AIA non risponde entro soglia 30s. Restituisce 504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T+30.1s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BFF</w:t>
            </w:r>
          </w:p>
        </w:tc>
        <w:tc>
          <w:tcPr>
            <w:tcW w:type="dxa" w:w="5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Riceve 504. Non gestisce. Taglia la connessione</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T+30.2s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VITES</w:t>
            </w:r>
          </w:p>
        </w:tc>
        <w:tc>
          <w:tcPr>
            <w:tcW w:type="dxa" w:w="5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Non riceve né errore né conferma. Freeze</w:t>
            </w:r>
          </w:p>
        </w:tc>
      </w:tr>
    </w:tbl>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0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4 — Network Tab del browser durante il 504. Oscurare dati contraente</w:t>
            </w:r>
          </w:p>
          <w:p>
            <w:pPr>
              <w:jc w:val="center"/>
            </w:pPr>
            <w:r>
              <w:rPr>
                <w:rFonts w:ascii="Times New Roman" w:cs="Times New Roman" w:eastAsia="Times New Roman" w:hAnsi="Times New Roman"/>
                <w:i/>
                <w:iCs/>
                <w:color w:val="888888"/>
                <w:sz w:val="20"/>
                <w:szCs w:val="20"/>
              </w:rPr>
              <w:t xml:space="preserve">Oscurare dati personali.</w:t>
            </w:r>
          </w:p>
        </w:tc>
      </w:tr>
    </w:tbl>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0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5 — Log Splunk: record END con elapsed &gt; 30.000ms, esito KO, correlation-id</w:t>
            </w:r>
          </w:p>
          <w:p>
            <w:pPr>
              <w:jc w:val="center"/>
            </w:pPr>
            <w:r>
              <w:rPr>
                <w:rFonts w:ascii="Times New Roman" w:cs="Times New Roman" w:eastAsia="Times New Roman" w:hAnsi="Times New Roman"/>
                <w:i/>
                <w:iCs/>
                <w:color w:val="888888"/>
                <w:sz w:val="20"/>
                <w:szCs w:val="20"/>
              </w:rPr>
              <w:t xml:space="preserve">Oscurare dati personali.</w:t>
            </w:r>
          </w:p>
        </w:tc>
      </w:tr>
    </w:tbl>
    <w:p>
      <w:pPr>
        <w:spacing w:after="80"/>
      </w:pPr>
    </w:p>
    <w:p>
      <w:pPr>
        <w:pStyle w:val="Heading3"/>
        <w:spacing w:after="160" w:before="280" w:line="360"/>
        <w:jc w:val="both"/>
      </w:pPr>
      <w:r>
        <w:rPr>
          <w:rFonts w:ascii="Times New Roman" w:cs="Times New Roman" w:eastAsia="Times New Roman" w:hAnsi="Times New Roman"/>
          <w:b/>
          <w:bCs/>
          <w:sz w:val="24"/>
          <w:szCs w:val="24"/>
        </w:rPr>
        <w:t xml:space="preserve">4.2.3 — Root cause tecnica</w:t>
      </w:r>
    </w:p>
    <w:p>
      <w:pPr>
        <w:spacing w:after="120" w:line="360"/>
        <w:jc w:val="both"/>
      </w:pPr>
      <w:r>
        <w:rPr>
          <w:rFonts w:ascii="Times New Roman" w:cs="Times New Roman" w:eastAsia="Times New Roman" w:hAnsi="Times New Roman"/>
          <w:sz w:val="24"/>
          <w:szCs w:val="24"/>
        </w:rPr>
        <w:t xml:space="preserve">Latenza dei servizi AIA sotto carico. La procedura AVC supera i 30s del timeout gateway (non parametrizzabile dal team). Il BFF non traduce il 504 in errore strutturato → freeze VITES.</w:t>
      </w:r>
    </w:p>
    <w:p>
      <w:pPr>
        <w:pStyle w:val="Heading3"/>
        <w:spacing w:after="160" w:before="280" w:line="360"/>
        <w:jc w:val="both"/>
      </w:pPr>
      <w:r>
        <w:rPr>
          <w:rFonts w:ascii="Times New Roman" w:cs="Times New Roman" w:eastAsia="Times New Roman" w:hAnsi="Times New Roman"/>
          <w:b/>
          <w:bCs/>
          <w:sz w:val="24"/>
          <w:szCs w:val="24"/>
        </w:rPr>
        <w:t xml:space="preserve">4.2.4 — Defect di compliance: incident e defect separati</w:t>
      </w:r>
    </w:p>
    <w:p>
      <w:pPr>
        <w:spacing w:after="120" w:line="360"/>
        <w:jc w:val="both"/>
      </w:pPr>
      <w:r>
        <w:rPr>
          <w:rFonts w:ascii="Times New Roman" w:cs="Times New Roman" w:eastAsia="Times New Roman" w:hAnsi="Times New Roman"/>
          <w:sz w:val="24"/>
          <w:szCs w:val="24"/>
        </w:rPr>
        <w:t xml:space="preserve">Su un applicativo backend diverso è stato segnalato un defect: blocco funzionalità beneficiario/titolare effettivo post-AVC. Chiuso “Works as designed”: compliance normativa PEP. Incident e defect sono due fasi distinte del ciclo di vita software su applicativi separati. Confondere le root cause avrebbe significato inseguire un problema inesistente.</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C00000" w:sz="4"/>
              <w:left w:val="single" w:color="C00000" w:sz="4"/>
              <w:bottom w:val="single" w:color="C00000" w:sz="4"/>
              <w:right w:val="single" w:color="C00000" w:sz="4"/>
            </w:tcBorders>
            <w:shd w:fill="FEF5F5" w:val="clear"/>
            <w:tcMar>
              <w:top w:type="dxa" w:w="120"/>
              <w:left w:type="dxa" w:w="180"/>
              <w:bottom w:type="dxa" w:w="120"/>
              <w:right w:type="dxa" w:w="180"/>
            </w:tcMar>
          </w:tcPr>
          <w:p>
            <w:pPr>
              <w:spacing w:after="80"/>
            </w:pPr>
            <w:r>
              <w:rPr>
                <w:rFonts w:ascii="Times New Roman" w:cs="Times New Roman" w:eastAsia="Times New Roman" w:hAnsi="Times New Roman"/>
                <w:b/>
                <w:bCs/>
                <w:color w:val="C00000"/>
                <w:sz w:val="22"/>
                <w:szCs w:val="22"/>
              </w:rPr>
              <w:t xml:space="preserve">▸ Lesson learned — Root cause tecnica vs. business</w:t>
            </w:r>
          </w:p>
          <w:p>
            <w:pPr>
              <w:spacing w:after="0" w:line="360"/>
              <w:jc w:val="both"/>
            </w:pPr>
            <w:r>
              <w:rPr>
                <w:rFonts w:ascii="Times New Roman" w:cs="Times New Roman" w:eastAsia="Times New Roman" w:hAnsi="Times New Roman"/>
                <w:sz w:val="22"/>
                <w:szCs w:val="22"/>
              </w:rPr>
              <w:t xml:space="preserve">Non tutto ciò che appare come difetto lo è. Il dialogo con il Business Analyst è parte integrante del troubleshooting.</w:t>
            </w:r>
          </w:p>
        </w:tc>
      </w:tr>
    </w:tbl>
    <w:p>
      <w:pPr>
        <w:spacing w:after="80"/>
      </w:pPr>
    </w:p>
    <w:p>
      <w:pPr>
        <w:pStyle w:val="Heading2"/>
        <w:spacing w:after="200" w:before="360" w:line="360"/>
        <w:jc w:val="both"/>
      </w:pPr>
      <w:r>
        <w:rPr>
          <w:rFonts w:ascii="Times New Roman" w:cs="Times New Roman" w:eastAsia="Times New Roman" w:hAnsi="Times New Roman"/>
          <w:b/>
          <w:bCs/>
          <w:sz w:val="28"/>
          <w:szCs w:val="28"/>
        </w:rPr>
        <w:t xml:space="preserve">4.3 — Case study 2: Cluster incident portafoglio Teseo</w:t>
      </w:r>
    </w:p>
    <w:p>
      <w:pPr>
        <w:pStyle w:val="Heading3"/>
        <w:spacing w:after="160" w:before="280" w:line="360"/>
        <w:jc w:val="both"/>
      </w:pPr>
      <w:r>
        <w:rPr>
          <w:rFonts w:ascii="Times New Roman" w:cs="Times New Roman" w:eastAsia="Times New Roman" w:hAnsi="Times New Roman"/>
          <w:b/>
          <w:bCs/>
          <w:sz w:val="24"/>
          <w:szCs w:val="24"/>
        </w:rPr>
        <w:t xml:space="preserve">4.3.1 — Tre incident, una root cause</w:t>
      </w:r>
    </w:p>
    <w:p>
      <w:pPr>
        <w:spacing w:after="80"/>
      </w:pPr>
    </w:p>
    <w:p>
      <w:pPr>
        <w:spacing w:after="120" w:line="360"/>
        <w:jc w:val="both"/>
      </w:pPr>
      <w:r>
        <w:rPr>
          <w:rFonts w:ascii="Times New Roman" w:cs="Times New Roman" w:eastAsia="Times New Roman" w:hAnsi="Times New Roman"/>
          <w:b/>
          <w:bCs/>
          <w:sz w:val="24"/>
          <w:szCs w:val="24"/>
        </w:rPr>
        <w:t xml:space="preserve">Tabella 4</w:t>
      </w:r>
      <w:r>
        <w:rPr>
          <w:rFonts w:ascii="Times New Roman" w:cs="Times New Roman" w:eastAsia="Times New Roman" w:hAnsi="Times New Roman"/>
          <w:sz w:val="24"/>
          <w:szCs w:val="24"/>
        </w:rPr>
        <w:t xml:space="preserve"> — Cluster Teseo</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3303"/>
      </w:tblGrid>
      <w:tr>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Periodo</w:t>
            </w:r>
          </w:p>
        </w:tc>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Operazione</w:t>
            </w:r>
          </w:p>
        </w:tc>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Sintomo</w:t>
            </w:r>
          </w:p>
        </w:tc>
        <w:tc>
          <w:tcPr>
            <w:tcW w:type="dxa" w:w="33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Root cause</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Gen. 2026</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AVC standalone</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Non consente di proseguire</w:t>
            </w:r>
          </w:p>
        </w:tc>
        <w:tc>
          <w:tcPr>
            <w:tcW w:type="dxa" w:w="3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Consultazione con agenzia di login, incompatibile con VIS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Feb. 2026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ADV F. Pensione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Pagina bianca</w:t>
            </w:r>
          </w:p>
        </w:tc>
        <w:tc>
          <w:tcPr>
            <w:tcW w:type="dxa" w:w="3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Medesima: agenzia errata verso WS VIS</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Mar. 2026</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ADV standalone</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Pagina bianca</w:t>
            </w:r>
          </w:p>
        </w:tc>
        <w:tc>
          <w:tcPr>
            <w:tcW w:type="dxa" w:w="3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Medesima root cause</w:t>
            </w:r>
          </w:p>
        </w:tc>
      </w:tr>
    </w:tbl>
    <w:p>
      <w:pPr>
        <w:pStyle w:val="Heading3"/>
        <w:spacing w:after="160" w:before="280" w:line="360"/>
        <w:jc w:val="both"/>
      </w:pPr>
      <w:r>
        <w:rPr>
          <w:rFonts w:ascii="Times New Roman" w:cs="Times New Roman" w:eastAsia="Times New Roman" w:hAnsi="Times New Roman"/>
          <w:b/>
          <w:bCs/>
          <w:sz w:val="24"/>
          <w:szCs w:val="24"/>
        </w:rPr>
        <w:t xml:space="preserve">4.3.2 — Root cause: mapping compagnia/agenzia</w:t>
      </w:r>
    </w:p>
    <w:p>
      <w:pPr>
        <w:spacing w:after="120" w:line="360"/>
        <w:jc w:val="both"/>
      </w:pPr>
      <w:r>
        <w:rPr>
          <w:rFonts w:ascii="Times New Roman" w:cs="Times New Roman" w:eastAsia="Times New Roman" w:hAnsi="Times New Roman"/>
          <w:sz w:val="24"/>
          <w:szCs w:val="24"/>
        </w:rPr>
        <w:t xml:space="preserve">Le polizze Teseo per una delle compagnie del gruppo vengono registrate nel DB VIS sotto un codice compagnia differente e un’agenzia dedicata di servizio. Il BSA effettuava la chiamata con l’agenzia di login dell’operatore. Il gateway SALT di VIS, non trovando la polizza, restituiva payload vuoto con 200 OK. Il frontend rendeva pagina bianca.</w:t>
      </w:r>
    </w:p>
    <w:p>
      <w:pPr>
        <w:pStyle w:val="Heading3"/>
        <w:spacing w:after="160" w:before="280" w:line="360"/>
        <w:jc w:val="both"/>
      </w:pPr>
      <w:r>
        <w:rPr>
          <w:rFonts w:ascii="Times New Roman" w:cs="Times New Roman" w:eastAsia="Times New Roman" w:hAnsi="Times New Roman"/>
          <w:b/>
          <w:bCs/>
          <w:sz w:val="24"/>
          <w:szCs w:val="24"/>
        </w:rPr>
        <w:t xml:space="preserve">4.3.3 — Evoluzione dell’analisi</w:t>
      </w:r>
    </w:p>
    <w:p>
      <w:pPr>
        <w:spacing w:after="120" w:line="360"/>
        <w:jc w:val="both"/>
      </w:pPr>
      <w:r>
        <w:rPr>
          <w:rFonts w:ascii="Times New Roman" w:cs="Times New Roman" w:eastAsia="Times New Roman" w:hAnsi="Times New Roman"/>
          <w:sz w:val="24"/>
          <w:szCs w:val="24"/>
        </w:rPr>
        <w:t xml:space="preserve">Prima ipotesi: routing errato in Passportal (concausa). Analisi approfondita su Splunk: la root cause primaria risiedeva nel BSA, che non sostituiva i codici compagnia/agenzia. Anche con routing corretto, la chiamata sarebbe fallita. Troubleshooting iterativo: la prima root cause identificata non è necessariamente quella corretta.</w:t>
      </w:r>
    </w:p>
    <w:p>
      <w:pPr>
        <w:pStyle w:val="Heading3"/>
        <w:spacing w:after="160" w:before="280" w:line="360"/>
        <w:jc w:val="both"/>
      </w:pPr>
      <w:r>
        <w:rPr>
          <w:rFonts w:ascii="Times New Roman" w:cs="Times New Roman" w:eastAsia="Times New Roman" w:hAnsi="Times New Roman"/>
          <w:b/>
          <w:bCs/>
          <w:sz w:val="24"/>
          <w:szCs w:val="24"/>
        </w:rPr>
        <w:t xml:space="preserve">4.3.4 — Soluzione implementata</w:t>
      </w:r>
    </w:p>
    <w:p>
      <w:pPr>
        <w:spacing w:after="120" w:line="360"/>
        <w:jc w:val="both"/>
      </w:pPr>
      <w:r>
        <w:rPr>
          <w:rFonts w:ascii="Times New Roman" w:cs="Times New Roman" w:eastAsia="Times New Roman" w:hAnsi="Times New Roman"/>
          <w:sz w:val="24"/>
          <w:szCs w:val="24"/>
        </w:rPr>
        <w:t xml:space="preserve">Modifica software su VITES e BSA VitaLegacy. Sostituzione codici compagnia/agenzia delegata al BSA su tutti gli endpoint:</w:t>
      </w:r>
    </w:p>
    <w:p>
      <w:pPr>
        <w:pStyle w:val="ListParagraph"/>
        <w:numPr>
          <w:ilvl w:val="0"/>
          <w:numId w:val="8"/>
        </w:numPr>
        <w:spacing w:after="120" w:line="360"/>
        <w:jc w:val="both"/>
      </w:pPr>
      <w:r>
        <w:rPr>
          <w:rFonts w:ascii="Times New Roman" w:cs="Times New Roman" w:eastAsia="Times New Roman" w:hAnsi="Times New Roman"/>
          <w:b/>
          <w:bCs/>
          <w:sz w:val="24"/>
          <w:szCs w:val="24"/>
        </w:rPr>
        <w:t xml:space="preserve">Consultazione polizza: </w:t>
      </w:r>
      <w:r>
        <w:rPr>
          <w:rFonts w:ascii="Times New Roman" w:cs="Times New Roman" w:eastAsia="Times New Roman" w:hAnsi="Times New Roman"/>
          <w:sz w:val="24"/>
          <w:szCs w:val="24"/>
        </w:rPr>
        <w:t xml:space="preserve">sostituzione immediata nel controller BSA. Si riflette sulla request XML verso WS VIS.</w:t>
      </w:r>
    </w:p>
    <w:p>
      <w:pPr>
        <w:pStyle w:val="ListParagraph"/>
        <w:numPr>
          <w:ilvl w:val="0"/>
          <w:numId w:val="8"/>
        </w:numPr>
        <w:spacing w:after="120" w:line="360"/>
        <w:jc w:val="both"/>
      </w:pPr>
      <w:r>
        <w:rPr>
          <w:rFonts w:ascii="Times New Roman" w:cs="Times New Roman" w:eastAsia="Times New Roman" w:hAnsi="Times New Roman"/>
          <w:b/>
          <w:bCs/>
          <w:sz w:val="24"/>
          <w:szCs w:val="24"/>
        </w:rPr>
        <w:t xml:space="preserve">Salvataggio AVC: </w:t>
      </w:r>
      <w:r>
        <w:rPr>
          <w:rFonts w:ascii="Times New Roman" w:cs="Times New Roman" w:eastAsia="Times New Roman" w:hAnsi="Times New Roman"/>
          <w:sz w:val="24"/>
          <w:szCs w:val="24"/>
        </w:rPr>
        <w:t xml:space="preserve">sostituzione selettiva. Verso WS VIS: si sostituisce. Verso REST PPEVO: codici di login mantenuti (gestione VIS trasparente per PPEVO).</w:t>
      </w:r>
    </w:p>
    <w:p>
      <w:pPr>
        <w:pStyle w:val="ListParagraph"/>
        <w:numPr>
          <w:ilvl w:val="0"/>
          <w:numId w:val="8"/>
        </w:numPr>
        <w:spacing w:after="120" w:line="360"/>
        <w:jc w:val="both"/>
      </w:pPr>
      <w:r>
        <w:rPr>
          <w:rFonts w:ascii="Times New Roman" w:cs="Times New Roman" w:eastAsia="Times New Roman" w:hAnsi="Times New Roman"/>
          <w:b/>
          <w:bCs/>
          <w:sz w:val="24"/>
          <w:szCs w:val="24"/>
        </w:rPr>
        <w:t xml:space="preserve">Anagrafiche: </w:t>
      </w:r>
      <w:r>
        <w:rPr>
          <w:rFonts w:ascii="Times New Roman" w:cs="Times New Roman" w:eastAsia="Times New Roman" w:hAnsi="Times New Roman"/>
          <w:sz w:val="24"/>
          <w:szCs w:val="24"/>
        </w:rPr>
        <w:t xml:space="preserve">duplicazione controllata. AU con agenzia login, tabelle VIS con agenzia dedicata, accomunate da codice fiscale. Chiamate AU dal frontend via codice fiscale come chiave.</w:t>
      </w:r>
    </w:p>
    <w:p>
      <w:pPr>
        <w:spacing w:after="120" w:line="360"/>
        <w:jc w:val="both"/>
      </w:pPr>
      <w:r>
        <w:rPr>
          <w:rFonts w:ascii="Times New Roman" w:cs="Times New Roman" w:eastAsia="Times New Roman" w:hAnsi="Times New Roman"/>
          <w:sz w:val="24"/>
          <w:szCs w:val="24"/>
        </w:rPr>
        <w:t xml:space="preserve">Test e2e positivi in PRE PROD. Rilascio con finestra correttiva aprile 2026.</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dashed" w:color="888888" w:sz="2"/>
              <w:left w:val="dashed" w:color="888888" w:sz="2"/>
              <w:bottom w:val="dashed" w:color="888888" w:sz="2"/>
              <w:right w:val="dashed" w:color="888888" w:sz="2"/>
            </w:tcBorders>
            <w:shd w:fill="FAFAFA" w:val="clear"/>
            <w:tcMar>
              <w:top w:type="dxa" w:w="200"/>
              <w:left w:type="dxa" w:w="200"/>
              <w:bottom w:type="dxa" w:w="200"/>
              <w:right w:type="dxa" w:w="200"/>
            </w:tcMar>
          </w:tcPr>
          <w:p>
            <w:pPr>
              <w:spacing w:after="100"/>
              <w:jc w:val="center"/>
            </w:pPr>
            <w:r>
              <w:rPr>
                <w:rFonts w:ascii="Times New Roman" w:cs="Times New Roman" w:eastAsia="Times New Roman" w:hAnsi="Times New Roman"/>
                <w:b/>
                <w:bCs/>
                <w:color w:val="888888"/>
                <w:sz w:val="22"/>
                <w:szCs w:val="22"/>
              </w:rPr>
              <w:t xml:space="preserve">[INSERIRE SCREENSHOT / DIAGRAMMA]</w:t>
            </w:r>
          </w:p>
          <w:p>
            <w:pPr>
              <w:spacing w:after="80"/>
              <w:jc w:val="center"/>
            </w:pPr>
            <w:r>
              <w:rPr>
                <w:rFonts w:ascii="Times New Roman" w:cs="Times New Roman" w:eastAsia="Times New Roman" w:hAnsi="Times New Roman"/>
                <w:b/>
                <w:bCs/>
                <w:sz w:val="22"/>
                <w:szCs w:val="22"/>
              </w:rPr>
              <w:t xml:space="preserve">Fig. 6 — Schema sostituzione codici nel BSA VitaLegacy. Prima: agenzia login → payload vuoto. Dopo: sostituzione nel BSA → payload corretto. Selettività VIS vs PPEVO</w:t>
            </w:r>
          </w:p>
          <w:p>
            <w:pPr>
              <w:jc w:val="center"/>
            </w:pPr>
            <w:r>
              <w:rPr>
                <w:rFonts w:ascii="Times New Roman" w:cs="Times New Roman" w:eastAsia="Times New Roman" w:hAnsi="Times New Roman"/>
                <w:i/>
                <w:iCs/>
                <w:color w:val="888888"/>
                <w:sz w:val="20"/>
                <w:szCs w:val="20"/>
              </w:rPr>
              <w:t xml:space="preserve">Oscurare dati personali.</w:t>
            </w:r>
          </w:p>
        </w:tc>
      </w:tr>
    </w:tbl>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C00000" w:sz="4"/>
              <w:left w:val="single" w:color="C00000" w:sz="4"/>
              <w:bottom w:val="single" w:color="C00000" w:sz="4"/>
              <w:right w:val="single" w:color="C00000" w:sz="4"/>
            </w:tcBorders>
            <w:shd w:fill="FEF5F5" w:val="clear"/>
            <w:tcMar>
              <w:top w:type="dxa" w:w="120"/>
              <w:left w:type="dxa" w:w="180"/>
              <w:bottom w:type="dxa" w:w="120"/>
              <w:right w:type="dxa" w:w="180"/>
            </w:tcMar>
          </w:tcPr>
          <w:p>
            <w:pPr>
              <w:spacing w:after="80"/>
            </w:pPr>
            <w:r>
              <w:rPr>
                <w:rFonts w:ascii="Times New Roman" w:cs="Times New Roman" w:eastAsia="Times New Roman" w:hAnsi="Times New Roman"/>
                <w:b/>
                <w:bCs/>
                <w:color w:val="C00000"/>
                <w:sz w:val="22"/>
                <w:szCs w:val="22"/>
              </w:rPr>
              <w:t xml:space="preserve">▸ Lesson learned — Documentazione tecnica</w:t>
            </w:r>
          </w:p>
          <w:p>
            <w:pPr>
              <w:spacing w:after="0" w:line="360"/>
              <w:jc w:val="both"/>
            </w:pPr>
            <w:r>
              <w:rPr>
                <w:rFonts w:ascii="Times New Roman" w:cs="Times New Roman" w:eastAsia="Times New Roman" w:hAnsi="Times New Roman"/>
                <w:sz w:val="22"/>
                <w:szCs w:val="22"/>
              </w:rPr>
              <w:t xml:space="preserve">La documentazione tecnica sulla mappatura compagnia/agenzia era assente o lacunosa. Questo ha rallentato l’analisi e generato l’ipotesi iniziale errata. La lesson learned: la documentazione tecnica, quando mancante, è essa stessa un debito tecnico.</w:t>
            </w:r>
          </w:p>
        </w:tc>
      </w:tr>
    </w:tbl>
    <w:p>
      <w:pPr>
        <w:spacing w:after="80"/>
      </w:pPr>
    </w:p>
    <w:p>
      <w:pPr>
        <w:pStyle w:val="Heading2"/>
        <w:spacing w:after="200" w:before="360" w:line="360"/>
        <w:jc w:val="both"/>
      </w:pPr>
      <w:r>
        <w:rPr>
          <w:rFonts w:ascii="Times New Roman" w:cs="Times New Roman" w:eastAsia="Times New Roman" w:hAnsi="Times New Roman"/>
          <w:b/>
          <w:bCs/>
          <w:sz w:val="28"/>
          <w:szCs w:val="28"/>
        </w:rPr>
        <w:t xml:space="preserve">4.4 — Case study 3: Incident di data integrity</w:t>
      </w:r>
    </w:p>
    <w:p>
      <w:pPr>
        <w:spacing w:after="120" w:line="360"/>
        <w:jc w:val="both"/>
      </w:pPr>
      <w:r>
        <w:rPr>
          <w:rFonts w:ascii="Times New Roman" w:cs="Times New Roman" w:eastAsia="Times New Roman" w:hAnsi="Times New Roman"/>
          <w:sz w:val="24"/>
          <w:szCs w:val="24"/>
        </w:rPr>
        <w:t xml:space="preserve">Nel febbraio 2026 un operatore ha segnalato l’assenza della documentazione di un riscatto totale. Le stampe non erano state generate per un problema temporaneo di accesso al DB del servizio di stampa (confermato dal referente tecnico). Deadlock: il frontend non permette la rigenerazione perché l’operazione è già completata.</w:t>
      </w:r>
    </w:p>
    <w:p>
      <w:pPr>
        <w:spacing w:after="120" w:line="360"/>
        <w:jc w:val="both"/>
      </w:pPr>
      <w:r>
        <w:rPr>
          <w:rFonts w:ascii="Times New Roman" w:cs="Times New Roman" w:eastAsia="Times New Roman" w:hAnsi="Times New Roman"/>
          <w:sz w:val="24"/>
          <w:szCs w:val="24"/>
        </w:rPr>
        <w:t xml:space="preserve">Soluzione: il candidato ha eseguito una chiamata GET diretta in PROD per rigenerare le stampe richiamando le API fallite, previa autorizzazione esplicita del System Architect. Intervento coordinato a tre mani.</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C00000" w:sz="4"/>
              <w:left w:val="single" w:color="C00000" w:sz="4"/>
              <w:bottom w:val="single" w:color="C00000" w:sz="4"/>
              <w:right w:val="single" w:color="C00000" w:sz="4"/>
            </w:tcBorders>
            <w:shd w:fill="FEF5F5" w:val="clear"/>
            <w:tcMar>
              <w:top w:type="dxa" w:w="120"/>
              <w:left w:type="dxa" w:w="180"/>
              <w:bottom w:type="dxa" w:w="120"/>
              <w:right w:type="dxa" w:w="180"/>
            </w:tcMar>
          </w:tcPr>
          <w:p>
            <w:pPr>
              <w:spacing w:after="80"/>
            </w:pPr>
            <w:r>
              <w:rPr>
                <w:rFonts w:ascii="Times New Roman" w:cs="Times New Roman" w:eastAsia="Times New Roman" w:hAnsi="Times New Roman"/>
                <w:b/>
                <w:bCs/>
                <w:color w:val="C00000"/>
                <w:sz w:val="22"/>
                <w:szCs w:val="22"/>
              </w:rPr>
              <w:t xml:space="preserve">▸ Lesson learned — Interventi in produzione e system design</w:t>
            </w:r>
          </w:p>
          <w:p>
            <w:pPr>
              <w:spacing w:after="0" w:line="360"/>
              <w:jc w:val="both"/>
            </w:pPr>
            <w:r>
              <w:rPr>
                <w:rFonts w:ascii="Times New Roman" w:cs="Times New Roman" w:eastAsia="Times New Roman" w:hAnsi="Times New Roman"/>
                <w:sz w:val="22"/>
                <w:szCs w:val="22"/>
              </w:rPr>
              <w:t xml:space="preserve">Gli interventi in PROD richiedono autorizzazione e coordinamento. Dal punto di vista del system design, un meccanismo di retry automatico per le stampe fallite eviterebbe il deadlock.</w:t>
            </w:r>
          </w:p>
        </w:tc>
      </w:tr>
    </w:tbl>
    <w:p>
      <w:pPr>
        <w:spacing w:after="80"/>
      </w:pPr>
    </w:p>
    <w:p>
      <w:pPr>
        <w:pStyle w:val="Heading2"/>
        <w:spacing w:after="200" w:before="360" w:line="360"/>
        <w:jc w:val="both"/>
      </w:pPr>
      <w:r>
        <w:rPr>
          <w:rFonts w:ascii="Times New Roman" w:cs="Times New Roman" w:eastAsia="Times New Roman" w:hAnsi="Times New Roman"/>
          <w:b/>
          <w:bCs/>
          <w:sz w:val="28"/>
          <w:szCs w:val="28"/>
        </w:rPr>
        <w:t xml:space="preserve">4.5 — Gestione defect: mapping anagrafico</w:t>
      </w:r>
    </w:p>
    <w:p>
      <w:pPr>
        <w:spacing w:after="120" w:line="360"/>
        <w:jc w:val="both"/>
      </w:pPr>
      <w:r>
        <w:rPr>
          <w:rFonts w:ascii="Times New Roman" w:cs="Times New Roman" w:eastAsia="Times New Roman" w:hAnsi="Times New Roman"/>
          <w:sz w:val="24"/>
          <w:szCs w:val="24"/>
        </w:rPr>
        <w:t xml:space="preserve">Defect di mapping tra BSA Anagrafe e AIA: il campo codice condizione professionale ha tabelle di decodifica differenti tra i due sistemi. Lo stesso codice corrisponde a descrizioni diverse. Fix: allineamento tabelle, intervento coordinato tra team. La coerenza semantica tra sistemi eterogenei è una responsabilità esplicita.</w:t>
      </w:r>
    </w:p>
    <w:p>
      <w:pPr>
        <w:pStyle w:val="Heading2"/>
        <w:spacing w:after="200" w:before="360" w:line="360"/>
        <w:jc w:val="both"/>
      </w:pPr>
      <w:r>
        <w:rPr>
          <w:rFonts w:ascii="Times New Roman" w:cs="Times New Roman" w:eastAsia="Times New Roman" w:hAnsi="Times New Roman"/>
          <w:b/>
          <w:bCs/>
          <w:sz w:val="28"/>
          <w:szCs w:val="28"/>
        </w:rPr>
        <w:t xml:space="preserve">4.6 — Unit testing</w:t>
      </w:r>
    </w:p>
    <w:p>
      <w:pPr>
        <w:spacing w:after="120" w:line="360"/>
        <w:jc w:val="both"/>
      </w:pPr>
      <w:r>
        <w:rPr>
          <w:rFonts w:ascii="Times New Roman" w:cs="Times New Roman" w:eastAsia="Times New Roman" w:hAnsi="Times New Roman"/>
          <w:sz w:val="24"/>
          <w:szCs w:val="24"/>
        </w:rPr>
        <w:t xml:space="preserve">Attività di scrittura unit test per il BSA con JUnit e Mockito su SpringBoot. Verifica comportamento degli endpoint con mock dei servizi backend.</w:t>
      </w:r>
    </w:p>
    <w:p>
      <w:pPr>
        <w:spacing w:after="120" w:line="360"/>
        <w:jc w:val="both"/>
      </w:pPr>
      <w:r>
        <w:rPr>
          <w:rFonts w:ascii="Times New Roman" w:cs="Times New Roman" w:eastAsia="Times New Roman" w:hAnsi="Times New Roman"/>
          <w:sz w:val="24"/>
          <w:szCs w:val="24"/>
        </w:rPr>
        <w:t xml:space="preserve">Vantaggi:</w:t>
      </w:r>
    </w:p>
    <w:p>
      <w:pPr>
        <w:pStyle w:val="ListParagraph"/>
        <w:numPr>
          <w:ilvl w:val="0"/>
          <w:numId w:val="9"/>
        </w:numPr>
        <w:spacing w:after="120" w:line="360"/>
        <w:jc w:val="both"/>
      </w:pPr>
      <w:r>
        <w:rPr>
          <w:rFonts w:ascii="Times New Roman" w:cs="Times New Roman" w:eastAsia="Times New Roman" w:hAnsi="Times New Roman"/>
          <w:sz w:val="24"/>
          <w:szCs w:val="24"/>
        </w:rPr>
        <w:t xml:space="preserve">Individuazione precoce di errori nella logica del controller.</w:t>
      </w:r>
    </w:p>
    <w:p>
      <w:pPr>
        <w:pStyle w:val="ListParagraph"/>
        <w:numPr>
          <w:ilvl w:val="0"/>
          <w:numId w:val="9"/>
        </w:numPr>
        <w:spacing w:after="120" w:line="360"/>
        <w:jc w:val="both"/>
      </w:pPr>
      <w:r>
        <w:rPr>
          <w:rFonts w:ascii="Times New Roman" w:cs="Times New Roman" w:eastAsia="Times New Roman" w:hAnsi="Times New Roman"/>
          <w:sz w:val="24"/>
          <w:szCs w:val="24"/>
        </w:rPr>
        <w:t xml:space="preserve">Verifica formato response, prevenendo errori come tipo di ritorno errato nel catch.</w:t>
      </w:r>
    </w:p>
    <w:p>
      <w:pPr>
        <w:pStyle w:val="ListParagraph"/>
        <w:numPr>
          <w:ilvl w:val="0"/>
          <w:numId w:val="9"/>
        </w:numPr>
        <w:spacing w:after="120" w:line="360"/>
        <w:jc w:val="both"/>
      </w:pPr>
      <w:r>
        <w:rPr>
          <w:rFonts w:ascii="Times New Roman" w:cs="Times New Roman" w:eastAsia="Times New Roman" w:hAnsi="Times New Roman"/>
          <w:sz w:val="24"/>
          <w:szCs w:val="24"/>
        </w:rPr>
        <w:t xml:space="preserve">Documentazione eseguibile del comportamento atteso.</w:t>
      </w:r>
    </w:p>
    <w:p>
      <w:pPr>
        <w:pStyle w:val="ListParagraph"/>
        <w:numPr>
          <w:ilvl w:val="0"/>
          <w:numId w:val="9"/>
        </w:numPr>
        <w:spacing w:after="120" w:line="360"/>
        <w:jc w:val="both"/>
      </w:pPr>
      <w:r>
        <w:rPr>
          <w:rFonts w:ascii="Times New Roman" w:cs="Times New Roman" w:eastAsia="Times New Roman" w:hAnsi="Times New Roman"/>
          <w:sz w:val="24"/>
          <w:szCs w:val="24"/>
        </w:rPr>
        <w:t xml:space="preserve">Riduzione tempo di regressione dopo un fix.</w:t>
      </w:r>
    </w:p>
    <w:p>
      <w:pPr>
        <w:spacing w:after="120" w:line="360"/>
        <w:jc w:val="both"/>
      </w:pPr>
      <w:r>
        <w:rPr>
          <w:rFonts w:ascii="Times New Roman" w:cs="Times New Roman" w:eastAsia="Times New Roman" w:hAnsi="Times New Roman"/>
          <w:sz w:val="24"/>
          <w:szCs w:val="24"/>
        </w:rPr>
        <w:t xml:space="preserve">Proposta di estensione: test di integrazione sulla catena BFF → BSA → backend con mock dei servizi esterni. Avrebbe intercettato il tipo di ritorno errato nel BSA VitaLegacy. Contract testing tra BSA e backend ridurrebbe il rischio di disallineamento semantico.</w:t>
      </w:r>
    </w:p>
    <w:p>
      <w:r>
        <w:br w:type="page"/>
      </w:r>
    </w:p>
    <w:p>
      <w:pPr>
        <w:pStyle w:val="Heading1"/>
        <w:spacing w:after="240" w:before="480" w:line="360"/>
        <w:jc w:val="both"/>
      </w:pPr>
      <w:r>
        <w:rPr>
          <w:rFonts w:ascii="Times New Roman" w:cs="Times New Roman" w:eastAsia="Times New Roman" w:hAnsi="Times New Roman"/>
          <w:b/>
          <w:bCs/>
          <w:sz w:val="32"/>
          <w:szCs w:val="32"/>
        </w:rPr>
        <w:t xml:space="preserve">Conclusioni</w:t>
      </w:r>
    </w:p>
    <w:p>
      <w:pPr>
        <w:pStyle w:val="Heading2"/>
        <w:spacing w:after="200" w:before="360" w:line="360"/>
        <w:jc w:val="both"/>
      </w:pPr>
      <w:r>
        <w:rPr>
          <w:rFonts w:ascii="Times New Roman" w:cs="Times New Roman" w:eastAsia="Times New Roman" w:hAnsi="Times New Roman"/>
          <w:b/>
          <w:bCs/>
          <w:sz w:val="28"/>
          <w:szCs w:val="28"/>
        </w:rPr>
        <w:t xml:space="preserve">Competenze acquisite</w:t>
      </w:r>
    </w:p>
    <w:p>
      <w:pPr>
        <w:pStyle w:val="ListParagraph"/>
        <w:numPr>
          <w:ilvl w:val="0"/>
          <w:numId w:val="10"/>
        </w:numPr>
        <w:spacing w:after="120" w:line="360"/>
        <w:jc w:val="both"/>
      </w:pPr>
      <w:r>
        <w:rPr>
          <w:rFonts w:ascii="Times New Roman" w:cs="Times New Roman" w:eastAsia="Times New Roman" w:hAnsi="Times New Roman"/>
          <w:b/>
          <w:bCs/>
          <w:sz w:val="24"/>
          <w:szCs w:val="24"/>
        </w:rPr>
        <w:t xml:space="preserve">Troubleshooting sistemi distribuiti </w:t>
      </w:r>
      <w:r>
        <w:rPr>
          <w:rFonts w:ascii="Times New Roman" w:cs="Times New Roman" w:eastAsia="Times New Roman" w:hAnsi="Times New Roman"/>
          <w:sz w:val="24"/>
          <w:szCs w:val="24"/>
        </w:rPr>
        <w:t xml:space="preserve">con Splunk, sotto pressione utenti bloccati e SLA attivi.</w:t>
      </w:r>
    </w:p>
    <w:p>
      <w:pPr>
        <w:pStyle w:val="ListParagraph"/>
        <w:numPr>
          <w:ilvl w:val="0"/>
          <w:numId w:val="10"/>
        </w:numPr>
        <w:spacing w:after="120" w:line="360"/>
        <w:jc w:val="both"/>
      </w:pPr>
      <w:r>
        <w:rPr>
          <w:rFonts w:ascii="Times New Roman" w:cs="Times New Roman" w:eastAsia="Times New Roman" w:hAnsi="Times New Roman"/>
          <w:b/>
          <w:bCs/>
          <w:sz w:val="24"/>
          <w:szCs w:val="24"/>
        </w:rPr>
        <w:t xml:space="preserve">Distinzione root cause tecnica vs. business: </w:t>
      </w:r>
      <w:r>
        <w:rPr>
          <w:rFonts w:ascii="Times New Roman" w:cs="Times New Roman" w:eastAsia="Times New Roman" w:hAnsi="Times New Roman"/>
          <w:sz w:val="24"/>
          <w:szCs w:val="24"/>
        </w:rPr>
        <w:t xml:space="preserve">dialogo con il Business Analyst come parte del metodo.</w:t>
      </w:r>
    </w:p>
    <w:p>
      <w:pPr>
        <w:pStyle w:val="ListParagraph"/>
        <w:numPr>
          <w:ilvl w:val="0"/>
          <w:numId w:val="10"/>
        </w:numPr>
        <w:spacing w:after="120" w:line="360"/>
        <w:jc w:val="both"/>
      </w:pPr>
      <w:r>
        <w:rPr>
          <w:rFonts w:ascii="Times New Roman" w:cs="Times New Roman" w:eastAsia="Times New Roman" w:hAnsi="Times New Roman"/>
          <w:b/>
          <w:bCs/>
          <w:sz w:val="24"/>
          <w:szCs w:val="24"/>
        </w:rPr>
        <w:t xml:space="preserve">Metodo di lavoro strutturato: </w:t>
      </w:r>
      <w:r>
        <w:rPr>
          <w:rFonts w:ascii="Times New Roman" w:cs="Times New Roman" w:eastAsia="Times New Roman" w:hAnsi="Times New Roman"/>
          <w:sz w:val="24"/>
          <w:szCs w:val="24"/>
        </w:rPr>
        <w:t xml:space="preserve">dal ticket alla pipeline di deploy. Il metodo è la competenza trasversale più importante.</w:t>
      </w:r>
    </w:p>
    <w:p>
      <w:pPr>
        <w:pStyle w:val="ListParagraph"/>
        <w:numPr>
          <w:ilvl w:val="0"/>
          <w:numId w:val="10"/>
        </w:numPr>
        <w:spacing w:after="120" w:line="360"/>
        <w:jc w:val="both"/>
      </w:pPr>
      <w:r>
        <w:rPr>
          <w:rFonts w:ascii="Times New Roman" w:cs="Times New Roman" w:eastAsia="Times New Roman" w:hAnsi="Times New Roman"/>
          <w:b/>
          <w:bCs/>
          <w:sz w:val="24"/>
          <w:szCs w:val="24"/>
        </w:rPr>
        <w:t xml:space="preserve">Delega strutturata in SAFe: </w:t>
      </w:r>
      <w:r>
        <w:rPr>
          <w:rFonts w:ascii="Times New Roman" w:cs="Times New Roman" w:eastAsia="Times New Roman" w:hAnsi="Times New Roman"/>
          <w:sz w:val="24"/>
          <w:szCs w:val="24"/>
        </w:rPr>
        <w:t xml:space="preserve">isolare, documentare, instradare.</w:t>
      </w:r>
    </w:p>
    <w:p>
      <w:pPr>
        <w:pStyle w:val="ListParagraph"/>
        <w:numPr>
          <w:ilvl w:val="0"/>
          <w:numId w:val="10"/>
        </w:numPr>
        <w:spacing w:after="120" w:line="360"/>
        <w:jc w:val="both"/>
      </w:pPr>
      <w:r>
        <w:rPr>
          <w:rFonts w:ascii="Times New Roman" w:cs="Times New Roman" w:eastAsia="Times New Roman" w:hAnsi="Times New Roman"/>
          <w:b/>
          <w:bCs/>
          <w:sz w:val="24"/>
          <w:szCs w:val="24"/>
        </w:rPr>
        <w:t xml:space="preserve">Architettura enterprise: </w:t>
      </w:r>
      <w:r>
        <w:rPr>
          <w:rFonts w:ascii="Times New Roman" w:cs="Times New Roman" w:eastAsia="Times New Roman" w:hAnsi="Times New Roman"/>
          <w:sz w:val="24"/>
          <w:szCs w:val="24"/>
        </w:rPr>
        <w:t xml:space="preserve">Passportal, VITES/BFF, BSA, AIA, VIS/SALT/Tuxedo, Splunk, DevOps, Maven, SpringBoot, JUnit.</w:t>
      </w:r>
    </w:p>
    <w:p>
      <w:pPr>
        <w:pStyle w:val="Heading2"/>
        <w:spacing w:after="200" w:before="360" w:line="360"/>
        <w:jc w:val="both"/>
      </w:pPr>
      <w:r>
        <w:rPr>
          <w:rFonts w:ascii="Times New Roman" w:cs="Times New Roman" w:eastAsia="Times New Roman" w:hAnsi="Times New Roman"/>
          <w:b/>
          <w:bCs/>
          <w:sz w:val="28"/>
          <w:szCs w:val="28"/>
        </w:rPr>
        <w:t xml:space="preserve">Lesson learned dagli incident</w:t>
      </w:r>
    </w:p>
    <w:p>
      <w:pPr>
        <w:spacing w:after="120" w:line="360"/>
        <w:jc w:val="both"/>
      </w:pPr>
      <w:r>
        <w:rPr>
          <w:rFonts w:ascii="Times New Roman" w:cs="Times New Roman" w:eastAsia="Times New Roman" w:hAnsi="Times New Roman"/>
          <w:b/>
          <w:bCs/>
          <w:sz w:val="24"/>
          <w:szCs w:val="24"/>
        </w:rPr>
        <w:t xml:space="preserve">Incident AVC: </w:t>
      </w:r>
      <w:r>
        <w:rPr>
          <w:rFonts w:ascii="Times New Roman" w:cs="Times New Roman" w:eastAsia="Times New Roman" w:hAnsi="Times New Roman"/>
          <w:sz w:val="24"/>
          <w:szCs w:val="24"/>
        </w:rPr>
        <w:t xml:space="preserve">un errore non gestito nel BFF → freeze. Un “Works as designed” non è un difetto.</w:t>
      </w:r>
    </w:p>
    <w:p>
      <w:pPr>
        <w:spacing w:after="120" w:line="360"/>
        <w:jc w:val="both"/>
      </w:pPr>
      <w:r>
        <w:rPr>
          <w:rFonts w:ascii="Times New Roman" w:cs="Times New Roman" w:eastAsia="Times New Roman" w:hAnsi="Times New Roman"/>
          <w:b/>
          <w:bCs/>
          <w:sz w:val="24"/>
          <w:szCs w:val="24"/>
        </w:rPr>
        <w:t xml:space="preserve">Cluster Teseo: </w:t>
      </w:r>
      <w:r>
        <w:rPr>
          <w:rFonts w:ascii="Times New Roman" w:cs="Times New Roman" w:eastAsia="Times New Roman" w:hAnsi="Times New Roman"/>
          <w:sz w:val="24"/>
          <w:szCs w:val="24"/>
        </w:rPr>
        <w:t xml:space="preserve">il troubleshooting è iterativo. La documentazione mancante è debito tecnico.</w:t>
      </w:r>
    </w:p>
    <w:p>
      <w:pPr>
        <w:spacing w:after="120" w:line="360"/>
        <w:jc w:val="both"/>
      </w:pPr>
      <w:r>
        <w:rPr>
          <w:rFonts w:ascii="Times New Roman" w:cs="Times New Roman" w:eastAsia="Times New Roman" w:hAnsi="Times New Roman"/>
          <w:b/>
          <w:bCs/>
          <w:sz w:val="24"/>
          <w:szCs w:val="24"/>
        </w:rPr>
        <w:t xml:space="preserve">Data integrity: </w:t>
      </w:r>
      <w:r>
        <w:rPr>
          <w:rFonts w:ascii="Times New Roman" w:cs="Times New Roman" w:eastAsia="Times New Roman" w:hAnsi="Times New Roman"/>
          <w:sz w:val="24"/>
          <w:szCs w:val="24"/>
        </w:rPr>
        <w:t xml:space="preserve">interventi in PROD richiedono autorizzazione. Il system design può prevenire deadlock.</w:t>
      </w:r>
    </w:p>
    <w:p>
      <w:pPr>
        <w:pStyle w:val="Heading2"/>
        <w:spacing w:after="200" w:before="360" w:line="360"/>
        <w:jc w:val="both"/>
      </w:pPr>
      <w:r>
        <w:rPr>
          <w:rFonts w:ascii="Times New Roman" w:cs="Times New Roman" w:eastAsia="Times New Roman" w:hAnsi="Times New Roman"/>
          <w:b/>
          <w:bCs/>
          <w:sz w:val="28"/>
          <w:szCs w:val="28"/>
        </w:rPr>
        <w:t xml:space="preserve">Proposta: estensione degli unit test</w:t>
      </w:r>
    </w:p>
    <w:p>
      <w:pPr>
        <w:pStyle w:val="ListParagraph"/>
        <w:numPr>
          <w:ilvl w:val="0"/>
          <w:numId w:val="11"/>
        </w:numPr>
        <w:spacing w:after="120" w:line="360"/>
        <w:jc w:val="both"/>
      </w:pPr>
      <w:r>
        <w:rPr>
          <w:rFonts w:ascii="Times New Roman" w:cs="Times New Roman" w:eastAsia="Times New Roman" w:hAnsi="Times New Roman"/>
          <w:sz w:val="24"/>
          <w:szCs w:val="24"/>
        </w:rPr>
        <w:t xml:space="preserve">Unit test sul BSA VitaLegacy: verifica tipo di ritorno nel catch.</w:t>
      </w:r>
    </w:p>
    <w:p>
      <w:pPr>
        <w:pStyle w:val="ListParagraph"/>
        <w:numPr>
          <w:ilvl w:val="0"/>
          <w:numId w:val="11"/>
        </w:numPr>
        <w:spacing w:after="120" w:line="360"/>
        <w:jc w:val="both"/>
      </w:pPr>
      <w:r>
        <w:rPr>
          <w:rFonts w:ascii="Times New Roman" w:cs="Times New Roman" w:eastAsia="Times New Roman" w:hAnsi="Times New Roman"/>
          <w:sz w:val="24"/>
          <w:szCs w:val="24"/>
        </w:rPr>
        <w:t xml:space="preserve">Test di integrazione BFF → BSA → backend con mock.</w:t>
      </w:r>
    </w:p>
    <w:p>
      <w:pPr>
        <w:pStyle w:val="ListParagraph"/>
        <w:numPr>
          <w:ilvl w:val="0"/>
          <w:numId w:val="11"/>
        </w:numPr>
        <w:spacing w:after="120" w:line="360"/>
        <w:jc w:val="both"/>
      </w:pPr>
      <w:r>
        <w:rPr>
          <w:rFonts w:ascii="Times New Roman" w:cs="Times New Roman" w:eastAsia="Times New Roman" w:hAnsi="Times New Roman"/>
          <w:sz w:val="24"/>
          <w:szCs w:val="24"/>
        </w:rPr>
        <w:t xml:space="preserve">Contract testing tra BSA e servizi di backend.</w:t>
      </w:r>
    </w:p>
    <w:p>
      <w:pPr>
        <w:pStyle w:val="Heading2"/>
        <w:spacing w:after="200" w:before="360" w:line="360"/>
        <w:jc w:val="both"/>
      </w:pPr>
      <w:r>
        <w:rPr>
          <w:rFonts w:ascii="Times New Roman" w:cs="Times New Roman" w:eastAsia="Times New Roman" w:hAnsi="Times New Roman"/>
          <w:b/>
          <w:bCs/>
          <w:sz w:val="28"/>
          <w:szCs w:val="28"/>
        </w:rPr>
        <w:t xml:space="preserve">Considerazione finale</w:t>
      </w:r>
    </w:p>
    <w:p>
      <w:pPr>
        <w:spacing w:after="120" w:line="360"/>
        <w:jc w:val="both"/>
      </w:pPr>
      <w:r>
        <w:rPr>
          <w:rFonts w:ascii="Times New Roman" w:cs="Times New Roman" w:eastAsia="Times New Roman" w:hAnsi="Times New Roman"/>
          <w:sz w:val="24"/>
          <w:szCs w:val="24"/>
        </w:rPr>
        <w:t xml:space="preserve">L’inserimento in un team enterprise ha richiesto competenze oltre il linguaggio di programmazione: leggere un log Splunk, distinguere un sintomo da una causa, determinare se un comportamento è un bug o una feature, sapere quando implementare e quando delegare. Il metodo di lavoro acquisito è la base su cui costruire le fasi successive.</w:t>
      </w:r>
    </w:p>
    <w:p>
      <w:r>
        <w:br w:type="page"/>
      </w:r>
    </w:p>
    <w:p>
      <w:pPr>
        <w:pStyle w:val="Heading1"/>
        <w:spacing w:after="240" w:before="480" w:line="360"/>
        <w:jc w:val="both"/>
      </w:pPr>
      <w:r>
        <w:rPr>
          <w:rFonts w:ascii="Times New Roman" w:cs="Times New Roman" w:eastAsia="Times New Roman" w:hAnsi="Times New Roman"/>
          <w:b/>
          <w:bCs/>
          <w:sz w:val="32"/>
          <w:szCs w:val="32"/>
        </w:rPr>
        <w:t xml:space="preserve">Appendice A — Glossario Tecnico</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200"/>
        <w:gridCol w:w="6303"/>
      </w:tblGrid>
      <w:tr>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Termine</w:t>
            </w:r>
          </w:p>
        </w:tc>
        <w:tc>
          <w:tcPr>
            <w:tcW w:type="dxa" w:w="63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Definizione</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AIA</w:t>
            </w:r>
          </w:p>
        </w:tc>
        <w:tc>
          <w:tcPr>
            <w:tcW w:type="dxa" w:w="6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Backend portafoglio Vita moderno. Emissione PIP e postvendita. DB Oracle.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AKS</w:t>
            </w:r>
          </w:p>
        </w:tc>
        <w:tc>
          <w:tcPr>
            <w:tcW w:type="dxa" w:w="6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Azure Kubernetes Service. Piattaforma container per POD VITES/BFF.</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AML</w:t>
            </w:r>
          </w:p>
        </w:tc>
        <w:tc>
          <w:tcPr>
            <w:tcW w:type="dxa" w:w="6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Anti Money Laundering. Controlli antiriciclaggio.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AVC</w:t>
            </w:r>
          </w:p>
        </w:tc>
        <w:tc>
          <w:tcPr>
            <w:tcW w:type="dxa" w:w="6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Adeguata Verifica della Clientela. Questionario obbligatorio.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BFF</w:t>
            </w:r>
          </w:p>
        </w:tc>
        <w:tc>
          <w:tcPr>
            <w:tcW w:type="dxa" w:w="6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Backend For Frontend. Java SpringBoot, serve il FE, wrappa chiamate verso BSA.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w:t>
            </w:r>
          </w:p>
        </w:tc>
        <w:tc>
          <w:tcPr>
            <w:tcW w:type="dxa" w:w="6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Business Sidecar for API. Java SpringBoot/Maven, standardizza API di dominio.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Cobol</w:t>
            </w:r>
          </w:p>
        </w:tc>
        <w:tc>
          <w:tcPr>
            <w:tcW w:type="dxa" w:w="6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Linguaggio dei servizi nello strato Tuxedo di VIS.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Maven</w:t>
            </w:r>
          </w:p>
        </w:tc>
        <w:tc>
          <w:tcPr>
            <w:tcW w:type="dxa" w:w="6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Build automation tool e gestore dipendenze Java.</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PEP</w:t>
            </w:r>
          </w:p>
        </w:tc>
        <w:tc>
          <w:tcPr>
            <w:tcW w:type="dxa" w:w="6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Persona Politicamente Esposta. Controlli antiriciclaggio rafforzati.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PPEVO</w:t>
            </w:r>
          </w:p>
        </w:tc>
        <w:tc>
          <w:tcPr>
            <w:tcW w:type="dxa" w:w="6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Sistema esterno gestione evoluta questionari.</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SAFe</w:t>
            </w:r>
          </w:p>
        </w:tc>
        <w:tc>
          <w:tcPr>
            <w:tcW w:type="dxa" w:w="6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Scaled Agile Framework [4].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SALT</w:t>
            </w:r>
          </w:p>
        </w:tc>
        <w:tc>
          <w:tcPr>
            <w:tcW w:type="dxa" w:w="6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Service Architecture Leveraging Tuxedo. Gateway Oracle per WS VIS.</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SPA</w:t>
            </w:r>
          </w:p>
        </w:tc>
        <w:tc>
          <w:tcPr>
            <w:tcW w:type="dxa" w:w="6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Single Page Application. Architettura frontend Angular.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Splunk</w:t>
            </w:r>
          </w:p>
        </w:tc>
        <w:tc>
          <w:tcPr>
            <w:tcW w:type="dxa" w:w="6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Piattaforma centralizzazione log. Retention 180gg.</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Tuxedo</w:t>
            </w:r>
          </w:p>
        </w:tc>
        <w:tc>
          <w:tcPr>
            <w:tcW w:type="dxa" w:w="6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Oracle Tuxedo. Middleware per servizi Cobol VIS.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VIS</w:t>
            </w:r>
          </w:p>
        </w:tc>
        <w:tc>
          <w:tcPr>
            <w:tcW w:type="dxa" w:w="63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Portafoglio legacy. Oracle SQL, Tuxedo/Cobol via SALT/SOAP.</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504</w:t>
            </w:r>
          </w:p>
        </w:tc>
        <w:tc>
          <w:tcPr>
            <w:tcW w:type="dxa" w:w="63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HTTP 504 Gateway Timeout.</w:t>
            </w:r>
          </w:p>
        </w:tc>
      </w:tr>
    </w:tbl>
    <w:p>
      <w:r>
        <w:br w:type="page"/>
      </w:r>
    </w:p>
    <w:p>
      <w:pPr>
        <w:pStyle w:val="Heading1"/>
        <w:spacing w:after="240" w:before="480" w:line="360"/>
        <w:jc w:val="both"/>
      </w:pPr>
      <w:r>
        <w:rPr>
          <w:rFonts w:ascii="Times New Roman" w:cs="Times New Roman" w:eastAsia="Times New Roman" w:hAnsi="Times New Roman"/>
          <w:b/>
          <w:bCs/>
          <w:sz w:val="32"/>
          <w:szCs w:val="32"/>
        </w:rPr>
        <w:t xml:space="preserve">Appendice B — Mapping Architettura → Incident → Root Cause</w:t>
      </w:r>
    </w:p>
    <w:p>
      <w:pPr>
        <w:spacing w:after="80"/>
      </w:pPr>
    </w:p>
    <w:p>
      <w:pPr>
        <w:spacing w:after="120" w:line="360"/>
        <w:jc w:val="both"/>
      </w:pPr>
      <w:r>
        <w:rPr>
          <w:rFonts w:ascii="Times New Roman" w:cs="Times New Roman" w:eastAsia="Times New Roman" w:hAnsi="Times New Roman"/>
          <w:b/>
          <w:bCs/>
          <w:sz w:val="24"/>
          <w:szCs w:val="24"/>
        </w:rPr>
        <w:t xml:space="preserve">Tabella 5</w:t>
      </w:r>
      <w:r>
        <w:rPr>
          <w:rFonts w:ascii="Times New Roman" w:cs="Times New Roman" w:eastAsia="Times New Roman" w:hAnsi="Times New Roman"/>
          <w:sz w:val="24"/>
          <w:szCs w:val="24"/>
        </w:rPr>
        <w:t xml:space="preserve"> — Mapping completo</w:t>
      </w:r>
    </w:p>
    <w:p>
      <w:pPr>
        <w:spacing w:after="80"/>
      </w:pP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400"/>
        <w:gridCol w:w="2103"/>
      </w:tblGrid>
      <w:tr>
        <w:tc>
          <w:tcPr>
            <w:tcW w:type="dxa" w:w="17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Componente</w:t>
            </w:r>
          </w:p>
        </w:tc>
        <w:tc>
          <w:tcPr>
            <w:tcW w:type="dxa" w:w="13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Sezione</w:t>
            </w:r>
          </w:p>
        </w:tc>
        <w:tc>
          <w:tcPr>
            <w:tcW w:type="dxa" w:w="3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Root Cause</w:t>
            </w:r>
          </w:p>
        </w:tc>
        <w:tc>
          <w:tcPr>
            <w:tcW w:type="dxa" w:w="2103"/>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Tipo</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Vita / AIA</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4.2</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504 Timeout salvataggio AVC (latenza AIA)</w:t>
            </w:r>
          </w:p>
        </w:tc>
        <w:tc>
          <w:tcPr>
            <w:tcW w:type="dxa" w:w="21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Tecnico</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Vita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4.2</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Blocco post-AVC: works as designed (PEP)</w:t>
            </w:r>
          </w:p>
        </w:tc>
        <w:tc>
          <w:tcPr>
            <w:tcW w:type="dxa" w:w="21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Business</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VitaLegacy</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4.3</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Mapping errato compagnia/agenzia verso WS VIS</w:t>
            </w:r>
          </w:p>
        </w:tc>
        <w:tc>
          <w:tcPr>
            <w:tcW w:type="dxa" w:w="21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Tecnico</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Passportal</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4.3</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Routing errato (concausa)</w:t>
            </w:r>
          </w:p>
        </w:tc>
        <w:tc>
          <w:tcPr>
            <w:tcW w:type="dxa" w:w="21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Configurazione</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Stampe</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4.4</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Stampe fallite, problema DB → deadlock</w:t>
            </w:r>
          </w:p>
        </w:tc>
        <w:tc>
          <w:tcPr>
            <w:tcW w:type="dxa" w:w="2103"/>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Infrastruttura</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BSA Anagrafe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4.5</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Mapping errato codice condizione professionale</w:t>
            </w:r>
          </w:p>
        </w:tc>
        <w:tc>
          <w:tcPr>
            <w:tcW w:type="dxa" w:w="210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Contratto dati</w:t>
            </w:r>
          </w:p>
        </w:tc>
      </w:tr>
    </w:tbl>
    <w:p>
      <w:r>
        <w:br w:type="page"/>
      </w:r>
    </w:p>
    <w:p>
      <w:pPr>
        <w:pStyle w:val="Heading1"/>
        <w:spacing w:after="240" w:before="480" w:line="360"/>
        <w:jc w:val="both"/>
      </w:pPr>
      <w:r>
        <w:rPr>
          <w:rFonts w:ascii="Times New Roman" w:cs="Times New Roman" w:eastAsia="Times New Roman" w:hAnsi="Times New Roman"/>
          <w:b/>
          <w:bCs/>
          <w:sz w:val="32"/>
          <w:szCs w:val="32"/>
        </w:rPr>
        <w:t xml:space="preserve">Appendice C — Elenco Screenshot da Inserire</w:t>
      </w:r>
    </w:p>
    <w:p>
      <w:pPr>
        <w:spacing w:after="80"/>
      </w:pPr>
    </w:p>
    <w:p>
      <w:pPr>
        <w:pStyle w:val="ListParagraph"/>
        <w:numPr>
          <w:ilvl w:val="0"/>
          <w:numId w:val="12"/>
        </w:numPr>
        <w:spacing w:after="120" w:line="360"/>
        <w:jc w:val="both"/>
      </w:pPr>
      <w:r>
        <w:rPr>
          <w:rFonts w:ascii="Times New Roman" w:cs="Times New Roman" w:eastAsia="Times New Roman" w:hAnsi="Times New Roman"/>
          <w:b/>
          <w:bCs/>
          <w:sz w:val="24"/>
          <w:szCs w:val="24"/>
        </w:rPr>
        <w:t xml:space="preserve">Fig. 1 (Cap. 2): </w:t>
      </w:r>
      <w:r>
        <w:rPr>
          <w:rFonts w:ascii="Times New Roman" w:cs="Times New Roman" w:eastAsia="Times New Roman" w:hAnsi="Times New Roman"/>
          <w:sz w:val="24"/>
          <w:szCs w:val="24"/>
        </w:rPr>
        <w:t xml:space="preserve">Diagramma architetturale completo ecosistema VITA.</w:t>
      </w:r>
    </w:p>
    <w:p>
      <w:pPr>
        <w:pStyle w:val="ListParagraph"/>
        <w:numPr>
          <w:ilvl w:val="0"/>
          <w:numId w:val="12"/>
        </w:numPr>
        <w:spacing w:after="120" w:line="360"/>
        <w:jc w:val="both"/>
      </w:pPr>
      <w:r>
        <w:rPr>
          <w:rFonts w:ascii="Times New Roman" w:cs="Times New Roman" w:eastAsia="Times New Roman" w:hAnsi="Times New Roman"/>
          <w:b/>
          <w:bCs/>
          <w:sz w:val="24"/>
          <w:szCs w:val="24"/>
        </w:rPr>
        <w:t xml:space="preserve">Fig. 2 (Cap. 2): </w:t>
      </w:r>
      <w:r>
        <w:rPr>
          <w:rFonts w:ascii="Times New Roman" w:cs="Times New Roman" w:eastAsia="Times New Roman" w:hAnsi="Times New Roman"/>
          <w:sz w:val="24"/>
          <w:szCs w:val="24"/>
        </w:rPr>
        <w:t xml:space="preserve">Schema VIS: Oracle SQL → SALT → SOAP → Tuxedo → Cobol.</w:t>
      </w:r>
    </w:p>
    <w:p>
      <w:pPr>
        <w:pStyle w:val="ListParagraph"/>
        <w:numPr>
          <w:ilvl w:val="0"/>
          <w:numId w:val="12"/>
        </w:numPr>
        <w:spacing w:after="120" w:line="360"/>
        <w:jc w:val="both"/>
      </w:pPr>
      <w:r>
        <w:rPr>
          <w:rFonts w:ascii="Times New Roman" w:cs="Times New Roman" w:eastAsia="Times New Roman" w:hAnsi="Times New Roman"/>
          <w:b/>
          <w:bCs/>
          <w:sz w:val="24"/>
          <w:szCs w:val="24"/>
        </w:rPr>
        <w:t xml:space="preserve">Fig. 3 (Cap. 4): </w:t>
      </w:r>
      <w:r>
        <w:rPr>
          <w:rFonts w:ascii="Times New Roman" w:cs="Times New Roman" w:eastAsia="Times New Roman" w:hAnsi="Times New Roman"/>
          <w:sz w:val="24"/>
          <w:szCs w:val="24"/>
        </w:rPr>
        <w:t xml:space="preserve">Flowchart metodo troubleshooting 7 fasi.</w:t>
      </w:r>
    </w:p>
    <w:p>
      <w:pPr>
        <w:pStyle w:val="ListParagraph"/>
        <w:numPr>
          <w:ilvl w:val="0"/>
          <w:numId w:val="12"/>
        </w:numPr>
        <w:spacing w:after="120" w:line="360"/>
        <w:jc w:val="both"/>
      </w:pPr>
      <w:r>
        <w:rPr>
          <w:rFonts w:ascii="Times New Roman" w:cs="Times New Roman" w:eastAsia="Times New Roman" w:hAnsi="Times New Roman"/>
          <w:b/>
          <w:bCs/>
          <w:sz w:val="24"/>
          <w:szCs w:val="24"/>
        </w:rPr>
        <w:t xml:space="preserve">Fig. 4 (Cap. 4): </w:t>
      </w:r>
      <w:r>
        <w:rPr>
          <w:rFonts w:ascii="Times New Roman" w:cs="Times New Roman" w:eastAsia="Times New Roman" w:hAnsi="Times New Roman"/>
          <w:sz w:val="24"/>
          <w:szCs w:val="24"/>
        </w:rPr>
        <w:t xml:space="preserve">Network Tab browser durante 504. Oscurare dati.</w:t>
      </w:r>
    </w:p>
    <w:p>
      <w:pPr>
        <w:pStyle w:val="ListParagraph"/>
        <w:numPr>
          <w:ilvl w:val="0"/>
          <w:numId w:val="12"/>
        </w:numPr>
        <w:spacing w:after="120" w:line="360"/>
        <w:jc w:val="both"/>
      </w:pPr>
      <w:r>
        <w:rPr>
          <w:rFonts w:ascii="Times New Roman" w:cs="Times New Roman" w:eastAsia="Times New Roman" w:hAnsi="Times New Roman"/>
          <w:b/>
          <w:bCs/>
          <w:sz w:val="24"/>
          <w:szCs w:val="24"/>
        </w:rPr>
        <w:t xml:space="preserve">Fig. 5 (Cap. 4): </w:t>
      </w:r>
      <w:r>
        <w:rPr>
          <w:rFonts w:ascii="Times New Roman" w:cs="Times New Roman" w:eastAsia="Times New Roman" w:hAnsi="Times New Roman"/>
          <w:sz w:val="24"/>
          <w:szCs w:val="24"/>
        </w:rPr>
        <w:t xml:space="preserve">Log Splunk con elapsed &gt; 30.000ms, esito KO.</w:t>
      </w:r>
    </w:p>
    <w:p>
      <w:pPr>
        <w:pStyle w:val="ListParagraph"/>
        <w:numPr>
          <w:ilvl w:val="0"/>
          <w:numId w:val="12"/>
        </w:numPr>
        <w:spacing w:after="120" w:line="360"/>
        <w:jc w:val="both"/>
      </w:pPr>
      <w:r>
        <w:rPr>
          <w:rFonts w:ascii="Times New Roman" w:cs="Times New Roman" w:eastAsia="Times New Roman" w:hAnsi="Times New Roman"/>
          <w:b/>
          <w:bCs/>
          <w:sz w:val="24"/>
          <w:szCs w:val="24"/>
        </w:rPr>
        <w:t xml:space="preserve">Fig. 6 (Cap. 4): </w:t>
      </w:r>
      <w:r>
        <w:rPr>
          <w:rFonts w:ascii="Times New Roman" w:cs="Times New Roman" w:eastAsia="Times New Roman" w:hAnsi="Times New Roman"/>
          <w:sz w:val="24"/>
          <w:szCs w:val="24"/>
        </w:rPr>
        <w:t xml:space="preserve">Schema sostituzione codici compagnia/agenzia nel BSA.</w:t>
      </w:r>
    </w:p>
    <w:p>
      <w:r>
        <w:br w:type="page"/>
      </w:r>
    </w:p>
    <w:p>
      <w:pPr>
        <w:pStyle w:val="Heading1"/>
        <w:spacing w:after="240" w:before="480" w:line="360"/>
        <w:jc w:val="both"/>
      </w:pPr>
      <w:r>
        <w:rPr>
          <w:rFonts w:ascii="Times New Roman" w:cs="Times New Roman" w:eastAsia="Times New Roman" w:hAnsi="Times New Roman"/>
          <w:b/>
          <w:bCs/>
          <w:sz w:val="32"/>
          <w:szCs w:val="32"/>
        </w:rPr>
        <w:t xml:space="preserve">Bibliografia</w:t>
      </w:r>
    </w:p>
    <w:p>
      <w:pPr>
        <w:spacing w:after="80"/>
      </w:pPr>
    </w:p>
    <w:p>
      <w:pPr>
        <w:spacing w:after="120" w:line="360"/>
        <w:jc w:val="both"/>
      </w:pPr>
      <w:r>
        <w:rPr>
          <w:rFonts w:ascii="Times New Roman" w:cs="Times New Roman" w:eastAsia="Times New Roman" w:hAnsi="Times New Roman"/>
          <w:sz w:val="24"/>
          <w:szCs w:val="24"/>
        </w:rPr>
        <w:t xml:space="preserve">[1] Evans E.: Domain-Driven Design: Tackling Complexity in the Heart of Software. 2003. Boston: Addison-Wesley.</w:t>
      </w:r>
    </w:p>
    <w:p>
      <w:pPr>
        <w:spacing w:after="120" w:line="360"/>
        <w:jc w:val="both"/>
      </w:pPr>
      <w:r>
        <w:rPr>
          <w:rFonts w:ascii="Times New Roman" w:cs="Times New Roman" w:eastAsia="Times New Roman" w:hAnsi="Times New Roman"/>
          <w:sz w:val="24"/>
          <w:szCs w:val="24"/>
        </w:rPr>
        <w:t xml:space="preserve">[2] Newman S.: Building Microservices: Designing Fine-Grained Systems. 2021. Sebastopol: O’Reilly Media (seconda ed.).</w:t>
      </w:r>
    </w:p>
    <w:p>
      <w:pPr>
        <w:spacing w:after="120" w:line="360"/>
        <w:jc w:val="both"/>
      </w:pPr>
      <w:r>
        <w:rPr>
          <w:rFonts w:ascii="Times New Roman" w:cs="Times New Roman" w:eastAsia="Times New Roman" w:hAnsi="Times New Roman"/>
          <w:sz w:val="24"/>
          <w:szCs w:val="24"/>
        </w:rPr>
        <w:t xml:space="preserve">[3] Richardson C.: Microservices Patterns: With Examples in Java. 2018. Shelter Island: Manning.</w:t>
      </w:r>
    </w:p>
    <w:p>
      <w:pPr>
        <w:spacing w:after="120" w:line="360"/>
        <w:jc w:val="both"/>
      </w:pPr>
      <w:r>
        <w:rPr>
          <w:rFonts w:ascii="Times New Roman" w:cs="Times New Roman" w:eastAsia="Times New Roman" w:hAnsi="Times New Roman"/>
          <w:sz w:val="24"/>
          <w:szCs w:val="24"/>
        </w:rPr>
        <w:t xml:space="preserve">[4] Scaled Agile Inc.: SAFe 6.0 Framework. Consultato il 15/04/2026. https://scaledagileframework.com/</w:t>
      </w:r>
    </w:p>
    <w:p>
      <w:pPr>
        <w:spacing w:after="120" w:line="360"/>
        <w:jc w:val="both"/>
      </w:pPr>
      <w:r>
        <w:rPr>
          <w:rFonts w:ascii="Times New Roman" w:cs="Times New Roman" w:eastAsia="Times New Roman" w:hAnsi="Times New Roman"/>
          <w:sz w:val="24"/>
          <w:szCs w:val="24"/>
        </w:rPr>
        <w:t xml:space="preserve">[5] Documentazione interna Reale ITES: Analisi Funzionale Dismissione Positiv — Emissione PIP.</w:t>
      </w:r>
    </w:p>
    <w:p>
      <w:pPr>
        <w:spacing w:after="120" w:line="360"/>
        <w:jc w:val="both"/>
      </w:pPr>
      <w:r>
        <w:rPr>
          <w:rFonts w:ascii="Times New Roman" w:cs="Times New Roman" w:eastAsia="Times New Roman" w:hAnsi="Times New Roman"/>
          <w:sz w:val="24"/>
          <w:szCs w:val="24"/>
        </w:rPr>
        <w:t xml:space="preserve">[6] Documentazione interna Reale ITES: VITES Descrittori Custom per UI v2.1 (22/03/2024).</w:t>
      </w:r>
    </w:p>
    <w:p>
      <w:pPr>
        <w:spacing w:after="120" w:line="360"/>
        <w:jc w:val="both"/>
      </w:pPr>
      <w:r>
        <w:rPr>
          <w:rFonts w:ascii="Times New Roman" w:cs="Times New Roman" w:eastAsia="Times New Roman" w:hAnsi="Times New Roman"/>
          <w:sz w:val="24"/>
          <w:szCs w:val="24"/>
        </w:rPr>
        <w:t xml:space="preserve">[7] Documentazione interna Reale ITES: Application Log Guidelines v7.0 (30/03/2026).</w:t>
      </w:r>
    </w:p>
    <w:p>
      <w:pPr>
        <w:spacing w:after="120" w:line="360"/>
        <w:jc w:val="both"/>
      </w:pPr>
      <w:r>
        <w:rPr>
          <w:rFonts w:ascii="Times New Roman" w:cs="Times New Roman" w:eastAsia="Times New Roman" w:hAnsi="Times New Roman"/>
          <w:sz w:val="24"/>
          <w:szCs w:val="24"/>
        </w:rPr>
        <w:t xml:space="preserve">[8] Documentazione interna Reale ITES: OX GESTLOG Log Applicativi Frontiera V6.</w:t>
      </w:r>
    </w:p>
    <w:sectPr>
      <w:headerReference w:type="default" r:id="rId7"/>
      <w:footerReference w:type="default" r:id="rId8"/>
      <w:pgSz w:w="11906" w:h="16838" w:orient="portrait"/>
      <w:pgMar w:top="1701" w:right="1418"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i/>
        <w:iCs/>
        <w:color w:val="888888"/>
        <w:sz w:val="18"/>
        <w:szCs w:val="18"/>
      </w:rPr>
      <w:t xml:space="preserve">Tesi ITS — A. Fomo Kamkuimo</w:t>
    </w:r>
    <w:r>
      <w:rPr>
        <w:rFonts w:ascii="Times New Roman" w:cs="Times New Roman" w:eastAsia="Times New Roman" w:hAnsi="Times New Roman"/>
        <w:i/>
        <w:iCs/>
        <w:color w:val="888888"/>
        <w:sz w:val="18"/>
        <w:szCs w:val="18"/>
      </w:rPr>
      <w:t xml:space="preserve">	Reale ITES — Ecosistema VITA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2026-04-27T17:45:45.019Z</dcterms:created>
  <dcterms:modified xsi:type="dcterms:W3CDTF">2026-04-27T17:45:45.020Z</dcterms:modified>
</cp:coreProperties>
</file>

<file path=docProps/custom.xml><?xml version="1.0" encoding="utf-8"?>
<Properties xmlns="http://schemas.openxmlformats.org/officeDocument/2006/custom-properties" xmlns:vt="http://schemas.openxmlformats.org/officeDocument/2006/docPropsVTypes"/>
</file>