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人工合成水温数据的描述性比较</w:t>
      </w:r>
    </w:p>
    <w:p>
      <w:pPr>
        <w:pStyle w:val="Heading1"/>
      </w:pPr>
      <w:r>
        <w:t>范围与方法</w:t>
      </w:r>
    </w:p>
    <w:p>
      <w:pPr>
        <w:ind w:firstLine="360"/>
        <w:jc w:val="both"/>
      </w:pPr>
      <w:r>
        <w:rPr>
          <w:b w:val="0"/>
          <w:i w:val="0"/>
        </w:rPr>
        <w:t>所提供的温度记录全部为人工合成测试数据，不包含实际水温测量。本描述性比较针对该人工数据集中条件标签 A 与 B 的平均温度。未提供这些标签的物理定义，因此仅将其解释为人工记录的分组标识。</w:t>
      </w:r>
    </w:p>
    <w:p>
      <w:pPr>
        <w:ind w:firstLine="360"/>
        <w:jc w:val="both"/>
      </w:pPr>
      <w:r>
        <w:rPr>
          <w:b w:val="0"/>
          <w:i w:val="0"/>
        </w:rPr>
        <w:t>各条件的算术平均温度由该条件温度总和除以记录数计算。均值之差以 B 的均值减去 A 的均值计算。本分析对所提供的人工数值作描述性计算，未对其进行推断统计检验。</w:t>
      </w:r>
    </w:p>
    <w:p>
      <w:pPr>
        <w:pStyle w:val="Heading1"/>
      </w:pPr>
      <w:r>
        <w:t>描述性结果</w:t>
      </w:r>
    </w:p>
    <w:p>
      <w:pPr>
        <w:ind w:firstLine="360"/>
        <w:jc w:val="both"/>
      </w:pPr>
      <w:r>
        <w:rPr>
          <w:b w:val="0"/>
          <w:i w:val="0"/>
        </w:rPr>
        <w:t>条件 A 的算术平均温度为 21 °C，由该人工数据集中该条件的温度记录计算。条件 B 的算术平均温度为 25 °C，由该人工数据集中该条件的温度记录计算。对这些人工温度记录，条件均值之差，即 B 减 A，为 4 °C。表1中的条件汇总列出各平均温度及用于计算的人工记录数。</w:t>
      </w:r>
    </w:p>
    <w:p>
      <w:pPr>
        <w:keepNext/>
      </w:pPr>
      <w:r>
        <w:rPr>
          <w:b/>
          <w:i w:val="0"/>
          <w:sz w:val="19"/>
        </w:rPr>
        <w:t>表1 | 人工合成测试温度的描述性汇总</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40"/>
            <w:vAlign w:val="center"/>
            <w:shd w:fill="E4EEF2"/>
            <w:tcBorders>
              <w:top w:val="single" w:sz="12" w:color="000000"/>
              <w:bottom w:val="single" w:sz="6" w:color="000000"/>
            </w:tcBorders>
          </w:tcPr>
          <w:p>
            <w:pPr>
              <w:jc w:val="center"/>
            </w:pPr>
            <w:r>
              <w:rPr>
                <w:b/>
                <w:sz w:val="16"/>
              </w:rPr>
            </w:r>
            <w:r>
              <w:rPr>
                <w:b/>
                <w:i w:val="0"/>
                <w:sz w:val="16"/>
              </w:rPr>
              <w:t>条件</w:t>
            </w:r>
          </w:p>
        </w:tc>
        <w:tc>
          <w:tcPr>
            <w:tcW w:type="dxa" w:w="2448"/>
            <w:vAlign w:val="center"/>
            <w:shd w:fill="E4EEF2"/>
            <w:tcBorders>
              <w:top w:val="single" w:sz="12" w:color="000000"/>
              <w:bottom w:val="single" w:sz="6" w:color="000000"/>
            </w:tcBorders>
          </w:tcPr>
          <w:p>
            <w:pPr>
              <w:jc w:val="center"/>
            </w:pPr>
            <w:r>
              <w:rPr>
                <w:b/>
                <w:sz w:val="16"/>
              </w:rPr>
            </w:r>
            <w:r>
              <w:rPr>
                <w:b/>
                <w:i w:val="0"/>
                <w:sz w:val="16"/>
              </w:rPr>
              <w:t>人工合成记录数</w:t>
            </w:r>
          </w:p>
        </w:tc>
        <w:tc>
          <w:tcPr>
            <w:tcW w:type="dxa" w:w="4320"/>
            <w:vAlign w:val="center"/>
            <w:shd w:fill="E4EEF2"/>
            <w:tcBorders>
              <w:top w:val="single" w:sz="12" w:color="000000"/>
              <w:bottom w:val="single" w:sz="6" w:color="000000"/>
            </w:tcBorders>
          </w:tcPr>
          <w:p>
            <w:pPr>
              <w:jc w:val="center"/>
            </w:pPr>
            <w:r>
              <w:rPr>
                <w:b/>
                <w:sz w:val="16"/>
              </w:rPr>
            </w:r>
            <w:r>
              <w:rPr>
                <w:b/>
                <w:i w:val="0"/>
                <w:sz w:val="16"/>
              </w:rPr>
              <w:t>平均温度 (°C)</w:t>
            </w:r>
          </w:p>
        </w:tc>
      </w:tr>
      <w:tr>
        <w:tc>
          <w:tcPr>
            <w:tcW w:type="dxa" w:w="1440"/>
            <w:vAlign w:val="top"/>
            <w:tcBorders>
              <w:bottom w:val="single" w:sz="2" w:color="BFBFBF"/>
            </w:tcBorders>
          </w:tcPr>
          <w:p>
            <w:pPr>
              <w:spacing w:after="0" w:line="240" w:lineRule="auto"/>
            </w:pPr>
            <w:r>
              <w:rPr>
                <w:sz w:val="15"/>
              </w:rPr>
            </w:r>
            <w:r>
              <w:rPr>
                <w:b w:val="0"/>
                <w:i w:val="0"/>
                <w:sz w:val="15"/>
              </w:rPr>
              <w:t>A</w:t>
            </w:r>
          </w:p>
        </w:tc>
        <w:tc>
          <w:tcPr>
            <w:tcW w:type="dxa" w:w="2448"/>
            <w:vAlign w:val="top"/>
            <w:tcBorders>
              <w:bottom w:val="single" w:sz="2" w:color="BFBFBF"/>
            </w:tcBorders>
          </w:tcPr>
          <w:p>
            <w:pPr>
              <w:spacing w:after="0" w:line="240" w:lineRule="auto"/>
            </w:pPr>
            <w:r>
              <w:rPr>
                <w:sz w:val="15"/>
              </w:rPr>
            </w:r>
            <w:r>
              <w:rPr>
                <w:b w:val="0"/>
                <w:i w:val="0"/>
                <w:sz w:val="15"/>
              </w:rPr>
              <w:t>2</w:t>
            </w:r>
          </w:p>
        </w:tc>
        <w:tc>
          <w:tcPr>
            <w:tcW w:type="dxa" w:w="4320"/>
            <w:vAlign w:val="top"/>
            <w:tcBorders>
              <w:bottom w:val="single" w:sz="2" w:color="BFBFBF"/>
            </w:tcBorders>
          </w:tcPr>
          <w:p>
            <w:pPr>
              <w:spacing w:after="0" w:line="240" w:lineRule="auto"/>
            </w:pPr>
            <w:r>
              <w:rPr>
                <w:sz w:val="15"/>
              </w:rPr>
            </w:r>
            <w:r>
              <w:rPr>
                <w:b w:val="0"/>
                <w:i w:val="0"/>
                <w:sz w:val="15"/>
              </w:rPr>
              <w:t>21</w:t>
            </w:r>
          </w:p>
        </w:tc>
      </w:tr>
      <w:tr>
        <w:tc>
          <w:tcPr>
            <w:tcW w:type="dxa" w:w="1440"/>
            <w:vAlign w:val="top"/>
            <w:tcBorders>
              <w:bottom w:val="single" w:sz="12" w:color="000000"/>
            </w:tcBorders>
          </w:tcPr>
          <w:p>
            <w:pPr>
              <w:spacing w:after="0" w:line="240" w:lineRule="auto"/>
            </w:pPr>
            <w:r>
              <w:rPr>
                <w:sz w:val="15"/>
              </w:rPr>
            </w:r>
            <w:r>
              <w:rPr>
                <w:b w:val="0"/>
                <w:i w:val="0"/>
                <w:sz w:val="15"/>
              </w:rPr>
              <w:t>B</w:t>
            </w:r>
          </w:p>
        </w:tc>
        <w:tc>
          <w:tcPr>
            <w:tcW w:type="dxa" w:w="2448"/>
            <w:vAlign w:val="top"/>
            <w:tcBorders>
              <w:bottom w:val="single" w:sz="12" w:color="000000"/>
            </w:tcBorders>
          </w:tcPr>
          <w:p>
            <w:pPr>
              <w:spacing w:after="0" w:line="240" w:lineRule="auto"/>
            </w:pPr>
            <w:r>
              <w:rPr>
                <w:sz w:val="15"/>
              </w:rPr>
            </w:r>
            <w:r>
              <w:rPr>
                <w:b w:val="0"/>
                <w:i w:val="0"/>
                <w:sz w:val="15"/>
              </w:rPr>
              <w:t>2</w:t>
            </w:r>
          </w:p>
        </w:tc>
        <w:tc>
          <w:tcPr>
            <w:tcW w:type="dxa" w:w="4320"/>
            <w:vAlign w:val="top"/>
            <w:tcBorders>
              <w:bottom w:val="single" w:sz="12" w:color="000000"/>
            </w:tcBorders>
          </w:tcPr>
          <w:p>
            <w:pPr>
              <w:spacing w:after="0" w:line="240" w:lineRule="auto"/>
            </w:pPr>
            <w:r>
              <w:rPr>
                <w:sz w:val="15"/>
              </w:rPr>
            </w:r>
            <w:r>
              <w:rPr>
                <w:b w:val="0"/>
                <w:i w:val="0"/>
                <w:sz w:val="15"/>
              </w:rPr>
              <w:t>25</w:t>
            </w:r>
          </w:p>
        </w:tc>
      </w:tr>
    </w:tbl>
    <w:p>
      <w:pPr>
        <w:spacing w:before="60"/>
      </w:pPr>
      <w:r>
        <w:rPr>
          <w:b w:val="0"/>
          <w:i w:val="0"/>
          <w:sz w:val="17"/>
        </w:rPr>
        <w:t>表中所有数值均汇总人工测试记录，不包含任何条件下的实际水温测量。均值由所提供记录作算术计算所得，不对该比较作统计显著性声明。</w:t>
      </w:r>
    </w:p>
    <w:p>
      <w:pPr>
        <w:pStyle w:val="Heading1"/>
      </w:pPr>
      <w:r>
        <w:t>解释与局限</w:t>
      </w:r>
    </w:p>
    <w:p>
      <w:pPr>
        <w:ind w:firstLine="360"/>
        <w:jc w:val="both"/>
      </w:pPr>
      <w:r>
        <w:rPr>
          <w:b w:val="0"/>
          <w:i w:val="0"/>
        </w:rPr>
        <w:t>人工记录的比较不能支持关于实际水体不同物理条件下温差的结论。不能从该人工测试数据集中条件标签之间的描述性差异推断因果效应。算术差异不代表统计显著性，因为本分析未进行推断统计检验。任何实证结论均需要针对所需水温比较而设计的实际研究及实测数据。</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Hei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Heiti SC"/>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