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26"/>
        </w:rPr>
        <w:t>FHM ACADEMY  |  FHM DIGITAL</w:t>
      </w:r>
    </w:p>
    <w:p>
      <w:pPr>
        <w:pStyle w:val="Title"/>
        <w:jc w:val="center"/>
      </w:pPr>
      <w:r>
        <w:t>SYLLABUS, ÉVALUATIONS</w:t>
        <w:br/>
        <w:t>ET ATTESTATIONS NUMÉRIQUES</w:t>
      </w:r>
    </w:p>
    <w:p>
      <w:pPr>
        <w:jc w:val="center"/>
      </w:pPr>
      <w:r>
        <w:rPr>
          <w:color w:val="0057B8"/>
          <w:sz w:val="20"/>
        </w:rPr>
        <w:t>Spécifications fonctionnelles préliminaires — Version 1.0</w:t>
      </w:r>
    </w:p>
    <w:p>
      <w:pPr>
        <w:jc w:val="center"/>
      </w:pPr>
      <w:r>
        <w:rPr>
          <w:i/>
          <w:sz w:val="17"/>
        </w:rPr>
        <w:t>Statut : proposition de travail à valider par le fondateur; plateforme non déclarée comme opérationnelle.</w:t>
      </w:r>
    </w:p>
    <w:p/>
    <w:tbl>
      <w:tblPr>
        <w:tblW w:type="auto" w:w="0"/>
        <w:jc w:val="center"/>
        <w:tblLook w:firstColumn="1" w:firstRow="1" w:lastColumn="0" w:lastRow="0" w:noHBand="0" w:noVBand="1" w:val="04A0"/>
      </w:tblPr>
      <w:tblGrid>
        <w:gridCol w:w="9994"/>
      </w:tblGrid>
      <w:tr>
        <w:tc>
          <w:tcPr>
            <w:tcW w:type="dxa" w:w="9994"/>
            <w:shd w:fill="FBF5DF"/>
            <w:tcMar>
              <w:top w:w="140" w:type="dxa"/>
              <w:start w:w="170" w:type="dxa"/>
              <w:bottom w:w="140" w:type="dxa"/>
              <w:end w:w="170" w:type="dxa"/>
            </w:tcMar>
          </w:tcPr>
          <w:p>
            <w:pPr>
              <w:spacing w:after="80"/>
            </w:pPr>
            <w:r>
              <w:rPr>
                <w:b/>
                <w:color w:val="003B73"/>
                <w:sz w:val="21"/>
              </w:rPr>
              <w:t>Principe central</w:t>
            </w:r>
          </w:p>
          <w:p>
            <w:pPr>
              <w:spacing w:after="0"/>
            </w:pPr>
            <w:r>
              <w:rPr>
                <w:color w:val="17202A"/>
                <w:sz w:val="18"/>
              </w:rPr>
              <w:t>FHM Digital doit pouvoir accompagner un apprenant du choix de la formation jusqu’à l’évaluation et à la délivrance d’une attestation appropriée, en automatisant les tâches répétitives sans supprimer les vérifications nécessaires à la qualité, à la sécurité et à la crédibilité.</w:t>
            </w:r>
          </w:p>
        </w:tc>
      </w:tr>
    </w:tbl>
    <w:p>
      <w:pPr>
        <w:spacing w:after="0"/>
      </w:pPr>
    </w:p>
    <w:p>
      <w:pPr>
        <w:pStyle w:val="Heading1"/>
      </w:pPr>
      <w:r>
        <w:t>1. Objectif</w:t>
      </w:r>
    </w:p>
    <w:p>
      <w:r>
        <w:t>Définir le fonctionnement cible d’un portail d’apprentissage accessible sur téléphone et ordinateur, dans lequel FHM Academy pourra proposer des parcours structurés, suivre les progrès, organiser des évaluations et délivrer des documents de réussite vérifiables selon des règles préétablies.</w:t>
      </w:r>
    </w:p>
    <w:p>
      <w:r>
        <w:t>Le système doit soutenir l’ambition de FHM de développer les connaissances, les compétences et l’autonomie. Il s’agit d’une architecture cible : aucune fonction ne doit être présentée au public comme opérationnelle tant qu’elle n’a pas été réellement développée, testée et mise en service.</w:t>
      </w:r>
    </w:p>
    <w:p>
      <w:pPr>
        <w:pStyle w:val="Heading1"/>
      </w:pPr>
      <w:r>
        <w:t>2. Création assistée des syllabus par l’IA</w:t>
      </w:r>
    </w:p>
    <w:p>
      <w:r>
        <w:t>Le responsable pédagogique pourra saisir un sujet, par exemple « Coupe et couture pour débutants », « Calcul du coût de revient d’une robe » ou « Bases de la sécurité en soudure ». Le système préparera une proposition de programme comprenant :</w:t>
      </w:r>
    </w:p>
    <w:p>
      <w:pPr>
        <w:pStyle w:val="ListBullet"/>
        <w:spacing w:after="60"/>
      </w:pPr>
      <w:r>
        <w:t>le public visé, le niveau, les prérequis, les objectifs et les compétences attendues;</w:t>
      </w:r>
    </w:p>
    <w:p>
      <w:pPr>
        <w:pStyle w:val="ListBullet"/>
        <w:spacing w:after="60"/>
      </w:pPr>
      <w:r>
        <w:t>les chapitres, leçons, exemples, démonstrations, exercices et révisions;</w:t>
      </w:r>
    </w:p>
    <w:p>
      <w:pPr>
        <w:pStyle w:val="ListBullet"/>
        <w:spacing w:after="60"/>
      </w:pPr>
      <w:r>
        <w:t>le matériel requis, les précautions de sécurité et les limites de la formation;</w:t>
      </w:r>
    </w:p>
    <w:p>
      <w:pPr>
        <w:pStyle w:val="ListBullet"/>
        <w:spacing w:after="60"/>
      </w:pPr>
      <w:r>
        <w:t>les questionnaires, les réponses attendues, les cas pratiques et les grilles d’évaluation;</w:t>
      </w:r>
    </w:p>
    <w:p>
      <w:pPr>
        <w:pStyle w:val="ListBullet"/>
        <w:spacing w:after="60"/>
      </w:pPr>
      <w:r>
        <w:t>les sources ou références utiles, la langue et la version du contenu.</w:t>
      </w:r>
    </w:p>
    <w:tbl>
      <w:tblPr>
        <w:tblW w:type="auto" w:w="0"/>
        <w:jc w:val="center"/>
        <w:tblLook w:firstColumn="1" w:firstRow="1" w:lastColumn="0" w:lastRow="0" w:noHBand="0" w:noVBand="1" w:val="04A0"/>
      </w:tblPr>
      <w:tblGrid>
        <w:gridCol w:w="9994"/>
      </w:tblGrid>
      <w:tr>
        <w:tc>
          <w:tcPr>
            <w:tcW w:type="dxa" w:w="9994"/>
            <w:shd w:fill="EAF2FA"/>
            <w:tcMar>
              <w:top w:w="140" w:type="dxa"/>
              <w:start w:w="170" w:type="dxa"/>
              <w:bottom w:w="140" w:type="dxa"/>
              <w:end w:w="170" w:type="dxa"/>
            </w:tcMar>
          </w:tcPr>
          <w:p>
            <w:pPr>
              <w:spacing w:after="80"/>
            </w:pPr>
            <w:r>
              <w:rPr>
                <w:b/>
                <w:color w:val="003B73"/>
                <w:sz w:val="21"/>
              </w:rPr>
              <w:t>Contrôle qualité obligatoire</w:t>
            </w:r>
          </w:p>
          <w:p>
            <w:pPr>
              <w:spacing w:after="0"/>
            </w:pPr>
            <w:r>
              <w:rPr>
                <w:color w:val="17202A"/>
                <w:sz w:val="18"/>
              </w:rPr>
              <w:t>Une proposition générée par IA reste un brouillon jusqu’à son contrôle et sa validation. Les cours portant sur les enfants, la santé, la soudure, l’électricité, le solaire, la sécurité ou l’élevage devront être vérifiés par une personne compétente avant diffusion.</w:t>
            </w:r>
          </w:p>
        </w:tc>
      </w:tr>
    </w:tbl>
    <w:p>
      <w:pPr>
        <w:spacing w:after="0"/>
      </w:pPr>
    </w:p>
    <w:p>
      <w:pPr>
        <w:pStyle w:val="Heading1"/>
        <w:pageBreakBefore/>
      </w:pPr>
      <w:r>
        <w:t>3. Parcours de l’apprenant et évaluations</w:t>
      </w:r>
    </w:p>
    <w:p>
      <w:pPr>
        <w:pStyle w:val="ListNumber"/>
        <w:spacing w:after="60"/>
      </w:pPr>
      <w:r>
        <w:t>Inscription et choix d’un parcours publié dans le catalogue.</w:t>
      </w:r>
    </w:p>
    <w:p>
      <w:pPr>
        <w:pStyle w:val="ListNumber"/>
        <w:spacing w:after="60"/>
      </w:pPr>
      <w:r>
        <w:t>Accès aux leçons et activités; sauvegarde de la progression.</w:t>
      </w:r>
    </w:p>
    <w:p>
      <w:pPr>
        <w:pStyle w:val="ListNumber"/>
        <w:spacing w:after="60"/>
      </w:pPr>
      <w:r>
        <w:t>Questionnaires objectifs corrigés automatiquement lorsque les réponses sont déterminées à l’avance.</w:t>
      </w:r>
    </w:p>
    <w:p>
      <w:pPr>
        <w:pStyle w:val="ListNumber"/>
        <w:spacing w:after="60"/>
      </w:pPr>
      <w:r>
        <w:t>Révision des notions non maîtrisées, avec possibilité de reprise selon les règles du cours.</w:t>
      </w:r>
    </w:p>
    <w:p>
      <w:pPr>
        <w:pStyle w:val="ListNumber"/>
        <w:spacing w:after="60"/>
      </w:pPr>
      <w:r>
        <w:t>Évaluation finale selon les critères et le seuil définis pour cette formation.</w:t>
      </w:r>
    </w:p>
    <w:p>
      <w:pPr>
        <w:pStyle w:val="ListNumber"/>
        <w:spacing w:after="60"/>
      </w:pPr>
      <w:r>
        <w:t>Validation du parcours et transmission du statut au registre des attestations.</w:t>
      </w:r>
    </w:p>
    <w:tbl>
      <w:tblPr>
        <w:tblW w:type="auto" w:w="0"/>
        <w:jc w:val="center"/>
        <w:tblLook w:firstColumn="1" w:firstRow="1" w:lastColumn="0" w:lastRow="0" w:noHBand="0" w:noVBand="1" w:val="04A0"/>
      </w:tblPr>
      <w:tblGrid>
        <w:gridCol w:w="9994"/>
      </w:tblGrid>
      <w:tr>
        <w:tc>
          <w:tcPr>
            <w:tcW w:type="dxa" w:w="9994"/>
            <w:shd w:fill="FBF5DF"/>
            <w:tcMar>
              <w:top w:w="140" w:type="dxa"/>
              <w:start w:w="170" w:type="dxa"/>
              <w:bottom w:w="140" w:type="dxa"/>
              <w:end w:w="170" w:type="dxa"/>
            </w:tcMar>
          </w:tcPr>
          <w:p>
            <w:pPr>
              <w:spacing w:after="80"/>
            </w:pPr>
            <w:r>
              <w:rPr>
                <w:b/>
                <w:color w:val="003B73"/>
                <w:sz w:val="21"/>
              </w:rPr>
              <w:t>Le seuil de réussite ne doit pas être imposé uniformément à 100 %</w:t>
            </w:r>
          </w:p>
          <w:p>
            <w:pPr>
              <w:spacing w:after="0"/>
            </w:pPr>
            <w:r>
              <w:rPr>
                <w:color w:val="17202A"/>
                <w:sz w:val="18"/>
              </w:rPr>
              <w:t>Le seuil est défini par formation et annoncé à l’apprenant. Certaines activités peuvent exiger une maîtrise complète des éléments critiques de sécurité; d’autres peuvent utiliser un seuil global et des reprises. Les compétences pratiques ne peuvent pas être déclarées acquises sur la seule base d’un QCM.</w:t>
            </w:r>
          </w:p>
        </w:tc>
      </w:tr>
    </w:tbl>
    <w:p>
      <w:pPr>
        <w:spacing w:after="0"/>
      </w:pPr>
    </w:p>
    <w:p>
      <w:pPr>
        <w:pStyle w:val="Heading1"/>
      </w:pPr>
      <w:r>
        <w:t>4. Types de documents délivrables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vAlign w:val="center"/>
            <w:tcMar>
              <w:top w:w="90" w:type="dxa"/>
              <w:start w:w="110" w:type="dxa"/>
              <w:bottom w:w="90" w:type="dxa"/>
              <w:end w:w="110" w:type="dxa"/>
            </w:tcMar>
            <w:shd w:fill="003B73"/>
          </w:tcPr>
          <w:p>
            <w:r>
              <w:rPr>
                <w:b/>
                <w:color w:val="FFFFFF"/>
                <w:sz w:val="18"/>
              </w:rPr>
              <w:t>Type de document</w:t>
            </w:r>
          </w:p>
        </w:tc>
        <w:tc>
          <w:tcPr>
            <w:tcW w:type="dxa" w:w="3384"/>
            <w:vAlign w:val="center"/>
            <w:tcMar>
              <w:top w:w="90" w:type="dxa"/>
              <w:start w:w="110" w:type="dxa"/>
              <w:bottom w:w="90" w:type="dxa"/>
              <w:end w:w="110" w:type="dxa"/>
            </w:tcMar>
            <w:shd w:fill="003B73"/>
          </w:tcPr>
          <w:p>
            <w:r>
              <w:rPr>
                <w:b/>
                <w:color w:val="FFFFFF"/>
                <w:sz w:val="18"/>
              </w:rPr>
              <w:t>Condition de délivrance</w:t>
            </w:r>
          </w:p>
        </w:tc>
        <w:tc>
          <w:tcPr>
            <w:tcW w:type="dxa" w:w="3672"/>
            <w:vAlign w:val="center"/>
            <w:tcMar>
              <w:top w:w="90" w:type="dxa"/>
              <w:start w:w="110" w:type="dxa"/>
              <w:bottom w:w="90" w:type="dxa"/>
              <w:end w:w="110" w:type="dxa"/>
            </w:tcMar>
            <w:shd w:fill="003B73"/>
          </w:tcPr>
          <w:p>
            <w:r>
              <w:rPr>
                <w:b/>
                <w:color w:val="FFFFFF"/>
                <w:sz w:val="18"/>
              </w:rPr>
              <w:t>Limite à afficher</w:t>
            </w:r>
          </w:p>
        </w:tc>
      </w:tr>
      <w:tr>
        <w:tc>
          <w:tcPr>
            <w:tcW w:type="dxa" w:w="2376"/>
            <w:vAlign w:val="center"/>
            <w:tcMar>
              <w:top w:w="90" w:type="dxa"/>
              <w:start w:w="110" w:type="dxa"/>
              <w:bottom w:w="90" w:type="dxa"/>
              <w:end w:w="110" w:type="dxa"/>
            </w:tcMar>
          </w:tcPr>
          <w:p>
            <w:pPr>
              <w:spacing w:after="20"/>
            </w:pPr>
            <w:r>
              <w:rPr>
                <w:color w:val="17202A"/>
                <w:sz w:val="17"/>
              </w:rPr>
              <w:t>Attestation de participation</w:t>
            </w:r>
          </w:p>
        </w:tc>
        <w:tc>
          <w:tcPr>
            <w:tcW w:type="dxa" w:w="3384"/>
            <w:vAlign w:val="center"/>
            <w:tcMar>
              <w:top w:w="90" w:type="dxa"/>
              <w:start w:w="110" w:type="dxa"/>
              <w:bottom w:w="90" w:type="dxa"/>
              <w:end w:w="110" w:type="dxa"/>
            </w:tcMar>
          </w:tcPr>
          <w:p>
            <w:pPr>
              <w:spacing w:after="20"/>
            </w:pPr>
            <w:r>
              <w:rPr>
                <w:color w:val="17202A"/>
                <w:sz w:val="17"/>
              </w:rPr>
              <w:t>Participation à une séance ou à une activité définie.</w:t>
            </w:r>
          </w:p>
        </w:tc>
        <w:tc>
          <w:tcPr>
            <w:tcW w:type="dxa" w:w="3672"/>
            <w:vAlign w:val="center"/>
            <w:tcMar>
              <w:top w:w="90" w:type="dxa"/>
              <w:start w:w="110" w:type="dxa"/>
              <w:bottom w:w="90" w:type="dxa"/>
              <w:end w:w="110" w:type="dxa"/>
            </w:tcMar>
          </w:tcPr>
          <w:p>
            <w:pPr>
              <w:spacing w:after="20"/>
            </w:pPr>
            <w:r>
              <w:rPr>
                <w:color w:val="17202A"/>
                <w:sz w:val="17"/>
              </w:rPr>
              <w:t>Ne signifie pas nécessairement que toutes les compétences sont acquises.</w:t>
            </w:r>
          </w:p>
        </w:tc>
      </w:tr>
      <w:tr>
        <w:tc>
          <w:tcPr>
            <w:tcW w:type="dxa" w:w="2376"/>
            <w:vAlign w:val="center"/>
            <w:tcMar>
              <w:top w:w="90" w:type="dxa"/>
              <w:start w:w="110" w:type="dxa"/>
              <w:bottom w:w="90" w:type="dxa"/>
              <w:end w:w="110" w:type="dxa"/>
            </w:tcMar>
            <w:shd w:fill="F5F8FC"/>
          </w:tcPr>
          <w:p>
            <w:pPr>
              <w:spacing w:after="20"/>
            </w:pPr>
            <w:r>
              <w:rPr>
                <w:color w:val="17202A"/>
                <w:sz w:val="17"/>
              </w:rPr>
              <w:t>Attestation d’achèvement / de suivi</w:t>
            </w:r>
          </w:p>
        </w:tc>
        <w:tc>
          <w:tcPr>
            <w:tcW w:type="dxa" w:w="3384"/>
            <w:vAlign w:val="center"/>
            <w:tcMar>
              <w:top w:w="90" w:type="dxa"/>
              <w:start w:w="110" w:type="dxa"/>
              <w:bottom w:w="90" w:type="dxa"/>
              <w:end w:w="110" w:type="dxa"/>
            </w:tcMar>
            <w:shd w:fill="F5F8FC"/>
          </w:tcPr>
          <w:p>
            <w:pPr>
              <w:spacing w:after="20"/>
            </w:pPr>
            <w:r>
              <w:rPr>
                <w:color w:val="17202A"/>
                <w:sz w:val="17"/>
              </w:rPr>
              <w:t>Parcours terminé selon les critères de complétion annoncés.</w:t>
            </w:r>
          </w:p>
        </w:tc>
        <w:tc>
          <w:tcPr>
            <w:tcW w:type="dxa" w:w="3672"/>
            <w:vAlign w:val="center"/>
            <w:tcMar>
              <w:top w:w="90" w:type="dxa"/>
              <w:start w:w="110" w:type="dxa"/>
              <w:bottom w:w="90" w:type="dxa"/>
              <w:end w:w="110" w:type="dxa"/>
            </w:tcMar>
            <w:shd w:fill="F5F8FC"/>
          </w:tcPr>
          <w:p>
            <w:pPr>
              <w:spacing w:after="20"/>
            </w:pPr>
            <w:r>
              <w:rPr>
                <w:color w:val="17202A"/>
                <w:sz w:val="17"/>
              </w:rPr>
              <w:t>Ne signifie pas automatiquement réussite à une évaluation.</w:t>
            </w:r>
          </w:p>
        </w:tc>
      </w:tr>
      <w:tr>
        <w:tc>
          <w:tcPr>
            <w:tcW w:type="dxa" w:w="2376"/>
            <w:vAlign w:val="center"/>
            <w:tcMar>
              <w:top w:w="90" w:type="dxa"/>
              <w:start w:w="110" w:type="dxa"/>
              <w:bottom w:w="90" w:type="dxa"/>
              <w:end w:w="110" w:type="dxa"/>
            </w:tcMar>
          </w:tcPr>
          <w:p>
            <w:pPr>
              <w:spacing w:after="20"/>
            </w:pPr>
            <w:r>
              <w:rPr>
                <w:color w:val="17202A"/>
                <w:sz w:val="17"/>
              </w:rPr>
              <w:t>Certificat interne de réussite FHM Academy</w:t>
            </w:r>
          </w:p>
        </w:tc>
        <w:tc>
          <w:tcPr>
            <w:tcW w:type="dxa" w:w="3384"/>
            <w:vAlign w:val="center"/>
            <w:tcMar>
              <w:top w:w="90" w:type="dxa"/>
              <w:start w:w="110" w:type="dxa"/>
              <w:bottom w:w="90" w:type="dxa"/>
              <w:end w:w="110" w:type="dxa"/>
            </w:tcMar>
          </w:tcPr>
          <w:p>
            <w:pPr>
              <w:spacing w:after="20"/>
            </w:pPr>
            <w:r>
              <w:rPr>
                <w:color w:val="17202A"/>
                <w:sz w:val="17"/>
              </w:rPr>
              <w:t>Évaluation du cours réussie selon les règles validées et enregistrées.</w:t>
            </w:r>
          </w:p>
        </w:tc>
        <w:tc>
          <w:tcPr>
            <w:tcW w:type="dxa" w:w="3672"/>
            <w:vAlign w:val="center"/>
            <w:tcMar>
              <w:top w:w="90" w:type="dxa"/>
              <w:start w:w="110" w:type="dxa"/>
              <w:bottom w:w="90" w:type="dxa"/>
              <w:end w:w="110" w:type="dxa"/>
            </w:tcMar>
          </w:tcPr>
          <w:p>
            <w:pPr>
              <w:spacing w:after="20"/>
            </w:pPr>
            <w:r>
              <w:rPr>
                <w:color w:val="17202A"/>
                <w:sz w:val="17"/>
              </w:rPr>
              <w:t>Reconnaissance interne; ne pas le présenter comme diplôme d’État sans autorisation applicable.</w:t>
            </w:r>
          </w:p>
        </w:tc>
      </w:tr>
      <w:tr>
        <w:tc>
          <w:tcPr>
            <w:tcW w:type="dxa" w:w="2376"/>
            <w:vAlign w:val="center"/>
            <w:tcMar>
              <w:top w:w="90" w:type="dxa"/>
              <w:start w:w="110" w:type="dxa"/>
              <w:bottom w:w="90" w:type="dxa"/>
              <w:end w:w="110" w:type="dxa"/>
            </w:tcMar>
            <w:shd w:fill="F5F8FC"/>
          </w:tcPr>
          <w:p>
            <w:pPr>
              <w:spacing w:after="20"/>
            </w:pPr>
            <w:r>
              <w:rPr>
                <w:color w:val="17202A"/>
                <w:sz w:val="17"/>
              </w:rPr>
              <w:t>Validation de compétences pratiques</w:t>
            </w:r>
          </w:p>
        </w:tc>
        <w:tc>
          <w:tcPr>
            <w:tcW w:type="dxa" w:w="3384"/>
            <w:vAlign w:val="center"/>
            <w:tcMar>
              <w:top w:w="90" w:type="dxa"/>
              <w:start w:w="110" w:type="dxa"/>
              <w:bottom w:w="90" w:type="dxa"/>
              <w:end w:w="110" w:type="dxa"/>
            </w:tcMar>
            <w:shd w:fill="F5F8FC"/>
          </w:tcPr>
          <w:p>
            <w:pPr>
              <w:spacing w:after="20"/>
            </w:pPr>
            <w:r>
              <w:rPr>
                <w:color w:val="17202A"/>
                <w:sz w:val="17"/>
              </w:rPr>
              <w:t>Démonstration pratique observée et consignée par un évaluateur compétent, lorsque le métier l’exige.</w:t>
            </w:r>
          </w:p>
        </w:tc>
        <w:tc>
          <w:tcPr>
            <w:tcW w:type="dxa" w:w="3672"/>
            <w:vAlign w:val="center"/>
            <w:tcMar>
              <w:top w:w="90" w:type="dxa"/>
              <w:start w:w="110" w:type="dxa"/>
              <w:bottom w:w="90" w:type="dxa"/>
              <w:end w:w="110" w:type="dxa"/>
            </w:tcMar>
            <w:shd w:fill="F5F8FC"/>
          </w:tcPr>
          <w:p>
            <w:pPr>
              <w:spacing w:after="20"/>
            </w:pPr>
            <w:r>
              <w:rPr>
                <w:color w:val="17202A"/>
                <w:sz w:val="17"/>
              </w:rPr>
              <w:t>Préciser la méthode et le contexte de l’évaluation; ne pas la remplacer par un test théorique.</w:t>
            </w:r>
          </w:p>
        </w:tc>
      </w:tr>
    </w:tbl>
    <w:p>
      <w:pPr>
        <w:pStyle w:val="Heading1"/>
        <w:pageBreakBefore/>
      </w:pPr>
      <w:r>
        <w:t>5. Processus de délivrance automatique</w:t>
      </w:r>
    </w:p>
    <w:p>
      <w:r>
        <w:t>Le déclenchement automatique devra suivre une chaîne contrôlée :</w:t>
      </w:r>
    </w:p>
    <w:tbl>
      <w:tblPr>
        <w:tblW w:type="auto" w:w="0"/>
        <w:jc w:val="center"/>
        <w:tblLook w:firstColumn="1" w:firstRow="1" w:lastColumn="0" w:lastRow="0" w:noHBand="0" w:noVBand="1" w:val="04A0"/>
      </w:tblPr>
      <w:tblGrid>
        <w:gridCol w:w="9994"/>
      </w:tblGrid>
      <w:tr>
        <w:tc>
          <w:tcPr>
            <w:tcW w:type="dxa" w:w="9994"/>
            <w:shd w:fill="FBF5DF"/>
            <w:tcMar>
              <w:top w:w="140" w:type="dxa"/>
              <w:start w:w="170" w:type="dxa"/>
              <w:bottom w:w="140" w:type="dxa"/>
              <w:end w:w="170" w:type="dxa"/>
            </w:tcMar>
          </w:tcPr>
          <w:p>
            <w:pPr>
              <w:spacing w:after="80"/>
            </w:pPr>
            <w:r>
              <w:rPr>
                <w:b/>
                <w:color w:val="003B73"/>
                <w:sz w:val="21"/>
              </w:rPr>
              <w:t>Règle de déclenchement</w:t>
            </w:r>
          </w:p>
          <w:p>
            <w:pPr>
              <w:spacing w:after="0"/>
            </w:pPr>
            <w:r>
              <w:rPr>
                <w:color w:val="17202A"/>
                <w:sz w:val="18"/>
              </w:rPr>
              <w:t>INSCRIPTION → LEÇONS REQUISES → ÉVALUATION(S) → CRITÈRES VALIDÉS → VÉRIFICATION DU STATUT → NUMÉRO UNIQUE → PDF → QR DE VÉRIFICATION → INSCRIPTION AU REGISTRE</w:t>
            </w:r>
          </w:p>
        </w:tc>
      </w:tr>
    </w:tbl>
    <w:p>
      <w:pPr>
        <w:spacing w:after="0"/>
      </w:pPr>
    </w:p>
    <w:p>
      <w:pPr>
        <w:pStyle w:val="ListBullet"/>
        <w:spacing w:after="60"/>
      </w:pPr>
      <w:r>
        <w:t>Le système vérifie la complétion du cours et les résultats requis.</w:t>
      </w:r>
    </w:p>
    <w:p>
      <w:pPr>
        <w:pStyle w:val="ListBullet"/>
        <w:spacing w:after="60"/>
      </w:pPr>
      <w:r>
        <w:t>Il confirme le type d’attestation autorisé pour le parcours et la présence, le cas échéant, d’une validation pratique.</w:t>
      </w:r>
    </w:p>
    <w:p>
      <w:pPr>
        <w:pStyle w:val="ListBullet"/>
        <w:spacing w:after="60"/>
      </w:pPr>
      <w:r>
        <w:t>Il attribue un numéro non réutilisable, par exemple selon un format interne de type FHM-AC-AAAA-xxxxx; le format final reste à approuver.</w:t>
      </w:r>
    </w:p>
    <w:p>
      <w:pPr>
        <w:pStyle w:val="ListBullet"/>
        <w:spacing w:after="60"/>
      </w:pPr>
      <w:r>
        <w:t>Il génère le PDF depuis un modèle versionné et consigne la date, le cours, la version des règles, le résultat et l’identité du document.</w:t>
      </w:r>
    </w:p>
    <w:p>
      <w:pPr>
        <w:pStyle w:val="ListBullet"/>
        <w:spacing w:after="60"/>
      </w:pPr>
      <w:r>
        <w:t>Il inscrit le document dans un registre de vérification, avec des états tels que valide, remplacé, annulé ou révoqué.</w:t>
      </w:r>
    </w:p>
    <w:p>
      <w:pPr>
        <w:pStyle w:val="ListBullet"/>
        <w:spacing w:after="60"/>
      </w:pPr>
      <w:r>
        <w:t>Il conserve une trace d’audit pour les corrections, réémissions, révocations et opérations administratives.</w:t>
      </w:r>
    </w:p>
    <w:p>
      <w:pPr>
        <w:pStyle w:val="Heading1"/>
        <w:pageBreakBefore w:val="0"/>
      </w:pPr>
      <w:r>
        <w:t>6. Informations du certificat</w:t>
      </w:r>
    </w:p>
    <w:p>
      <w:pPr>
        <w:pStyle w:val="ListBullet"/>
        <w:spacing w:after="60"/>
      </w:pPr>
      <w:r>
        <w:t>logo approuvé et nom de l’organisme émetteur, présentés conformément au statut réel de l’institution;</w:t>
      </w:r>
    </w:p>
    <w:p>
      <w:pPr>
        <w:pStyle w:val="ListBullet"/>
        <w:spacing w:after="60"/>
      </w:pPr>
      <w:r>
        <w:t>nom complet de l’apprenant, selon les données confirmées et avec les mesures de protection appropriées;</w:t>
      </w:r>
    </w:p>
    <w:p>
      <w:pPr>
        <w:pStyle w:val="ListBullet"/>
        <w:spacing w:after="60"/>
      </w:pPr>
      <w:r>
        <w:t>titre exact de la formation, niveau ou version du parcours et type de document délivré;</w:t>
      </w:r>
    </w:p>
    <w:p>
      <w:pPr>
        <w:pStyle w:val="ListBullet"/>
        <w:spacing w:after="60"/>
      </w:pPr>
      <w:r>
        <w:t>date de délivrance et, lorsque pertinent, durée ou volume de formation suivi;</w:t>
      </w:r>
    </w:p>
    <w:p>
      <w:pPr>
        <w:pStyle w:val="ListBullet"/>
        <w:spacing w:after="60"/>
      </w:pPr>
      <w:r>
        <w:t>numéro d’enregistrement unique et QR code renvoyant vers une page de vérification contrôlée par FHM;</w:t>
      </w:r>
    </w:p>
    <w:p>
      <w:pPr>
        <w:pStyle w:val="ListBullet"/>
        <w:spacing w:after="60"/>
      </w:pPr>
      <w:r>
        <w:t>nom et fonction du signataire autorisé, signature ou sceau approuvé selon une procédure sécurisée;</w:t>
      </w:r>
    </w:p>
    <w:p>
      <w:pPr>
        <w:pStyle w:val="ListBullet"/>
        <w:spacing w:after="60"/>
      </w:pPr>
      <w:r>
        <w:t>mention claire de la portée du document et de l’absence d’équivalence officielle si aucune reconnaissance applicable n’a été obtenue.</w:t>
      </w:r>
    </w:p>
    <w:p>
      <w:pPr>
        <w:pStyle w:val="Heading1"/>
      </w:pPr>
      <w:r>
        <w:t>7. Vérification, confidentialité et intégrité</w:t>
      </w:r>
    </w:p>
    <w:p>
      <w:pPr>
        <w:pStyle w:val="ListBullet"/>
        <w:spacing w:after="60"/>
      </w:pPr>
      <w:r>
        <w:t>Le QR code doit pointer vers un domaine maîtrisé par FHM et permettre de vérifier que le numéro existe et que le document est valide.</w:t>
      </w:r>
    </w:p>
    <w:p>
      <w:pPr>
        <w:pStyle w:val="ListBullet"/>
        <w:spacing w:after="60"/>
      </w:pPr>
      <w:r>
        <w:t>La page publique de vérification doit afficher seulement les informations nécessaires. Les résultats détaillés, coordonnées, dates de naissance et autres données personnelles ne doivent pas être publics par défaut.</w:t>
      </w:r>
    </w:p>
    <w:p>
      <w:pPr>
        <w:pStyle w:val="ListBullet"/>
        <w:spacing w:after="60"/>
      </w:pPr>
      <w:r>
        <w:t>L’émission, le remplacement et la révocation doivent être réservés à des comptes autorisés et journalisés.</w:t>
      </w:r>
    </w:p>
    <w:p>
      <w:pPr>
        <w:pStyle w:val="ListBullet"/>
        <w:spacing w:after="60"/>
      </w:pPr>
      <w:r>
        <w:t>Une image de signature ne doit pas être traitée comme une signature sécurisée à elle seule. Son usage doit être autorisé, maîtrisé et protégé contre les délivrances non autorisées.</w:t>
      </w:r>
    </w:p>
    <w:p>
      <w:pPr>
        <w:pStyle w:val="ListBullet"/>
        <w:spacing w:after="60"/>
      </w:pPr>
      <w:r>
        <w:t>Le nom officiel du fondateur/signataire doit être confirmé avant de figer le modèle. L’exemple visuel transmis contient une graphie à confirmer par rapport aux pièces et documents de référence.</w:t>
      </w:r>
    </w:p>
    <w:p>
      <w:pPr>
        <w:pStyle w:val="ListBullet"/>
        <w:spacing w:after="60"/>
      </w:pPr>
      <w:r>
        <w:t>Les données personnelles des apprenants doivent être collectées au minimum nécessaire et gérées selon une politique de confidentialité adaptée.</w:t>
      </w:r>
    </w:p>
    <w:p>
      <w:pPr>
        <w:pStyle w:val="Heading1"/>
      </w:pPr>
      <w:r>
        <w:t>8. Usage du mot « officiel » et reconnaissance</w:t>
      </w:r>
    </w:p>
    <w:tbl>
      <w:tblPr>
        <w:tblW w:type="auto" w:w="0"/>
        <w:jc w:val="center"/>
        <w:tblLook w:firstColumn="1" w:firstRow="1" w:lastColumn="0" w:lastRow="0" w:noHBand="0" w:noVBand="1" w:val="04A0"/>
      </w:tblPr>
      <w:tblGrid>
        <w:gridCol w:w="9994"/>
      </w:tblGrid>
      <w:tr>
        <w:tc>
          <w:tcPr>
            <w:tcW w:type="dxa" w:w="9994"/>
            <w:shd w:fill="FBF5DF"/>
            <w:tcMar>
              <w:top w:w="140" w:type="dxa"/>
              <w:start w:w="170" w:type="dxa"/>
              <w:bottom w:w="140" w:type="dxa"/>
              <w:end w:w="170" w:type="dxa"/>
            </w:tcMar>
          </w:tcPr>
          <w:p>
            <w:pPr>
              <w:spacing w:after="80"/>
            </w:pPr>
            <w:r>
              <w:rPr>
                <w:b/>
                <w:color w:val="003B73"/>
                <w:sz w:val="21"/>
              </w:rPr>
              <w:t>Règle de prudence</w:t>
            </w:r>
          </w:p>
          <w:p>
            <w:pPr>
              <w:spacing w:after="0"/>
            </w:pPr>
            <w:r>
              <w:rPr>
                <w:color w:val="17202A"/>
                <w:sz w:val="18"/>
              </w:rPr>
              <w:t>Le certificat peut être un document émis officiellement par FHM Academy dans le cadre de son propre parcours, sans être pour autant un diplôme ou un titre professionnel reconnu par l’État. Jusqu’à vérification du statut de l’entité, des autorisations et des règles applicables, préférer « attestation de réussite FHM Academy » ou « certificat interne de réussite FHM Academy » et ne revendiquer aucune reconnaissance externe non obtenue.</w:t>
            </w:r>
          </w:p>
        </w:tc>
      </w:tr>
    </w:tbl>
    <w:p>
      <w:pPr>
        <w:spacing w:after="0"/>
      </w:pPr>
    </w:p>
    <w:p>
      <w:r>
        <w:t>Le Ministère de la Formation Professionnelle de la RDC publie un répertoire des établissements de formation agréés. Une publication du 25 septembre 2026 décrit par ailleurs une réforme des évaluations certificatives qui met l’accent sur les compétences démontrées, le savoir-faire et le savoir-être en situation réelle. Ces éléments justifient de vérifier les exigences applicables avant d’émettre des titres professionnels ou de présenter un centre comme agréé; ils ne déterminent pas à eux seuls les formalités exactes que FHM devra accomplir.</w:t>
      </w:r>
    </w:p>
    <w:p>
      <w:pPr>
        <w:spacing w:after="40"/>
      </w:pPr>
      <w:r>
        <w:rPr>
          <w:b/>
          <w:color w:val="003B73"/>
        </w:rPr>
        <w:t>Références publiques à vérifier au moment de la formalisation :</w:t>
      </w:r>
    </w:p>
    <w:p>
      <w:pPr>
        <w:pStyle w:val="ListBullet"/>
        <w:spacing w:after="60"/>
      </w:pPr>
      <w:hyperlink r:id="rId12">
        <w:r>
          <w:rPr>
            <w:color w:val="0057B8"/>
            <w:u w:val="single"/>
            <w:sz w:val="18"/>
          </w:rPr>
          <w:t>Répertoire officiel des établissements de formation agréés — Ministère de la Formation Professionnelle</w:t>
        </w:r>
      </w:hyperlink>
    </w:p>
    <w:p>
      <w:pPr>
        <w:pStyle w:val="ListBullet"/>
        <w:spacing w:after="60"/>
      </w:pPr>
      <w:hyperlink r:id="rId13">
        <w:r>
          <w:rPr>
            <w:color w:val="0057B8"/>
            <w:u w:val="single"/>
            <w:sz w:val="18"/>
          </w:rPr>
          <w:t>Réforme des évaluations certificatives — Ministère de la Formation Professionnelle, 25 septembre 2026</w:t>
        </w:r>
      </w:hyperlink>
    </w:p>
    <w:p>
      <w:pPr>
        <w:pStyle w:val="Heading1"/>
        <w:pageBreakBefore w:val="0"/>
      </w:pPr>
      <w:r>
        <w:t>9. Modèle visuel reçu — à titre de prototype</w:t>
      </w:r>
    </w:p>
    <w:p>
      <w:r>
        <w:t>L’image ci-dessous est conservée comme référence graphique communiquée le 10 octobre 2026. Elle ne constitue pas la preuve qu’une formation réelle a été suivie ou qu’un certificat a été émis. Le nom de l’apprenant, la date, le numéro, la signature et le sceau doivent être remplacés ou confirmés avant tout usage réel. Pour toute diffusion publique de cette maquette, ajouter visiblement « MODÈLE — NON VALABLE COMME CERTIFICAT » afin d’éviter toute confusion.</w:t>
      </w:r>
    </w:p>
    <w:p>
      <w:pPr>
        <w:jc w:val="center"/>
      </w:pPr>
      <w:r>
        <w:drawing>
          <wp:inline xmlns:a="http://schemas.openxmlformats.org/drawingml/2006/main" xmlns:pic="http://schemas.openxmlformats.org/drawingml/2006/picture">
            <wp:extent cx="4389120" cy="3100941"/>
            <wp:docPr id="1" name="Picture 1"/>
            <wp:cNvGraphicFramePr>
              <a:graphicFrameLocks noChangeAspect="1"/>
            </wp:cNvGraphicFramePr>
            <a:graphic>
              <a:graphicData uri="http://schemas.openxmlformats.org/drawingml/2006/picture">
                <pic:pic>
                  <pic:nvPicPr>
                    <pic:cNvPr id="0" name="1000635648.jpg"/>
                    <pic:cNvPicPr/>
                  </pic:nvPicPr>
                  <pic:blipFill>
                    <a:blip r:embed="rId11"/>
                    <a:stretch>
                      <a:fillRect/>
                    </a:stretch>
                  </pic:blipFill>
                  <pic:spPr>
                    <a:xfrm>
                      <a:off x="0" y="0"/>
                      <a:ext cx="4389120" cy="3100941"/>
                    </a:xfrm>
                    <a:prstGeom prst="rect"/>
                  </pic:spPr>
                </pic:pic>
              </a:graphicData>
            </a:graphic>
          </wp:inline>
        </w:drawing>
      </w:r>
    </w:p>
    <w:p>
      <w:pPr>
        <w:jc w:val="center"/>
      </w:pPr>
      <w:r>
        <w:rPr>
          <w:i/>
          <w:color w:val="687684"/>
          <w:sz w:val="16"/>
        </w:rPr>
        <w:t>Illustration de référence fournie par le fondateur — maquette, non émise.</w:t>
      </w:r>
    </w:p>
    <w:p>
      <w:pPr>
        <w:pStyle w:val="Heading1"/>
        <w:pageBreakBefore/>
      </w:pPr>
      <w:r>
        <w:t>10. Étapes de conception recommandées</w:t>
      </w:r>
    </w:p>
    <w:p>
      <w:pPr>
        <w:pStyle w:val="ListBullet"/>
        <w:spacing w:after="40"/>
      </w:pPr>
      <w:r>
        <w:t>Valider la politique de formation et les types d’attestations.</w:t>
      </w:r>
    </w:p>
    <w:p>
      <w:pPr>
        <w:pStyle w:val="ListBullet"/>
        <w:spacing w:after="40"/>
      </w:pPr>
      <w:r>
        <w:t>Confirmer l’identité institutionnelle et l’orthographe officielle du signataire.</w:t>
      </w:r>
    </w:p>
    <w:p>
      <w:pPr>
        <w:pStyle w:val="ListBullet"/>
        <w:spacing w:after="40"/>
      </w:pPr>
      <w:r>
        <w:t>Vérifier le cadre juridique et les autorisations applicables en RDC avant toute revendication de reconnaissance professionnelle.</w:t>
      </w:r>
    </w:p>
    <w:p>
      <w:pPr>
        <w:pStyle w:val="ListBullet"/>
        <w:spacing w:after="40"/>
      </w:pPr>
      <w:r>
        <w:t>Définir un premier cours pilote avec des objectifs, un contenu relu, des évaluations et des critères de réussite.</w:t>
      </w:r>
    </w:p>
    <w:p>
      <w:pPr>
        <w:pStyle w:val="ListBullet"/>
        <w:spacing w:after="40"/>
      </w:pPr>
      <w:r>
        <w:t>Créer un modèle de certificat clairement qualifié, un numéro unique et un registre test.</w:t>
      </w:r>
    </w:p>
    <w:p>
      <w:pPr>
        <w:pStyle w:val="ListBullet"/>
        <w:spacing w:after="40"/>
      </w:pPr>
      <w:r>
        <w:t>Tester les règles de réussite, la sécurité, la vérification du QR code, les corrections et la confidentialité avant toute délivrance réelle.</w:t>
      </w:r>
    </w:p>
    <w:p>
      <w:pPr>
        <w:pStyle w:val="ListBullet"/>
        <w:spacing w:after="40"/>
      </w:pPr>
      <w:r>
        <w:t>Déployer ensuite par étapes le tuteur IA et l’automatisation de génération des cours, en conservant un contrôle qualité.</w:t>
      </w:r>
    </w:p>
    <w:tbl>
      <w:tblPr>
        <w:tblW w:type="auto" w:w="0"/>
        <w:jc w:val="center"/>
        <w:tblLook w:firstColumn="1" w:firstRow="1" w:lastColumn="0" w:lastRow="0" w:noHBand="0" w:noVBand="1" w:val="04A0"/>
      </w:tblPr>
      <w:tblGrid>
        <w:gridCol w:w="9994"/>
      </w:tblGrid>
      <w:tr>
        <w:tc>
          <w:tcPr>
            <w:tcW w:type="dxa" w:w="9994"/>
            <w:shd w:fill="EAF2FA"/>
            <w:tcMar>
              <w:top w:w="140" w:type="dxa"/>
              <w:start w:w="170" w:type="dxa"/>
              <w:bottom w:w="140" w:type="dxa"/>
              <w:end w:w="170" w:type="dxa"/>
            </w:tcMar>
          </w:tcPr>
          <w:p>
            <w:pPr>
              <w:spacing w:after="80"/>
            </w:pPr>
            <w:r>
              <w:rPr>
                <w:b/>
                <w:color w:val="003B73"/>
                <w:sz w:val="21"/>
              </w:rPr>
              <w:t>État de validation</w:t>
            </w:r>
          </w:p>
          <w:p>
            <w:pPr>
              <w:spacing w:after="0"/>
            </w:pPr>
            <w:r>
              <w:rPr>
                <w:color w:val="17202A"/>
                <w:sz w:val="18"/>
              </w:rPr>
              <w:t>Document préliminaire V1.0 — à valider par le fondateur. Le modèle visuel est une référence de conception; il ne doit pas être présenté comme un certificat réel déjà délivré. Le contenu pourra être enrichi dans les versions ultérieures.</w:t>
            </w:r>
          </w:p>
        </w:tc>
      </w:tr>
    </w:tbl>
    <w:p>
      <w:pPr>
        <w:spacing w:after="0"/>
      </w:pP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684"/>
        <w:sz w:val="14"/>
      </w:rPr>
      <w:t>DOCUMENT DE TRAVAIL  •  FHM  •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57B8"/>
        <w:sz w:val="16"/>
      </w:rPr>
      <w:t>FONDATION HORIZON MONDIAL  |  FHM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ontserrat" w:hAnsi="Montserrat"/>
      <w:b/>
      <w:bCs/>
      <w:color w:val="003B7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ontserrat" w:hAnsi="Montserrat"/>
      <w:b/>
      <w:bCs/>
      <w:color w:val="0057B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ontserrat" w:hAnsi="Montserrat"/>
      <w:b/>
      <w:bCs/>
      <w:color w:val="003B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ontserrat" w:hAnsi="Montserrat"/>
      <w:b/>
      <w:color w:val="003B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mail.formation.gouv.cd/annuaire/centre" TargetMode="External"/><Relationship Id="rId13" Type="http://schemas.openxmlformats.org/officeDocument/2006/relationships/hyperlink" Target="https://www.formation.gouv.cd/ressources/lecture?urls=99e_reunion_du_conseil_des_ministres_la_reforme_du_systeme_devaluation_portee_par_me_marc_ekila_likombo_adoptee_par_le_gouvern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