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Montserrat" w:hAnsi="Montserrat"/>
          <w:b/>
          <w:color w:val="C9A227"/>
          <w:sz w:val="48"/>
        </w:rPr>
        <w:t>FHM</w:t>
      </w:r>
    </w:p>
    <w:p>
      <w:pPr>
        <w:spacing w:before="360"/>
        <w:jc w:val="center"/>
      </w:pPr>
      <w:r>
        <w:rPr>
          <w:rFonts w:ascii="Montserrat" w:hAnsi="Montserrat"/>
          <w:b/>
          <w:color w:val="003B73"/>
          <w:sz w:val="60"/>
        </w:rPr>
        <w:t>FONDATION</w:t>
        <w:br/>
        <w:t>HORIZON MONDIAL</w:t>
      </w:r>
    </w:p>
    <w:p>
      <w:pPr>
        <w:spacing w:before="280"/>
        <w:jc w:val="center"/>
      </w:pPr>
      <w:r>
        <w:rPr>
          <w:b/>
          <w:color w:val="0057B8"/>
          <w:sz w:val="30"/>
        </w:rPr>
        <w:t>DOSSIER DE DÉMARRAGE INSTITUTIONNEL</w:t>
      </w:r>
    </w:p>
    <w:p>
      <w:pPr>
        <w:jc w:val="center"/>
      </w:pPr>
      <w:r>
        <w:rPr>
          <w:color w:val="5B6573"/>
          <w:sz w:val="24"/>
        </w:rPr>
        <w:t>Socle de référence provisoire pour avancer sans attendre</w:t>
        <w:br/>
        <w:t>la finalisation de toute la documentation</w:t>
      </w:r>
    </w:p>
    <w:p>
      <w:pPr>
        <w:spacing w:before="680"/>
        <w:jc w:val="center"/>
      </w:pPr>
      <w:r>
        <w:rPr>
          <w:rFonts w:ascii="Montserrat" w:hAnsi="Montserrat"/>
          <w:b/>
          <w:color w:val="003B73"/>
          <w:sz w:val="26"/>
        </w:rPr>
        <w:t>DIGNITÉ  •  CONNAISSANCE  •  ACTION</w:t>
      </w:r>
    </w:p>
    <w:p>
      <w:pPr>
        <w:spacing w:before="900"/>
        <w:jc w:val="center"/>
      </w:pPr>
      <w:r>
        <w:rPr>
          <w:color w:val="5B6573"/>
          <w:sz w:val="20"/>
        </w:rPr>
        <w:t>Fondateur : NKUMU AYEMBA Aime</w:t>
        <w:br/>
        <w:t>Base : Goma, Nord-Kivu, République démocratique du Congo</w:t>
        <w:br/>
        <w:t>Version 1.0 — Octobre 2026</w:t>
      </w:r>
    </w:p>
    <w:p>
      <w:pPr>
        <w:spacing w:before="500"/>
        <w:jc w:val="center"/>
      </w:pPr>
      <w:r>
        <w:rPr>
          <w:b/>
          <w:color w:val="0057B8"/>
          <w:sz w:val="17"/>
        </w:rPr>
        <w:t>STATUT : DOCUMENT DE TRAVAIL — NON CONSTITUTIF À LUI SEUL</w:t>
      </w:r>
    </w:p>
    <w:p>
      <w:r>
        <w:br w:type="page"/>
      </w:r>
    </w:p>
    <w:p>
      <w:pPr>
        <w:pStyle w:val="Heading1"/>
      </w:pPr>
      <w:r>
        <w:t>1. Pourquoi ce dossier existe</w:t>
      </w:r>
    </w:p>
    <w:p>
      <w:r>
        <w:rPr>
          <w:i w:val="0"/>
        </w:rPr>
        <w:t>La Fondation Horizon Mondial ne doit pas attendre que tous ses manuels, politiques et procédures soient terminés pour commencer à présenter clairement sa vision au public. En même temps, elle ne doit pas laisser croire que des documents sont validés, que des programmes sont opérationnels ou que sa situation juridique est finalisée alors que ce n'est pas le cas.</w:t>
      </w:r>
    </w:p>
    <w:p>
      <w:r>
        <w:rPr>
          <w:i w:val="0"/>
        </w:rPr>
        <w:t>Ce dossier crée un socle de démarrage : il rassemble les orientations déjà exprimées, identifie ce qui peut être présenté dès maintenant et sépare les décisions établies des éléments qui restent à discuter ou à vérifier.</w:t>
      </w:r>
    </w:p>
    <w:tbl>
      <w:tblPr>
        <w:tblW w:type="auto" w:w="0"/>
        <w:jc w:val="center"/>
        <w:tblLook w:firstColumn="1" w:firstRow="1" w:lastColumn="0" w:lastRow="0" w:noHBand="0" w:noVBand="1" w:val="04A0"/>
      </w:tblPr>
      <w:tblGrid>
        <w:gridCol w:w="9994"/>
      </w:tblGrid>
      <w:tr>
        <w:tc>
          <w:tcPr>
            <w:tcW w:type="dxa" w:w="9994"/>
            <w:shd w:fill="E9F5EF"/>
            <w:tcMar>
              <w:top w:w="140" w:type="dxa"/>
              <w:start w:w="180" w:type="dxa"/>
              <w:bottom w:w="140" w:type="dxa"/>
              <w:end w:w="180" w:type="dxa"/>
            </w:tcMar>
          </w:tcPr>
          <w:p>
            <w:pPr>
              <w:spacing w:after="60"/>
            </w:pPr>
            <w:r>
              <w:rPr>
                <w:rFonts w:ascii="Montserrat" w:hAnsi="Montserrat"/>
                <w:b/>
                <w:color w:val="003B73"/>
                <w:sz w:val="20"/>
              </w:rPr>
              <w:t>Principe de progression</w:t>
            </w:r>
          </w:p>
          <w:p>
            <w:pPr>
              <w:spacing w:after="0"/>
            </w:pPr>
            <w:r>
              <w:rPr>
                <w:sz w:val="17"/>
              </w:rPr>
              <w:t>Préparer une première version utile, la valider, commencer les actions qui sont prêtes et continuer à enrichir les documents par versions successives. La documentation est vivante : elle évolue, mais chaque version doit rester identifiable.</w:t>
            </w:r>
          </w:p>
        </w:tc>
      </w:tr>
    </w:tbl>
    <w:p>
      <w:pPr>
        <w:pStyle w:val="Heading1"/>
      </w:pPr>
      <w:r>
        <w:t>2. État institutionnel à ce jour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vAlign w:val="center"/>
            <w:tcMar>
              <w:top w:w="90" w:type="dxa"/>
              <w:start w:w="110" w:type="dxa"/>
              <w:bottom w:w="90" w:type="dxa"/>
              <w:end w:w="110" w:type="dxa"/>
            </w:tcMar>
            <w:shd w:fill="003B73"/>
          </w:tcPr>
          <w:p>
            <w:pPr>
              <w:spacing w:after="20" w:before="20"/>
            </w:pPr>
            <w:r>
              <w:rPr>
                <w:rFonts w:ascii="Aptos" w:hAnsi="Aptos"/>
                <w:b/>
                <w:color w:val="FFFFFF"/>
                <w:sz w:val="18"/>
              </w:rPr>
              <w:t>Élément</w:t>
            </w:r>
          </w:p>
        </w:tc>
        <w:tc>
          <w:tcPr>
            <w:tcW w:type="dxa" w:w="7128"/>
            <w:vAlign w:val="center"/>
            <w:tcMar>
              <w:top w:w="90" w:type="dxa"/>
              <w:start w:w="110" w:type="dxa"/>
              <w:bottom w:w="90" w:type="dxa"/>
              <w:end w:w="110" w:type="dxa"/>
            </w:tcMar>
            <w:shd w:fill="003B73"/>
          </w:tcPr>
          <w:p>
            <w:pPr>
              <w:spacing w:after="20" w:before="20"/>
            </w:pPr>
            <w:r>
              <w:rPr>
                <w:rFonts w:ascii="Aptos" w:hAnsi="Aptos"/>
                <w:b/>
                <w:color w:val="FFFFFF"/>
                <w:sz w:val="18"/>
              </w:rPr>
              <w:t>État de référence</w:t>
            </w:r>
          </w:p>
        </w:tc>
      </w:tr>
      <w:tr>
        <w:tc>
          <w:tcPr>
            <w:tcW w:type="dxa" w:w="2520"/>
            <w:vAlign w:val="center"/>
            <w:tcMar>
              <w:top w:w="90" w:type="dxa"/>
              <w:start w:w="110" w:type="dxa"/>
              <w:bottom w:w="90" w:type="dxa"/>
              <w:end w:w="110" w:type="dxa"/>
            </w:tcMar>
          </w:tcPr>
          <w:p>
            <w:pPr>
              <w:spacing w:after="20" w:before="20"/>
            </w:pPr>
            <w:r>
              <w:rPr>
                <w:rFonts w:ascii="Aptos" w:hAnsi="Aptos"/>
                <w:sz w:val="18"/>
              </w:rPr>
              <w:t>Nom</w:t>
            </w:r>
          </w:p>
        </w:tc>
        <w:tc>
          <w:tcPr>
            <w:tcW w:type="dxa" w:w="7128"/>
            <w:vAlign w:val="center"/>
            <w:tcMar>
              <w:top w:w="90" w:type="dxa"/>
              <w:start w:w="110" w:type="dxa"/>
              <w:bottom w:w="90" w:type="dxa"/>
              <w:end w:w="110" w:type="dxa"/>
            </w:tcMar>
          </w:tcPr>
          <w:p>
            <w:pPr>
              <w:spacing w:after="20" w:before="20"/>
            </w:pPr>
            <w:r>
              <w:rPr>
                <w:rFonts w:ascii="Aptos" w:hAnsi="Aptos"/>
                <w:sz w:val="18"/>
              </w:rPr>
              <w:t>Fondation Horizon Mondial (FHM)</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Fondateur</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NKUMU AYEMBA Aime</w:t>
            </w:r>
          </w:p>
        </w:tc>
      </w:tr>
      <w:tr>
        <w:tc>
          <w:tcPr>
            <w:tcW w:type="dxa" w:w="2520"/>
            <w:vAlign w:val="center"/>
            <w:tcMar>
              <w:top w:w="90" w:type="dxa"/>
              <w:start w:w="110" w:type="dxa"/>
              <w:bottom w:w="90" w:type="dxa"/>
              <w:end w:w="110" w:type="dxa"/>
            </w:tcMar>
          </w:tcPr>
          <w:p>
            <w:pPr>
              <w:spacing w:after="20" w:before="20"/>
            </w:pPr>
            <w:r>
              <w:rPr>
                <w:rFonts w:ascii="Aptos" w:hAnsi="Aptos"/>
                <w:sz w:val="18"/>
              </w:rPr>
              <w:t>Base géographique</w:t>
            </w:r>
          </w:p>
        </w:tc>
        <w:tc>
          <w:tcPr>
            <w:tcW w:type="dxa" w:w="7128"/>
            <w:vAlign w:val="center"/>
            <w:tcMar>
              <w:top w:w="90" w:type="dxa"/>
              <w:start w:w="110" w:type="dxa"/>
              <w:bottom w:w="90" w:type="dxa"/>
              <w:end w:w="110" w:type="dxa"/>
            </w:tcMar>
          </w:tcPr>
          <w:p>
            <w:pPr>
              <w:spacing w:after="20" w:before="20"/>
            </w:pPr>
            <w:r>
              <w:rPr>
                <w:rFonts w:ascii="Aptos" w:hAnsi="Aptos"/>
                <w:sz w:val="18"/>
              </w:rPr>
              <w:t>Goma, Nord-Kivu, RDC</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Statut juridique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Non encore enregistrée selon les informations communiquées par le fondateur.</w:t>
            </w:r>
          </w:p>
        </w:tc>
      </w:tr>
      <w:tr>
        <w:tc>
          <w:tcPr>
            <w:tcW w:type="dxa" w:w="2520"/>
            <w:vAlign w:val="center"/>
            <w:tcMar>
              <w:top w:w="90" w:type="dxa"/>
              <w:start w:w="110" w:type="dxa"/>
              <w:bottom w:w="90" w:type="dxa"/>
              <w:end w:w="110" w:type="dxa"/>
            </w:tcMar>
          </w:tcPr>
          <w:p>
            <w:pPr>
              <w:spacing w:after="20" w:before="20"/>
            </w:pPr>
            <w:r>
              <w:rPr>
                <w:rFonts w:ascii="Aptos" w:hAnsi="Aptos"/>
                <w:sz w:val="18"/>
              </w:rPr>
              <w:t>Slogan</w:t>
            </w:r>
          </w:p>
        </w:tc>
        <w:tc>
          <w:tcPr>
            <w:tcW w:type="dxa" w:w="7128"/>
            <w:vAlign w:val="center"/>
            <w:tcMar>
              <w:top w:w="90" w:type="dxa"/>
              <w:start w:w="110" w:type="dxa"/>
              <w:bottom w:w="90" w:type="dxa"/>
              <w:end w:w="110" w:type="dxa"/>
            </w:tcMar>
          </w:tcPr>
          <w:p>
            <w:pPr>
              <w:spacing w:after="20" w:before="20"/>
            </w:pPr>
            <w:r>
              <w:rPr>
                <w:rFonts w:ascii="Aptos" w:hAnsi="Aptos"/>
                <w:sz w:val="18"/>
              </w:rPr>
              <w:t>« Construire aujourd’hui, transformer demain. »</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Devise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 DIGNITÉ • CONNAISSANCE • ACTION »</w:t>
            </w:r>
          </w:p>
        </w:tc>
      </w:tr>
      <w:tr>
        <w:tc>
          <w:tcPr>
            <w:tcW w:type="dxa" w:w="2520"/>
            <w:vAlign w:val="center"/>
            <w:tcMar>
              <w:top w:w="90" w:type="dxa"/>
              <w:start w:w="110" w:type="dxa"/>
              <w:bottom w:w="90" w:type="dxa"/>
              <w:end w:w="110" w:type="dxa"/>
            </w:tcMar>
          </w:tcPr>
          <w:p>
            <w:pPr>
              <w:spacing w:after="20" w:before="20"/>
            </w:pPr>
            <w:r>
              <w:rPr>
                <w:rFonts w:ascii="Aptos" w:hAnsi="Aptos"/>
                <w:sz w:val="18"/>
              </w:rPr>
              <w:t>Fondement spirituel</w:t>
            </w:r>
          </w:p>
        </w:tc>
        <w:tc>
          <w:tcPr>
            <w:tcW w:type="dxa" w:w="7128"/>
            <w:vAlign w:val="center"/>
            <w:tcMar>
              <w:top w:w="90" w:type="dxa"/>
              <w:start w:w="110" w:type="dxa"/>
              <w:bottom w:w="90" w:type="dxa"/>
              <w:end w:w="110" w:type="dxa"/>
            </w:tcMar>
          </w:tcPr>
          <w:p>
            <w:pPr>
              <w:spacing w:after="20" w:before="20"/>
            </w:pPr>
            <w:r>
              <w:rPr>
                <w:rFonts w:ascii="Aptos" w:hAnsi="Aptos"/>
                <w:sz w:val="18"/>
              </w:rPr>
              <w:t>La foi en Dieu inspire l’identité, le service et l’engagement de la Fondation, dans le respect de la dignité et de la liberté de conscience de chaque personne.</w:t>
            </w:r>
          </w:p>
        </w:tc>
      </w:tr>
      <w:tr>
        <w:tc>
          <w:tcPr>
            <w:tcW w:type="dxa" w:w="2520"/>
            <w:vAlign w:val="center"/>
            <w:tcMar>
              <w:top w:w="90" w:type="dxa"/>
              <w:start w:w="110" w:type="dxa"/>
              <w:bottom w:w="90" w:type="dxa"/>
              <w:end w:w="110" w:type="dxa"/>
            </w:tcMar>
            <w:shd w:fill="F5F8FC"/>
          </w:tcPr>
          <w:p>
            <w:pPr>
              <w:spacing w:after="20" w:before="20"/>
            </w:pPr>
            <w:r>
              <w:rPr>
                <w:rFonts w:ascii="Aptos" w:hAnsi="Aptos"/>
                <w:sz w:val="18"/>
              </w:rPr>
              <w:t>Ambition à long terme</w:t>
            </w:r>
          </w:p>
        </w:tc>
        <w:tc>
          <w:tcPr>
            <w:tcW w:type="dxa" w:w="7128"/>
            <w:vAlign w:val="center"/>
            <w:tcMar>
              <w:top w:w="90" w:type="dxa"/>
              <w:start w:w="110" w:type="dxa"/>
              <w:bottom w:w="90" w:type="dxa"/>
              <w:end w:w="110" w:type="dxa"/>
            </w:tcMar>
            <w:shd w:fill="F5F8FC"/>
          </w:tcPr>
          <w:p>
            <w:pPr>
              <w:spacing w:after="20" w:before="20"/>
            </w:pPr>
            <w:r>
              <w:rPr>
                <w:rFonts w:ascii="Aptos" w:hAnsi="Aptos"/>
                <w:sz w:val="18"/>
              </w:rPr>
              <w:t>Contribuer à transformer la vie de millions de personnes grâce au développement des connaissances, des compétences et de l’autonomie.</w:t>
            </w:r>
          </w:p>
        </w:tc>
      </w:tr>
    </w:tbl>
    <w:p>
      <w:r>
        <w:rPr>
          <w:i/>
        </w:rPr>
        <w:t>Note : ce dossier ne remplace ni les statuts définitifs, ni les formalités d’enregistrement, ni les autorisations éventuellement requises. Les règles applicables devront être vérifiées avant toute démarche officielle.</w:t>
      </w:r>
    </w:p>
    <w:p>
      <w:r>
        <w:br w:type="page"/>
      </w:r>
    </w:p>
    <w:p>
      <w:pPr>
        <w:pStyle w:val="Heading1"/>
      </w:pPr>
      <w:r>
        <w:t>3. Identité, vision et mission</w:t>
      </w:r>
    </w:p>
    <w:p>
      <w:pPr>
        <w:pStyle w:val="Heading2"/>
      </w:pPr>
      <w:r>
        <w:t>3.1 Vision de travail</w:t>
      </w:r>
    </w:p>
    <w:p>
      <w:r>
        <w:rPr>
          <w:i w:val="0"/>
        </w:rPr>
        <w:t>Construire une institution africaine durable, innovante et ouverte sur le monde, qui contribue à développer le potentiel humain et communautaire afin que les personnes et les communautés puissent participer activement à la construction de leur avenir.</w:t>
      </w:r>
    </w:p>
    <w:p>
      <w:pPr>
        <w:pStyle w:val="Heading2"/>
      </w:pPr>
      <w:r>
        <w:t>3.2 Mission de travail</w:t>
      </w:r>
    </w:p>
    <w:p>
      <w:r>
        <w:rPr>
          <w:i w:val="0"/>
        </w:rPr>
        <w:t>La Fondation Horizon Mondial souhaite concevoir, soutenir et mettre en œuvre des initiatives dans les domaines de l’éducation, de la formation, de la santé, de la protection, de l’innovation, de la technologie, de l’autonomisation et du développement durable.</w:t>
      </w:r>
    </w:p>
    <w:p>
      <w:pPr>
        <w:pStyle w:val="Heading2"/>
      </w:pPr>
      <w:r>
        <w:t>3.3 Conviction fondatrice</w:t>
      </w:r>
    </w:p>
    <w:p>
      <w:r>
        <w:rPr>
          <w:i w:val="0"/>
        </w:rPr>
        <w:t>FHM veut aller au-delà de la réponse ponctuelle lorsque les circonstances le permettent : transmettre des connaissances, développer des compétences, accompagner le passage à l’action et soutenir progressivement l’autonomie. L’aide d’urgence demeure indispensable lorsqu’une personne ou une communauté est confrontée à un besoin immédiat.</w:t>
      </w:r>
    </w:p>
    <w:tbl>
      <w:tblPr>
        <w:tblW w:type="auto" w:w="0"/>
        <w:jc w:val="center"/>
        <w:tblLook w:firstColumn="1" w:firstRow="1" w:lastColumn="0" w:lastRow="0" w:noHBand="0" w:noVBand="1" w:val="04A0"/>
      </w:tblPr>
      <w:tblGrid>
        <w:gridCol w:w="9994"/>
      </w:tblGrid>
      <w:tr>
        <w:tc>
          <w:tcPr>
            <w:tcW w:type="dxa" w:w="9994"/>
            <w:shd w:fill="F5EED7"/>
            <w:tcMar>
              <w:top w:w="140" w:type="dxa"/>
              <w:start w:w="180" w:type="dxa"/>
              <w:bottom w:w="140" w:type="dxa"/>
              <w:end w:w="180" w:type="dxa"/>
            </w:tcMar>
          </w:tcPr>
          <w:p>
            <w:pPr>
              <w:spacing w:after="60"/>
            </w:pPr>
            <w:r>
              <w:rPr>
                <w:rFonts w:ascii="Montserrat" w:hAnsi="Montserrat"/>
                <w:b/>
                <w:color w:val="003B73"/>
                <w:sz w:val="20"/>
              </w:rPr>
              <w:t>Formule de développement humain</w:t>
            </w:r>
          </w:p>
          <w:p>
            <w:pPr>
              <w:spacing w:after="0"/>
            </w:pPr>
            <w:r>
              <w:rPr>
                <w:sz w:val="17"/>
              </w:rPr>
              <w:t>FORMATION → COMPÉTENCE → AUTONOMIE → TRANSMISSION → DÉVELOPPEMENT</w:t>
            </w:r>
          </w:p>
        </w:tc>
      </w:tr>
    </w:tbl>
    <w:p>
      <w:pPr>
        <w:pStyle w:val="Heading2"/>
      </w:pPr>
      <w:r>
        <w:t>3.4 Fondement spirituel</w:t>
      </w:r>
    </w:p>
    <w:p>
      <w:r>
        <w:rPr>
          <w:i w:val="0"/>
        </w:rPr>
        <w:t>Pour son fondateur, Dieu est la lumière, la boussole et l’oxygène de la Fondation Horizon Mondial. La prière, la réflexion biblique, la sagesse, le service et le travail sont envisagés comme des sources d’inspiration. Cet engagement doit s’exprimer par des actes responsables, l’intégrité et le respect des personnes, sans imposer une pratique religieuse aux bénéficiaires.</w:t>
      </w:r>
    </w:p>
    <w:p>
      <w:pPr>
        <w:pStyle w:val="Heading2"/>
      </w:pPr>
      <w:r>
        <w:t>3.5 Valeurs de référence</w:t>
      </w:r>
    </w:p>
    <w:p>
      <w:r>
        <w:rPr>
          <w:i w:val="0"/>
        </w:rPr>
        <w:t>Dignité humaine • Intégrité • Connaissance et apprentissage • Innovation responsable • Excellence • Responsabilité • Autonomisation • Collaboration • Durabilité.</w:t>
      </w:r>
    </w:p>
    <w:p>
      <w:r>
        <w:br w:type="page"/>
      </w:r>
    </w:p>
    <w:p>
      <w:pPr>
        <w:pStyle w:val="Heading1"/>
      </w:pPr>
      <w:r>
        <w:t>4. FHM Academy et FHM Digital</w:t>
      </w:r>
    </w:p>
    <w:p>
      <w:r>
        <w:rPr>
          <w:i w:val="0"/>
        </w:rPr>
        <w:t>FHM Academy est envisagée comme le pôle de formation. FHM Digital est envisagée comme la plateforme numérique qui permettra de diffuser des cours, d’accompagner les apprenants et d’automatiser certaines tâches pédagogiques. Il s’agit d’une architecture cible, pas d’un système déjà construit.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110" w:type="dxa"/>
              <w:bottom w:w="90" w:type="dxa"/>
              <w:end w:w="110" w:type="dxa"/>
            </w:tcMar>
            <w:shd w:fill="003B73"/>
          </w:tcPr>
          <w:p>
            <w:pPr>
              <w:spacing w:after="20" w:before="20"/>
            </w:pPr>
            <w:r>
              <w:rPr>
                <w:rFonts w:ascii="Aptos" w:hAnsi="Aptos"/>
                <w:b/>
                <w:color w:val="FFFFFF"/>
                <w:sz w:val="18"/>
              </w:rPr>
              <w:t>Filière</w:t>
            </w:r>
          </w:p>
        </w:tc>
        <w:tc>
          <w:tcPr>
            <w:tcW w:type="dxa" w:w="3816"/>
            <w:vAlign w:val="center"/>
            <w:tcMar>
              <w:top w:w="90" w:type="dxa"/>
              <w:start w:w="110" w:type="dxa"/>
              <w:bottom w:w="90" w:type="dxa"/>
              <w:end w:w="110" w:type="dxa"/>
            </w:tcMar>
            <w:shd w:fill="003B73"/>
          </w:tcPr>
          <w:p>
            <w:pPr>
              <w:spacing w:after="20" w:before="20"/>
            </w:pPr>
            <w:r>
              <w:rPr>
                <w:rFonts w:ascii="Aptos" w:hAnsi="Aptos"/>
                <w:b/>
                <w:color w:val="FFFFFF"/>
                <w:sz w:val="18"/>
              </w:rPr>
              <w:t>Contenus envisagés</w:t>
            </w:r>
          </w:p>
        </w:tc>
        <w:tc>
          <w:tcPr>
            <w:tcW w:type="dxa" w:w="3888"/>
            <w:vAlign w:val="center"/>
            <w:tcMar>
              <w:top w:w="90" w:type="dxa"/>
              <w:start w:w="110" w:type="dxa"/>
              <w:bottom w:w="90" w:type="dxa"/>
              <w:end w:w="110" w:type="dxa"/>
            </w:tcMar>
            <w:shd w:fill="003B73"/>
          </w:tcPr>
          <w:p>
            <w:pPr>
              <w:spacing w:after="20" w:before="20"/>
            </w:pPr>
            <w:r>
              <w:rPr>
                <w:rFonts w:ascii="Aptos" w:hAnsi="Aptos"/>
                <w:b/>
                <w:color w:val="FFFFFF"/>
                <w:sz w:val="18"/>
              </w:rPr>
              <w:t>Approche</w:t>
            </w:r>
          </w:p>
        </w:tc>
      </w:tr>
      <w:tr>
        <w:tc>
          <w:tcPr>
            <w:tcW w:type="dxa" w:w="1944"/>
            <w:vAlign w:val="center"/>
            <w:tcMar>
              <w:top w:w="90" w:type="dxa"/>
              <w:start w:w="110" w:type="dxa"/>
              <w:bottom w:w="90" w:type="dxa"/>
              <w:end w:w="110" w:type="dxa"/>
            </w:tcMar>
          </w:tcPr>
          <w:p>
            <w:pPr>
              <w:spacing w:after="20" w:before="20"/>
            </w:pPr>
            <w:r>
              <w:rPr>
                <w:rFonts w:ascii="Aptos" w:hAnsi="Aptos"/>
                <w:sz w:val="18"/>
              </w:rPr>
              <w:t>A. Enfants et jeunes</w:t>
            </w:r>
          </w:p>
        </w:tc>
        <w:tc>
          <w:tcPr>
            <w:tcW w:type="dxa" w:w="3816"/>
            <w:vAlign w:val="center"/>
            <w:tcMar>
              <w:top w:w="90" w:type="dxa"/>
              <w:start w:w="110" w:type="dxa"/>
              <w:bottom w:w="90" w:type="dxa"/>
              <w:end w:w="110" w:type="dxa"/>
            </w:tcMar>
          </w:tcPr>
          <w:p>
            <w:pPr>
              <w:spacing w:after="20" w:before="20"/>
            </w:pPr>
            <w:r>
              <w:rPr>
                <w:rFonts w:ascii="Aptos" w:hAnsi="Aptos"/>
                <w:sz w:val="18"/>
              </w:rPr>
              <w:t>Éveil, lecture, calcul, raisonnement, sciences, initiation numérique et IA, paix.</w:t>
            </w:r>
          </w:p>
        </w:tc>
        <w:tc>
          <w:tcPr>
            <w:tcW w:type="dxa" w:w="3888"/>
            <w:vAlign w:val="center"/>
            <w:tcMar>
              <w:top w:w="90" w:type="dxa"/>
              <w:start w:w="110" w:type="dxa"/>
              <w:bottom w:w="90" w:type="dxa"/>
              <w:end w:w="110" w:type="dxa"/>
            </w:tcMar>
          </w:tcPr>
          <w:p>
            <w:pPr>
              <w:spacing w:after="20" w:before="20"/>
            </w:pPr>
            <w:r>
              <w:rPr>
                <w:rFonts w:ascii="Aptos" w:hAnsi="Aptos"/>
                <w:sz w:val="18"/>
              </w:rPr>
              <w:t>Jeux, exploration, exercices adaptés à l’âge, projets collectifs et protection des enfants.</w:t>
            </w:r>
          </w:p>
        </w:tc>
      </w:tr>
      <w:tr>
        <w:tc>
          <w:tcPr>
            <w:tcW w:type="dxa" w:w="1944"/>
            <w:vAlign w:val="center"/>
            <w:tcMar>
              <w:top w:w="90" w:type="dxa"/>
              <w:start w:w="110" w:type="dxa"/>
              <w:bottom w:w="90" w:type="dxa"/>
              <w:end w:w="110" w:type="dxa"/>
            </w:tcMar>
            <w:shd w:fill="F5F8FC"/>
          </w:tcPr>
          <w:p>
            <w:pPr>
              <w:spacing w:after="20" w:before="20"/>
            </w:pPr>
            <w:r>
              <w:rPr>
                <w:rFonts w:ascii="Aptos" w:hAnsi="Aptos"/>
                <w:sz w:val="18"/>
              </w:rPr>
              <w:t>B. Métiers techniques</w:t>
            </w:r>
          </w:p>
        </w:tc>
        <w:tc>
          <w:tcPr>
            <w:tcW w:type="dxa" w:w="3816"/>
            <w:vAlign w:val="center"/>
            <w:tcMar>
              <w:top w:w="90" w:type="dxa"/>
              <w:start w:w="110" w:type="dxa"/>
              <w:bottom w:w="90" w:type="dxa"/>
              <w:end w:w="110" w:type="dxa"/>
            </w:tcMar>
            <w:shd w:fill="F5F8FC"/>
          </w:tcPr>
          <w:p>
            <w:pPr>
              <w:spacing w:after="20" w:before="20"/>
            </w:pPr>
            <w:r>
              <w:rPr>
                <w:rFonts w:ascii="Aptos" w:hAnsi="Aptos"/>
                <w:sz w:val="18"/>
              </w:rPr>
              <w:t>Cordonnerie, couture, menuiserie, maçonnerie, soudure, solaire et autres métiers.</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Théorie, ateliers pratiques, sécurité et évaluation des gestes professionnels.</w:t>
            </w:r>
          </w:p>
        </w:tc>
      </w:tr>
      <w:tr>
        <w:tc>
          <w:tcPr>
            <w:tcW w:type="dxa" w:w="1944"/>
            <w:vAlign w:val="center"/>
            <w:tcMar>
              <w:top w:w="90" w:type="dxa"/>
              <w:start w:w="110" w:type="dxa"/>
              <w:bottom w:w="90" w:type="dxa"/>
              <w:end w:w="110" w:type="dxa"/>
            </w:tcMar>
          </w:tcPr>
          <w:p>
            <w:pPr>
              <w:spacing w:after="20" w:before="20"/>
            </w:pPr>
            <w:r>
              <w:rPr>
                <w:rFonts w:ascii="Aptos" w:hAnsi="Aptos"/>
                <w:sz w:val="18"/>
              </w:rPr>
              <w:t>C. Agro-pastoral</w:t>
            </w:r>
          </w:p>
        </w:tc>
        <w:tc>
          <w:tcPr>
            <w:tcW w:type="dxa" w:w="3816"/>
            <w:vAlign w:val="center"/>
            <w:tcMar>
              <w:top w:w="90" w:type="dxa"/>
              <w:start w:w="110" w:type="dxa"/>
              <w:bottom w:w="90" w:type="dxa"/>
              <w:end w:w="110" w:type="dxa"/>
            </w:tcMar>
          </w:tcPr>
          <w:p>
            <w:pPr>
              <w:spacing w:after="20" w:before="20"/>
            </w:pPr>
            <w:r>
              <w:rPr>
                <w:rFonts w:ascii="Aptos" w:hAnsi="Aptos"/>
                <w:sz w:val="18"/>
              </w:rPr>
              <w:t>Maraîchage, maïs, aviculture, élevage caprin, gestion d’exploitation.</w:t>
            </w:r>
          </w:p>
        </w:tc>
        <w:tc>
          <w:tcPr>
            <w:tcW w:type="dxa" w:w="3888"/>
            <w:vAlign w:val="center"/>
            <w:tcMar>
              <w:top w:w="90" w:type="dxa"/>
              <w:start w:w="110" w:type="dxa"/>
              <w:bottom w:w="90" w:type="dxa"/>
              <w:end w:w="110" w:type="dxa"/>
            </w:tcMar>
          </w:tcPr>
          <w:p>
            <w:pPr>
              <w:spacing w:after="20" w:before="20"/>
            </w:pPr>
            <w:r>
              <w:rPr>
                <w:rFonts w:ascii="Aptos" w:hAnsi="Aptos"/>
                <w:sz w:val="18"/>
              </w:rPr>
              <w:t>Démonstrations, pratique de terrain et gestion des coûts.</w:t>
            </w:r>
          </w:p>
        </w:tc>
      </w:tr>
      <w:tr>
        <w:tc>
          <w:tcPr>
            <w:tcW w:type="dxa" w:w="1944"/>
            <w:vAlign w:val="center"/>
            <w:tcMar>
              <w:top w:w="90" w:type="dxa"/>
              <w:start w:w="110" w:type="dxa"/>
              <w:bottom w:w="90" w:type="dxa"/>
              <w:end w:w="110" w:type="dxa"/>
            </w:tcMar>
            <w:shd w:fill="F5F8FC"/>
          </w:tcPr>
          <w:p>
            <w:pPr>
              <w:spacing w:after="20" w:before="20"/>
            </w:pPr>
            <w:r>
              <w:rPr>
                <w:rFonts w:ascii="Aptos" w:hAnsi="Aptos"/>
                <w:sz w:val="18"/>
              </w:rPr>
              <w:t>D. Numérique et IA</w:t>
            </w:r>
          </w:p>
        </w:tc>
        <w:tc>
          <w:tcPr>
            <w:tcW w:type="dxa" w:w="3816"/>
            <w:vAlign w:val="center"/>
            <w:tcMar>
              <w:top w:w="90" w:type="dxa"/>
              <w:start w:w="110" w:type="dxa"/>
              <w:bottom w:w="90" w:type="dxa"/>
              <w:end w:w="110" w:type="dxa"/>
            </w:tcMar>
            <w:shd w:fill="F5F8FC"/>
          </w:tcPr>
          <w:p>
            <w:pPr>
              <w:spacing w:after="20" w:before="20"/>
            </w:pPr>
            <w:r>
              <w:rPr>
                <w:rFonts w:ascii="Aptos" w:hAnsi="Aptos"/>
                <w:sz w:val="18"/>
              </w:rPr>
              <w:t>Bureautique, Canva, Web, IA appliquée, marketing, outils de productivité.</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Cours numériques, projets, pratique et accompagnement.</w:t>
            </w:r>
          </w:p>
        </w:tc>
      </w:tr>
      <w:tr>
        <w:tc>
          <w:tcPr>
            <w:tcW w:type="dxa" w:w="1944"/>
            <w:vAlign w:val="center"/>
            <w:tcMar>
              <w:top w:w="90" w:type="dxa"/>
              <w:start w:w="110" w:type="dxa"/>
              <w:bottom w:w="90" w:type="dxa"/>
              <w:end w:w="110" w:type="dxa"/>
            </w:tcMar>
          </w:tcPr>
          <w:p>
            <w:pPr>
              <w:spacing w:after="20" w:before="20"/>
            </w:pPr>
            <w:r>
              <w:rPr>
                <w:rFonts w:ascii="Aptos" w:hAnsi="Aptos"/>
                <w:sz w:val="18"/>
              </w:rPr>
              <w:t>E. Entrepreneuriat</w:t>
            </w:r>
          </w:p>
        </w:tc>
        <w:tc>
          <w:tcPr>
            <w:tcW w:type="dxa" w:w="3816"/>
            <w:vAlign w:val="center"/>
            <w:tcMar>
              <w:top w:w="90" w:type="dxa"/>
              <w:start w:w="110" w:type="dxa"/>
              <w:bottom w:w="90" w:type="dxa"/>
              <w:end w:w="110" w:type="dxa"/>
            </w:tcMar>
          </w:tcPr>
          <w:p>
            <w:pPr>
              <w:spacing w:after="20" w:before="20"/>
            </w:pPr>
            <w:r>
              <w:rPr>
                <w:rFonts w:ascii="Aptos" w:hAnsi="Aptos"/>
                <w:sz w:val="18"/>
              </w:rPr>
              <w:t>Coûts, prix de vente, marges, clientèle, trésorerie et séparation des caisses.</w:t>
            </w:r>
          </w:p>
        </w:tc>
        <w:tc>
          <w:tcPr>
            <w:tcW w:type="dxa" w:w="3888"/>
            <w:vAlign w:val="center"/>
            <w:tcMar>
              <w:top w:w="90" w:type="dxa"/>
              <w:start w:w="110" w:type="dxa"/>
              <w:bottom w:w="90" w:type="dxa"/>
              <w:end w:w="110" w:type="dxa"/>
            </w:tcMar>
          </w:tcPr>
          <w:p>
            <w:pPr>
              <w:spacing w:after="20" w:before="20"/>
            </w:pPr>
            <w:r>
              <w:rPr>
                <w:rFonts w:ascii="Aptos" w:hAnsi="Aptos"/>
                <w:sz w:val="18"/>
              </w:rPr>
              <w:t>Compétences entrepreneuriales intégrées aux autres filières.</w:t>
            </w:r>
          </w:p>
        </w:tc>
      </w:tr>
    </w:tbl>
    <w:p>
      <w:pPr>
        <w:pStyle w:val="Heading2"/>
      </w:pPr>
      <w:r>
        <w:t>4.1 Fonctions numériques envisagées</w:t>
      </w:r>
    </w:p>
    <w:p>
      <w:pPr>
        <w:pStyle w:val="ListBullet"/>
        <w:spacing w:after="60"/>
      </w:pPr>
      <w:r>
        <w:t>Génération assistée de syllabus, chapitres, exemples, guides et exercices à partir d’un sujet saisi par un responsable.</w:t>
      </w:r>
    </w:p>
    <w:p>
      <w:pPr>
        <w:pStyle w:val="ListBullet"/>
        <w:spacing w:after="60"/>
      </w:pPr>
      <w:r>
        <w:t>Création de banques de QCM, vrai/faux et cas pratiques, puis correction automatique des réponses objectives.</w:t>
      </w:r>
    </w:p>
    <w:p>
      <w:pPr>
        <w:pStyle w:val="ListBullet"/>
        <w:spacing w:after="60"/>
      </w:pPr>
      <w:r>
        <w:t>Suivi des progrès, des résultats et des points à réviser.</w:t>
      </w:r>
    </w:p>
    <w:p>
      <w:pPr>
        <w:pStyle w:val="ListBullet"/>
        <w:spacing w:after="60"/>
      </w:pPr>
      <w:r>
        <w:t>Tuteur conversationnel disponible en continu, sous réserve des limites techniques, des coûts et des mesures de sécurité.</w:t>
      </w:r>
    </w:p>
    <w:p>
      <w:pPr>
        <w:pStyle w:val="ListBullet"/>
        <w:spacing w:after="60"/>
      </w:pPr>
      <w:r>
        <w:t>Attestations internes générées selon des critères transparents; aucune équivalence avec un diplôme reconnu ne sera affirmée sans autorisation appropriée.</w:t>
      </w:r>
    </w:p>
    <w:p>
      <w:pPr>
        <w:pStyle w:val="ListBullet"/>
        <w:spacing w:after="60"/>
      </w:pPr>
      <w:r>
        <w:t>Accès mobile prioritaire, consommation de données maîtrisée et possibilité d’étudier des contenus hors ligne.</w:t>
      </w:r>
    </w:p>
    <w:tbl>
      <w:tblPr>
        <w:tblW w:type="auto" w:w="0"/>
        <w:jc w:val="center"/>
        <w:tblLook w:firstColumn="1" w:firstRow="1" w:lastColumn="0" w:lastRow="0" w:noHBand="0" w:noVBand="1" w:val="04A0"/>
      </w:tblPr>
      <w:tblGrid>
        <w:gridCol w:w="9994"/>
      </w:tblGrid>
      <w:tr>
        <w:tc>
          <w:tcPr>
            <w:tcW w:type="dxa" w:w="9994"/>
            <w:shd w:fill="FFF4D6"/>
            <w:tcMar>
              <w:top w:w="140" w:type="dxa"/>
              <w:start w:w="180" w:type="dxa"/>
              <w:bottom w:w="140" w:type="dxa"/>
              <w:end w:w="180" w:type="dxa"/>
            </w:tcMar>
          </w:tcPr>
          <w:p>
            <w:pPr>
              <w:spacing w:after="60"/>
            </w:pPr>
            <w:r>
              <w:rPr>
                <w:rFonts w:ascii="Montserrat" w:hAnsi="Montserrat"/>
                <w:b/>
                <w:color w:val="003B73"/>
                <w:sz w:val="20"/>
              </w:rPr>
              <w:t>Contrôle qualité</w:t>
            </w:r>
          </w:p>
          <w:p>
            <w:pPr>
              <w:spacing w:after="0"/>
            </w:pPr>
            <w:r>
              <w:rPr>
                <w:sz w:val="17"/>
              </w:rPr>
              <w:t>L’IA peut préparer et adapter des contenus, mais les cours doivent être vérifiés avant diffusion. Pour la soudure, l’électricité, le solaire, la santé, l’élevage et les cours destinés aux enfants, l’exactitude, la sécurité et la supervision compétente sont essentielles.</w:t>
            </w:r>
          </w:p>
        </w:tc>
      </w:tr>
    </w:tbl>
    <w:p>
      <w:pPr>
        <w:pStyle w:val="Heading1"/>
      </w:pPr>
      <w:r>
        <w:t>5. Accès aux formations et modèle d’autonomie</w:t>
      </w:r>
    </w:p>
    <w:p>
      <w:pPr>
        <w:pStyle w:val="Heading2"/>
      </w:pPr>
      <w:r>
        <w:t>5.1 Modèle mixte d’accès</w:t>
      </w:r>
    </w:p>
    <w:p>
      <w:r>
        <w:rPr>
          <w:i w:val="0"/>
        </w:rPr>
        <w:t>Le fondateur a choisi un modèle mixte : certaines formations pourront être gratuites, d’autres payantes, et des bourses ou des places financées pourront être prévues selon les moyens des apprenants, les ressources disponibles et les règles publiées. Ce choix reste à traduire en politique d’accès et en critères opérationnels.</w:t>
      </w:r>
    </w:p>
    <w:p>
      <w:pPr>
        <w:pStyle w:val="Heading2"/>
      </w:pPr>
      <w:r>
        <w:t>5.2 Parcours d’accompagnement envisagé</w:t>
      </w:r>
    </w:p>
    <w:tbl>
      <w:tblPr>
        <w:tblW w:type="auto" w:w="0"/>
        <w:jc w:val="center"/>
        <w:tblLook w:firstColumn="1" w:firstRow="1" w:lastColumn="0" w:lastRow="0" w:noHBand="0" w:noVBand="1" w:val="04A0"/>
      </w:tblPr>
      <w:tblGrid>
        <w:gridCol w:w="9994"/>
      </w:tblGrid>
      <w:tr>
        <w:tc>
          <w:tcPr>
            <w:tcW w:type="dxa" w:w="9994"/>
            <w:shd w:fill="EAF2FB"/>
            <w:tcMar>
              <w:top w:w="140" w:type="dxa"/>
              <w:start w:w="180" w:type="dxa"/>
              <w:bottom w:w="140" w:type="dxa"/>
              <w:end w:w="180" w:type="dxa"/>
            </w:tcMar>
          </w:tcPr>
          <w:p>
            <w:pPr>
              <w:spacing w:after="60"/>
            </w:pPr>
            <w:r>
              <w:rPr>
                <w:rFonts w:ascii="Montserrat" w:hAnsi="Montserrat"/>
                <w:b/>
                <w:color w:val="003B73"/>
                <w:sz w:val="20"/>
              </w:rPr>
              <w:t>Parcours indicatif</w:t>
            </w:r>
          </w:p>
          <w:p>
            <w:pPr>
              <w:spacing w:after="0"/>
            </w:pPr>
            <w:r>
              <w:rPr>
                <w:sz w:val="17"/>
              </w:rPr>
              <w:t>ORIENTATION → FORMATION → ÉVALUATION → APPUI ÉVENTUEL → ACCOMPAGNEMENT → SUIVI → AUTONOMIE → TRANSMISSION</w:t>
            </w:r>
          </w:p>
        </w:tc>
      </w:tr>
    </w:tbl>
    <w:p>
      <w:r>
        <w:rPr>
          <w:i w:val="0"/>
        </w:rPr>
        <w:t>La fin d’une formation ne garantit pas automatiquement l’obtention d’un équipement ou d’un financement. Lorsqu’un appui de démarrage est prévu, il devra dépendre de critères transparents, de la faisabilité de l’activité, des résultats, des ressources disponibles et d’une décision documentée. Aucun bénéficiaire ne devra être placé dans une dette involontaire.</w:t>
      </w:r>
    </w:p>
    <w:p>
      <w:pPr>
        <w:pStyle w:val="Heading2"/>
      </w:pPr>
      <w:r>
        <w:t>5.3 Ressources et autonomie financière</w:t>
      </w:r>
    </w:p>
    <w:p>
      <w:r>
        <w:rPr>
          <w:i w:val="0"/>
        </w:rPr>
        <w:t>FHM souhaite diversifier ses ressources : dons, partenariats, financement de projets, formations payantes lorsque cela est approprié, et activités productives compatibles avec sa mission. Les domaines envisagés comprennent notamment l’agriculture, l’élevage, les formations numériques, le design et l’impression ainsi que les ateliers techniques. Ces pistes sont des orientations, pas la déclaration que les activités sont déjà lancées.</w:t>
      </w:r>
    </w:p>
    <w:p>
      <w:r>
        <w:rPr>
          <w:i w:val="0"/>
        </w:rPr>
        <w:t>Les fonds affectés à un usage précis devront être suivis séparément et utilisés conformément à leur affectation. Les revenus bruts ne doivent pas être confondus avec les ressources nettes disponibles après prise en compte des coûts, des charges et des obligations applicables.</w:t>
      </w:r>
    </w:p>
    <w:p>
      <w:pPr>
        <w:pStyle w:val="Heading1"/>
        <w:pageBreakBefore/>
      </w:pPr>
      <w:r>
        <w:t>6. Présence publique : ne pas supprimer les comptes</w:t>
      </w:r>
    </w:p>
    <w:p>
      <w:r>
        <w:rPr>
          <w:i w:val="0"/>
        </w:rPr>
        <w:t>Recommandation : conserver les comptes Facebook, TikTok, Instagram, YouTube et X déjà créés. Ils peuvent devenir les canaux de construction de la communauté autour de FHM. Il n’est pas nécessaire d’attendre la finalisation de tous les manuels, mais la communication doit refléter honnêtement le niveau réel de préparation de la Fondation.</w:t>
      </w:r>
    </w:p>
    <w:p>
      <w:pPr>
        <w:pStyle w:val="ListBullet"/>
        <w:spacing w:after="60"/>
      </w:pPr>
      <w:r>
        <w:t>Mettre à jour la biographie pour expliquer la mission et indiquer que la structure est en cours de formalisation.</w:t>
      </w:r>
    </w:p>
    <w:p>
      <w:pPr>
        <w:pStyle w:val="ListBullet"/>
        <w:spacing w:after="60"/>
      </w:pPr>
      <w:r>
        <w:t>Publier une présentation fondatrice épinglée et une feuille de route simple.</w:t>
      </w:r>
    </w:p>
    <w:p>
      <w:pPr>
        <w:pStyle w:val="ListBullet"/>
        <w:spacing w:after="60"/>
      </w:pPr>
      <w:r>
        <w:t>Inviter les personnes intéressées à manifester leur intérêt pour contribuer en tant que bénévoles, experts ou partenaires potentiels; ne pas présenter ces démarches comme des adhésions statutaires finalisées.</w:t>
      </w:r>
    </w:p>
    <w:p>
      <w:pPr>
        <w:pStyle w:val="ListBullet"/>
        <w:spacing w:after="60"/>
      </w:pPr>
      <w:r>
        <w:t>Partager des contenus éducatifs utiles et cohérents avec la mission, en distinguant les idées, les projets en préparation et les activités réellement réalisées.</w:t>
      </w:r>
    </w:p>
    <w:p>
      <w:pPr>
        <w:pStyle w:val="ListBullet"/>
        <w:spacing w:after="60"/>
      </w:pPr>
      <w:r>
        <w:t>Avant une collecte publique de fonds, mettre au clair le cadre juridique, les responsabilités, les moyens de réception, les reçus et la traçabilité comptable.</w:t>
      </w:r>
    </w:p>
    <w:p>
      <w:pPr>
        <w:pStyle w:val="ListBullet"/>
        <w:spacing w:after="60"/>
      </w:pPr>
      <w:r>
        <w:t>Obtenir les autorisations appropriées avant de publier des photos, vidéos ou données identifiantes de bénéficiaires, surtout des enfants et des personnes vulnérables.</w:t>
      </w:r>
    </w:p>
    <w:tbl>
      <w:tblPr>
        <w:tblW w:type="auto" w:w="0"/>
        <w:jc w:val="center"/>
        <w:tblLook w:firstColumn="1" w:firstRow="1" w:lastColumn="0" w:lastRow="0" w:noHBand="0" w:noVBand="1" w:val="04A0"/>
      </w:tblPr>
      <w:tblGrid>
        <w:gridCol w:w="9994"/>
      </w:tblGrid>
      <w:tr>
        <w:tc>
          <w:tcPr>
            <w:tcW w:type="dxa" w:w="9994"/>
            <w:shd w:fill="EAF2FB"/>
            <w:tcMar>
              <w:top w:w="140" w:type="dxa"/>
              <w:start w:w="180" w:type="dxa"/>
              <w:bottom w:w="140" w:type="dxa"/>
              <w:end w:w="180" w:type="dxa"/>
            </w:tcMar>
          </w:tcPr>
          <w:p>
            <w:pPr>
              <w:spacing w:after="60"/>
            </w:pPr>
            <w:r>
              <w:rPr>
                <w:rFonts w:ascii="Montserrat" w:hAnsi="Montserrat"/>
                <w:b/>
                <w:color w:val="003B73"/>
                <w:sz w:val="20"/>
              </w:rPr>
              <w:t>Texte public provisoire</w:t>
            </w:r>
          </w:p>
          <w:p>
            <w:pPr>
              <w:spacing w:after="0"/>
            </w:pPr>
            <w:r>
              <w:rPr>
                <w:sz w:val="17"/>
              </w:rPr>
              <w:t>La Fondation Horizon Mondial (FHM) est une initiative basée à Goma, en République démocratique du Congo, qui se structure autour de l’éducation, de la formation, de la protection, de la technologie et de l’autonomisation des communautés. Notre ambition est de transformer les connaissances en compétences, les compétences en autonomie et l’autonomie en possibilités de développement. La formalisation institutionnelle et la préparation des premiers programmes se poursuivent. DIGNITÉ • CONNAISSANCE • ACTION.</w:t>
            </w:r>
          </w:p>
        </w:tc>
      </w:tr>
    </w:tbl>
    <w:p>
      <w:r>
        <w:br w:type="page"/>
      </w:r>
    </w:p>
    <w:p>
      <w:pPr>
        <w:pStyle w:val="Heading1"/>
      </w:pPr>
      <w:r>
        <w:t>7. Méthode de travail et suivi des versions</w:t>
      </w:r>
    </w:p>
    <w:p>
      <w:r>
        <w:rPr>
          <w:i w:val="0"/>
        </w:rPr>
        <w:t>La FHM ne doit pas attendre la fin de tous les documents pour avancer. Le travail sera organisé par versions : un socle de démarrage, puis des politiques, procédures, programmes et outils plus détaillés au fur et à mesure que les besoins et les ressources se précisent.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110" w:type="dxa"/>
              <w:bottom w:w="90" w:type="dxa"/>
              <w:end w:w="110" w:type="dxa"/>
            </w:tcMar>
            <w:shd w:fill="003B73"/>
          </w:tcPr>
          <w:p>
            <w:pPr>
              <w:spacing w:after="20" w:before="20"/>
            </w:pPr>
            <w:r>
              <w:rPr>
                <w:rFonts w:ascii="Aptos" w:hAnsi="Aptos"/>
                <w:b/>
                <w:color w:val="FFFFFF"/>
                <w:sz w:val="18"/>
              </w:rPr>
              <w:t>Statut</w:t>
            </w:r>
          </w:p>
        </w:tc>
        <w:tc>
          <w:tcPr>
            <w:tcW w:type="dxa" w:w="3744"/>
            <w:vAlign w:val="center"/>
            <w:tcMar>
              <w:top w:w="90" w:type="dxa"/>
              <w:start w:w="110" w:type="dxa"/>
              <w:bottom w:w="90" w:type="dxa"/>
              <w:end w:w="110" w:type="dxa"/>
            </w:tcMar>
            <w:shd w:fill="003B73"/>
          </w:tcPr>
          <w:p>
            <w:pPr>
              <w:spacing w:after="20" w:before="20"/>
            </w:pPr>
            <w:r>
              <w:rPr>
                <w:rFonts w:ascii="Aptos" w:hAnsi="Aptos"/>
                <w:b/>
                <w:color w:val="FFFFFF"/>
                <w:sz w:val="18"/>
              </w:rPr>
              <w:t>Définition</w:t>
            </w:r>
          </w:p>
        </w:tc>
        <w:tc>
          <w:tcPr>
            <w:tcW w:type="dxa" w:w="3888"/>
            <w:vAlign w:val="center"/>
            <w:tcMar>
              <w:top w:w="90" w:type="dxa"/>
              <w:start w:w="110" w:type="dxa"/>
              <w:bottom w:w="90" w:type="dxa"/>
              <w:end w:w="110" w:type="dxa"/>
            </w:tcMar>
            <w:shd w:fill="003B73"/>
          </w:tcPr>
          <w:p>
            <w:pPr>
              <w:spacing w:after="20" w:before="20"/>
            </w:pPr>
            <w:r>
              <w:rPr>
                <w:rFonts w:ascii="Aptos" w:hAnsi="Aptos"/>
                <w:b/>
                <w:color w:val="FFFFFF"/>
                <w:sz w:val="18"/>
              </w:rPr>
              <w:t>Règle de gestion</w:t>
            </w:r>
          </w:p>
        </w:tc>
      </w:tr>
      <w:tr>
        <w:tc>
          <w:tcPr>
            <w:tcW w:type="dxa" w:w="2016"/>
            <w:vAlign w:val="center"/>
            <w:tcMar>
              <w:top w:w="90" w:type="dxa"/>
              <w:start w:w="110" w:type="dxa"/>
              <w:bottom w:w="90" w:type="dxa"/>
              <w:end w:w="110" w:type="dxa"/>
            </w:tcMar>
          </w:tcPr>
          <w:p>
            <w:pPr>
              <w:spacing w:after="20" w:before="20"/>
            </w:pPr>
            <w:r>
              <w:rPr>
                <w:rFonts w:ascii="Aptos" w:hAnsi="Aptos"/>
                <w:sz w:val="18"/>
              </w:rPr>
              <w:t>Idée exprimée</w:t>
            </w:r>
          </w:p>
        </w:tc>
        <w:tc>
          <w:tcPr>
            <w:tcW w:type="dxa" w:w="3744"/>
            <w:vAlign w:val="center"/>
            <w:tcMar>
              <w:top w:w="90" w:type="dxa"/>
              <w:start w:w="110" w:type="dxa"/>
              <w:bottom w:w="90" w:type="dxa"/>
              <w:end w:w="110" w:type="dxa"/>
            </w:tcMar>
          </w:tcPr>
          <w:p>
            <w:pPr>
              <w:spacing w:after="20" w:before="20"/>
            </w:pPr>
            <w:r>
              <w:rPr>
                <w:rFonts w:ascii="Aptos" w:hAnsi="Aptos"/>
                <w:sz w:val="18"/>
              </w:rPr>
              <w:t>Le fondateur a partagé une intention ou une piste.</w:t>
            </w:r>
          </w:p>
        </w:tc>
        <w:tc>
          <w:tcPr>
            <w:tcW w:type="dxa" w:w="3888"/>
            <w:vAlign w:val="center"/>
            <w:tcMar>
              <w:top w:w="90" w:type="dxa"/>
              <w:start w:w="110" w:type="dxa"/>
              <w:bottom w:w="90" w:type="dxa"/>
              <w:end w:w="110" w:type="dxa"/>
            </w:tcMar>
          </w:tcPr>
          <w:p>
            <w:pPr>
              <w:spacing w:after="20" w:before="20"/>
            </w:pPr>
            <w:r>
              <w:rPr>
                <w:rFonts w:ascii="Aptos" w:hAnsi="Aptos"/>
                <w:sz w:val="18"/>
              </w:rPr>
              <w:t>Conserver; ne pas la présenter comme décision.</w:t>
            </w:r>
          </w:p>
        </w:tc>
      </w:tr>
      <w:tr>
        <w:tc>
          <w:tcPr>
            <w:tcW w:type="dxa" w:w="2016"/>
            <w:vAlign w:val="center"/>
            <w:tcMar>
              <w:top w:w="90" w:type="dxa"/>
              <w:start w:w="110" w:type="dxa"/>
              <w:bottom w:w="90" w:type="dxa"/>
              <w:end w:w="110" w:type="dxa"/>
            </w:tcMar>
            <w:shd w:fill="F5F8FC"/>
          </w:tcPr>
          <w:p>
            <w:pPr>
              <w:spacing w:after="20" w:before="20"/>
            </w:pPr>
            <w:r>
              <w:rPr>
                <w:rFonts w:ascii="Aptos" w:hAnsi="Aptos"/>
                <w:sz w:val="18"/>
              </w:rPr>
              <w:t>En réflexion</w:t>
            </w:r>
          </w:p>
        </w:tc>
        <w:tc>
          <w:tcPr>
            <w:tcW w:type="dxa" w:w="3744"/>
            <w:vAlign w:val="center"/>
            <w:tcMar>
              <w:top w:w="90" w:type="dxa"/>
              <w:start w:w="110" w:type="dxa"/>
              <w:bottom w:w="90" w:type="dxa"/>
              <w:end w:w="110" w:type="dxa"/>
            </w:tcMar>
            <w:shd w:fill="F5F8FC"/>
          </w:tcPr>
          <w:p>
            <w:pPr>
              <w:spacing w:after="20" w:before="20"/>
            </w:pPr>
            <w:r>
              <w:rPr>
                <w:rFonts w:ascii="Aptos" w:hAnsi="Aptos"/>
                <w:sz w:val="18"/>
              </w:rPr>
              <w:t>Le sens, les conditions ou les risques restent à clarifier.</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Discuter; noter les questions ouvertes.</w:t>
            </w:r>
          </w:p>
        </w:tc>
      </w:tr>
      <w:tr>
        <w:tc>
          <w:tcPr>
            <w:tcW w:type="dxa" w:w="2016"/>
            <w:vAlign w:val="center"/>
            <w:tcMar>
              <w:top w:w="90" w:type="dxa"/>
              <w:start w:w="110" w:type="dxa"/>
              <w:bottom w:w="90" w:type="dxa"/>
              <w:end w:w="110" w:type="dxa"/>
            </w:tcMar>
          </w:tcPr>
          <w:p>
            <w:pPr>
              <w:spacing w:after="20" w:before="20"/>
            </w:pPr>
            <w:r>
              <w:rPr>
                <w:rFonts w:ascii="Aptos" w:hAnsi="Aptos"/>
                <w:sz w:val="18"/>
              </w:rPr>
              <w:t>Projet rédigé</w:t>
            </w:r>
          </w:p>
        </w:tc>
        <w:tc>
          <w:tcPr>
            <w:tcW w:type="dxa" w:w="3744"/>
            <w:vAlign w:val="center"/>
            <w:tcMar>
              <w:top w:w="90" w:type="dxa"/>
              <w:start w:w="110" w:type="dxa"/>
              <w:bottom w:w="90" w:type="dxa"/>
              <w:end w:w="110" w:type="dxa"/>
            </w:tcMar>
          </w:tcPr>
          <w:p>
            <w:pPr>
              <w:spacing w:after="20" w:before="20"/>
            </w:pPr>
            <w:r>
              <w:rPr>
                <w:rFonts w:ascii="Aptos" w:hAnsi="Aptos"/>
                <w:sz w:val="18"/>
              </w:rPr>
              <w:t>Une première formulation existe.</w:t>
            </w:r>
          </w:p>
        </w:tc>
        <w:tc>
          <w:tcPr>
            <w:tcW w:type="dxa" w:w="3888"/>
            <w:vAlign w:val="center"/>
            <w:tcMar>
              <w:top w:w="90" w:type="dxa"/>
              <w:start w:w="110" w:type="dxa"/>
              <w:bottom w:w="90" w:type="dxa"/>
              <w:end w:w="110" w:type="dxa"/>
            </w:tcMar>
          </w:tcPr>
          <w:p>
            <w:pPr>
              <w:spacing w:after="20" w:before="20"/>
            </w:pPr>
            <w:r>
              <w:rPr>
                <w:rFonts w:ascii="Aptos" w:hAnsi="Aptos"/>
                <w:sz w:val="18"/>
              </w:rPr>
              <w:t>Relire et améliorer.</w:t>
            </w:r>
          </w:p>
        </w:tc>
      </w:tr>
      <w:tr>
        <w:tc>
          <w:tcPr>
            <w:tcW w:type="dxa" w:w="2016"/>
            <w:vAlign w:val="center"/>
            <w:tcMar>
              <w:top w:w="90" w:type="dxa"/>
              <w:start w:w="110" w:type="dxa"/>
              <w:bottom w:w="90" w:type="dxa"/>
              <w:end w:w="110" w:type="dxa"/>
            </w:tcMar>
            <w:shd w:fill="F5F8FC"/>
          </w:tcPr>
          <w:p>
            <w:pPr>
              <w:spacing w:after="20" w:before="20"/>
            </w:pPr>
            <w:r>
              <w:rPr>
                <w:rFonts w:ascii="Aptos" w:hAnsi="Aptos"/>
                <w:sz w:val="18"/>
              </w:rPr>
              <w:t>Validé par le fondateur</w:t>
            </w:r>
          </w:p>
        </w:tc>
        <w:tc>
          <w:tcPr>
            <w:tcW w:type="dxa" w:w="3744"/>
            <w:vAlign w:val="center"/>
            <w:tcMar>
              <w:top w:w="90" w:type="dxa"/>
              <w:start w:w="110" w:type="dxa"/>
              <w:bottom w:w="90" w:type="dxa"/>
              <w:end w:w="110" w:type="dxa"/>
            </w:tcMar>
            <w:shd w:fill="F5F8FC"/>
          </w:tcPr>
          <w:p>
            <w:pPr>
              <w:spacing w:after="20" w:before="20"/>
            </w:pPr>
            <w:r>
              <w:rPr>
                <w:rFonts w:ascii="Aptos" w:hAnsi="Aptos"/>
                <w:sz w:val="18"/>
              </w:rPr>
              <w:t>Le fondateur confirme que le texte traduit sa vision.</w:t>
            </w:r>
          </w:p>
        </w:tc>
        <w:tc>
          <w:tcPr>
            <w:tcW w:type="dxa" w:w="3888"/>
            <w:vAlign w:val="center"/>
            <w:tcMar>
              <w:top w:w="90" w:type="dxa"/>
              <w:start w:w="110" w:type="dxa"/>
              <w:bottom w:w="90" w:type="dxa"/>
              <w:end w:w="110" w:type="dxa"/>
            </w:tcMar>
            <w:shd w:fill="F5F8FC"/>
          </w:tcPr>
          <w:p>
            <w:pPr>
              <w:spacing w:after="20" w:before="20"/>
            </w:pPr>
            <w:r>
              <w:rPr>
                <w:rFonts w:ascii="Aptos" w:hAnsi="Aptos"/>
                <w:sz w:val="18"/>
              </w:rPr>
              <w:t>Geler comme version de référence datée.</w:t>
            </w:r>
          </w:p>
        </w:tc>
      </w:tr>
      <w:tr>
        <w:tc>
          <w:tcPr>
            <w:tcW w:type="dxa" w:w="2016"/>
            <w:vAlign w:val="center"/>
            <w:tcMar>
              <w:top w:w="90" w:type="dxa"/>
              <w:start w:w="110" w:type="dxa"/>
              <w:bottom w:w="90" w:type="dxa"/>
              <w:end w:w="110" w:type="dxa"/>
            </w:tcMar>
          </w:tcPr>
          <w:p>
            <w:pPr>
              <w:spacing w:after="20" w:before="20"/>
            </w:pPr>
            <w:r>
              <w:rPr>
                <w:rFonts w:ascii="Aptos" w:hAnsi="Aptos"/>
                <w:sz w:val="18"/>
              </w:rPr>
              <w:t>À vérifier / officialiser</w:t>
            </w:r>
          </w:p>
        </w:tc>
        <w:tc>
          <w:tcPr>
            <w:tcW w:type="dxa" w:w="3744"/>
            <w:vAlign w:val="center"/>
            <w:tcMar>
              <w:top w:w="90" w:type="dxa"/>
              <w:start w:w="110" w:type="dxa"/>
              <w:bottom w:w="90" w:type="dxa"/>
              <w:end w:w="110" w:type="dxa"/>
            </w:tcMar>
          </w:tcPr>
          <w:p>
            <w:pPr>
              <w:spacing w:after="20" w:before="20"/>
            </w:pPr>
            <w:r>
              <w:rPr>
                <w:rFonts w:ascii="Aptos" w:hAnsi="Aptos"/>
                <w:sz w:val="18"/>
              </w:rPr>
              <w:t>Une validation externe, juridique, technique ou administrative est nécessaire.</w:t>
            </w:r>
          </w:p>
        </w:tc>
        <w:tc>
          <w:tcPr>
            <w:tcW w:type="dxa" w:w="3888"/>
            <w:vAlign w:val="center"/>
            <w:tcMar>
              <w:top w:w="90" w:type="dxa"/>
              <w:start w:w="110" w:type="dxa"/>
              <w:bottom w:w="90" w:type="dxa"/>
              <w:end w:w="110" w:type="dxa"/>
            </w:tcMar>
          </w:tcPr>
          <w:p>
            <w:pPr>
              <w:spacing w:after="20" w:before="20"/>
            </w:pPr>
            <w:r>
              <w:rPr>
                <w:rFonts w:ascii="Aptos" w:hAnsi="Aptos"/>
                <w:sz w:val="18"/>
              </w:rPr>
              <w:t>Ne pas publier comme fait établi tant que le contrôle n’est pas réalisé.</w:t>
            </w:r>
          </w:p>
        </w:tc>
      </w:tr>
    </w:tbl>
    <w:p>
      <w:pPr>
        <w:pStyle w:val="Heading1"/>
      </w:pPr>
      <w:r>
        <w:t>8. Bilan de la séance — 10 octobre 2026</w:t>
      </w:r>
    </w:p>
    <w:p>
      <w:r>
        <w:rPr>
          <w:i w:val="0"/>
        </w:rPr>
        <w:t>Éléments clarifiés et ajoutés au dossier de référence :</w:t>
      </w:r>
    </w:p>
    <w:p>
      <w:pPr>
        <w:pStyle w:val="ListBullet"/>
        <w:spacing w:after="60"/>
      </w:pPr>
      <w:r>
        <w:t>Ambition à long terme retenue : contribuer à transformer la vie de millions de personnes grâce à la formation et à l’autonomie (choix A).</w:t>
      </w:r>
    </w:p>
    <w:p>
      <w:pPr>
        <w:pStyle w:val="ListBullet"/>
        <w:spacing w:after="60"/>
      </w:pPr>
      <w:r>
        <w:t>Modèle d’accès aux formations retenu comme orientation : combinaison de cours gratuits, de cours payants et de places financées selon les moyens et les ressources (choix C).</w:t>
      </w:r>
    </w:p>
    <w:p>
      <w:pPr>
        <w:pStyle w:val="ListBullet"/>
        <w:spacing w:after="60"/>
      </w:pPr>
      <w:r>
        <w:t>FHM Academy et FHM Digital distinguées comme pôle de formation et plateforme technologique complémentaire.</w:t>
      </w:r>
    </w:p>
    <w:p>
      <w:pPr>
        <w:pStyle w:val="ListBullet"/>
        <w:spacing w:after="60"/>
      </w:pPr>
      <w:r>
        <w:t>Cinq filières structurantes consignées : enfants et jeunes; métiers techniques; agro-pastoral; numérique et IA; entrepreneuriat transversal.</w:t>
      </w:r>
    </w:p>
    <w:p>
      <w:pPr>
        <w:pStyle w:val="ListBullet"/>
        <w:spacing w:after="60"/>
      </w:pPr>
      <w:r>
        <w:t>Fonctions IA envisagées : aide à la génération de cours, évaluations objectives, suivi des apprenants et tuteur virtuel, avec contrôle qualité.</w:t>
      </w:r>
    </w:p>
    <w:p>
      <w:pPr>
        <w:pStyle w:val="ListBullet"/>
        <w:spacing w:after="60"/>
      </w:pPr>
      <w:r>
        <w:t>Décision de méthode : commencer avec des documents essentiels puis enrichir par versions successives, sans attendre une documentation exhaustive.</w:t>
      </w:r>
    </w:p>
    <w:p>
      <w:pPr>
        <w:pStyle w:val="ListBullet"/>
        <w:spacing w:after="60"/>
      </w:pPr>
      <w:r>
        <w:t>Recommandation de communication : ne pas effacer les réseaux sociaux; présenter honnêtement l’initiative comme en cours de structuration et éviter toute affirmation inexacte sur son statut ou ses activités.</w:t>
      </w:r>
    </w:p>
    <w:p>
      <w:r>
        <w:br w:type="page"/>
      </w:r>
    </w:p>
    <w:p>
      <w:pPr>
        <w:pStyle w:val="Heading1"/>
      </w:pPr>
      <w:r>
        <w:t>9. Prochaines étapes prioritaires</w:t>
      </w:r>
    </w:p>
    <w:p>
      <w:pPr>
        <w:pStyle w:val="ListBullet"/>
        <w:spacing w:after="60"/>
      </w:pPr>
      <w:r>
        <w:t>Valider ou corriger ce dossier de démarrage.</w:t>
      </w:r>
    </w:p>
    <w:p>
      <w:pPr>
        <w:pStyle w:val="ListBullet"/>
        <w:spacing w:after="60"/>
      </w:pPr>
      <w:r>
        <w:t>Préparer une fiche institutionnelle publique courte et une présentation du fondateur.</w:t>
      </w:r>
    </w:p>
    <w:p>
      <w:pPr>
        <w:pStyle w:val="ListBullet"/>
        <w:spacing w:after="60"/>
      </w:pPr>
      <w:r>
        <w:t>Établir la liste des documents statutaires et vérifications juridiques nécessaires en RDC.</w:t>
      </w:r>
    </w:p>
    <w:p>
      <w:pPr>
        <w:pStyle w:val="ListBullet"/>
        <w:spacing w:after="60"/>
      </w:pPr>
      <w:r>
        <w:t>Rédiger les premiers engagements minimaux de gouvernance, de protection, de confidentialité et de transparence avant toute activité impliquant des bénéficiaires ou une collecte de fonds.</w:t>
      </w:r>
    </w:p>
    <w:p>
      <w:pPr>
        <w:pStyle w:val="ListBullet"/>
        <w:spacing w:after="60"/>
      </w:pPr>
      <w:r>
        <w:t>Élaborer la première note conceptuelle FHM Academy / FHM Digital, puis décider d’un prototype limité plutôt que de développer toutes les fonctions en même temps.</w:t>
      </w:r>
    </w:p>
    <w:tbl>
      <w:tblPr>
        <w:tblW w:type="auto" w:w="0"/>
        <w:jc w:val="center"/>
        <w:tblLook w:firstColumn="1" w:firstRow="1" w:lastColumn="0" w:lastRow="0" w:noHBand="0" w:noVBand="1" w:val="04A0"/>
      </w:tblPr>
      <w:tblGrid>
        <w:gridCol w:w="9994"/>
      </w:tblGrid>
      <w:tr>
        <w:tc>
          <w:tcPr>
            <w:tcW w:type="dxa" w:w="9994"/>
            <w:shd w:fill="E9F5EF"/>
            <w:tcMar>
              <w:top w:w="140" w:type="dxa"/>
              <w:start w:w="180" w:type="dxa"/>
              <w:bottom w:w="140" w:type="dxa"/>
              <w:end w:w="180" w:type="dxa"/>
            </w:tcMar>
          </w:tcPr>
          <w:p>
            <w:pPr>
              <w:spacing w:after="60"/>
            </w:pPr>
            <w:r>
              <w:rPr>
                <w:rFonts w:ascii="Montserrat" w:hAnsi="Montserrat"/>
                <w:b/>
                <w:color w:val="003B73"/>
                <w:sz w:val="20"/>
              </w:rPr>
              <w:t>Règle de continuité</w:t>
            </w:r>
          </w:p>
          <w:p>
            <w:pPr>
              <w:spacing w:after="0"/>
            </w:pPr>
            <w:r>
              <w:rPr>
                <w:sz w:val="17"/>
              </w:rPr>
              <w:t>À la fin de chaque séance active, préparer un bilan des décisions, des propositions encore ouvertes, des documents à mettre à jour et de la prochaine action concrète. Le bilan ne doit pas remplacer la mise à jour réelle du fichier de référence.</w:t>
            </w:r>
          </w:p>
        </w:tc>
      </w:tr>
    </w:tbl>
    <w:p>
      <w:pPr>
        <w:pStyle w:val="Heading1"/>
      </w:pPr>
      <w:r>
        <w:t>10. Notes de prudence</w:t>
      </w:r>
    </w:p>
    <w:p>
      <w:r>
        <w:rPr>
          <w:i w:val="0"/>
        </w:rPr>
        <w:t>Ce dossier est une synthèse de travail fondée sur les orientations communiquées par le fondateur. Il ne constitue ni des statuts enregistrés, ni une attestation de personnalité juridique, ni une autorisation de collecte ou d’exercice d’une activité réglementée. Les documents publics et opérationnels devront être adaptés à la situation réelle, puis vérifiés selon les exigences applicables avant officialisation.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DOCUMENT DE TRAVAIL • V1.0 •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b/>
        <w:color w:val="0057B8"/>
        <w:sz w:val="16"/>
      </w:rPr>
      <w:t>FONDATION HORIZON MONDIAL  |  FHM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ontserrat" w:hAnsi="Montserrat"/>
      <w:b/>
      <w:bCs/>
      <w:color w:val="003B7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ontserrat" w:hAnsi="Montserrat"/>
      <w:b/>
      <w:bCs/>
      <w:color w:val="0057B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b/>
      <w:bCs/>
      <w:color w:val="00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ontserrat" w:hAnsi="Montserrat"/>
      <w:b/>
      <w:color w:val="003B7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FHM — Dossier de démarrage institutionnel V1.0</dc:title>
  <dc:subject>Socle provisoire de référence et plan de progression institutionnelle</dc:subject>
  <dc:creator>Fondation Horizon Mondial — document de travail</dc:creator>
  <cp:keywords>FHM, gouvernance, formation, FHM Academy, FHM Digital, autonomie</cp:keywords>
  <dc:description>generated by python-docx</dc:description>
  <cp:lastModifiedBy/>
  <cp:revision>1</cp:revision>
  <dcterms:created xsi:type="dcterms:W3CDTF">2013-12-23T23:15:00Z</dcterms:created>
  <dcterms:modified xsi:type="dcterms:W3CDTF">2013-12-23T23:15:00Z</dcterms:modified>
  <cp:category/>
</cp:coreProperties>
</file>