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62EC5B" w14:textId="102A8CC2" w:rsidR="00A60643" w:rsidRPr="00CF2EA4" w:rsidRDefault="00CF2EA4" w:rsidP="00A60643">
      <w:pPr>
        <w:jc w:val="both"/>
        <w:rPr>
          <w:rFonts w:ascii="Baskerville" w:hAnsi="Baskerville" w:cstheme="minorHAnsi"/>
          <w:b/>
          <w:bCs/>
          <w:lang w:val="it-IT"/>
        </w:rPr>
      </w:pPr>
      <w:bookmarkStart w:id="0" w:name="_GoBack"/>
      <w:r w:rsidRPr="00CF2EA4">
        <w:rPr>
          <w:rFonts w:ascii="Baskerville" w:hAnsi="Baskerville" w:cstheme="minorHAnsi"/>
          <w:b/>
          <w:bCs/>
          <w:lang w:val="it-IT"/>
        </w:rPr>
        <w:t xml:space="preserve">Vincenzo </w:t>
      </w:r>
      <w:proofErr w:type="spellStart"/>
      <w:r w:rsidRPr="00CF2EA4">
        <w:rPr>
          <w:rFonts w:ascii="Baskerville" w:hAnsi="Baskerville" w:cstheme="minorHAnsi"/>
          <w:b/>
          <w:bCs/>
          <w:lang w:val="it-IT"/>
        </w:rPr>
        <w:t>Ciampolini</w:t>
      </w:r>
      <w:proofErr w:type="spellEnd"/>
      <w:r w:rsidRPr="00CF2EA4">
        <w:rPr>
          <w:rFonts w:ascii="Baskerville" w:hAnsi="Baskerville" w:cstheme="minorHAnsi"/>
          <w:b/>
          <w:bCs/>
          <w:lang w:val="it-IT"/>
        </w:rPr>
        <w:t xml:space="preserve"> (1838-1930)</w:t>
      </w:r>
    </w:p>
    <w:bookmarkEnd w:id="0"/>
    <w:p w14:paraId="7D123C4E" w14:textId="77777777" w:rsidR="00A60643" w:rsidRPr="0039592A" w:rsidRDefault="00A60643" w:rsidP="00A60643">
      <w:pPr>
        <w:jc w:val="both"/>
        <w:rPr>
          <w:rFonts w:ascii="Baskerville" w:hAnsi="Baskerville" w:cstheme="minorHAnsi"/>
          <w:lang w:val="it-IT"/>
        </w:rPr>
      </w:pPr>
    </w:p>
    <w:p w14:paraId="470F62F4" w14:textId="528FBB23" w:rsidR="00543DAB" w:rsidRDefault="00A60643" w:rsidP="00A60643">
      <w:pPr>
        <w:jc w:val="both"/>
        <w:rPr>
          <w:rFonts w:ascii="Baskerville" w:hAnsi="Baskerville" w:cstheme="minorHAnsi"/>
          <w:lang w:val="it-IT"/>
        </w:rPr>
      </w:pPr>
      <w:r w:rsidRPr="0039592A">
        <w:rPr>
          <w:rFonts w:ascii="Baskerville" w:hAnsi="Baskerville" w:cstheme="minorHAnsi"/>
          <w:lang w:val="it-IT"/>
        </w:rPr>
        <w:t>Vincenzo Ciampolini (1838-1930) fu un antiquario e impresario originario di Sestri Levante</w:t>
      </w:r>
      <w:r w:rsidR="00543DAB">
        <w:rPr>
          <w:rFonts w:ascii="Baskerville" w:hAnsi="Baskerville" w:cstheme="minorHAnsi"/>
          <w:lang w:val="it-IT"/>
        </w:rPr>
        <w:t>.</w:t>
      </w:r>
      <w:r w:rsidR="00A2446F">
        <w:rPr>
          <w:rFonts w:ascii="Baskerville" w:hAnsi="Baskerville" w:cstheme="minorHAnsi"/>
          <w:lang w:val="it-IT"/>
        </w:rPr>
        <w:t xml:space="preserve"> </w:t>
      </w:r>
      <w:r w:rsidR="00543DAB" w:rsidRPr="0039592A">
        <w:rPr>
          <w:rFonts w:ascii="Baskerville" w:hAnsi="Baskerville" w:cstheme="minorHAnsi"/>
          <w:lang w:val="it-IT"/>
        </w:rPr>
        <w:t xml:space="preserve">Stando alle memorie di Ugo Ojetti, iniziò la propria carriera intorno alla metà degli anni Sessanta, vendendo mobili e armi antiche, e in un primo momento si legò all’antiquario Giuseppe Giacomini, titolare di una casa d’aste </w:t>
      </w:r>
      <w:r w:rsidR="00543DAB">
        <w:rPr>
          <w:rFonts w:ascii="Baskerville" w:hAnsi="Baskerville" w:cstheme="minorHAnsi"/>
          <w:lang w:val="it-IT"/>
        </w:rPr>
        <w:t>a Roma</w:t>
      </w:r>
      <w:r w:rsidR="00543DAB" w:rsidRPr="0039592A">
        <w:rPr>
          <w:rFonts w:ascii="Baskerville" w:hAnsi="Baskerville" w:cstheme="minorHAnsi"/>
          <w:lang w:val="it-IT"/>
        </w:rPr>
        <w:t xml:space="preserve">. </w:t>
      </w:r>
    </w:p>
    <w:p w14:paraId="6F0B1F4E" w14:textId="77777777" w:rsidR="00A2446F" w:rsidRDefault="00A2446F" w:rsidP="00A60643">
      <w:pPr>
        <w:jc w:val="both"/>
        <w:rPr>
          <w:rFonts w:ascii="Baskerville" w:hAnsi="Baskerville" w:cstheme="minorHAnsi"/>
          <w:lang w:val="it-IT"/>
        </w:rPr>
      </w:pPr>
    </w:p>
    <w:p w14:paraId="06F2EA31" w14:textId="18BCDB44" w:rsidR="00543DAB" w:rsidRDefault="00543DAB" w:rsidP="00543DAB">
      <w:pPr>
        <w:jc w:val="both"/>
        <w:rPr>
          <w:rFonts w:ascii="Baskerville" w:hAnsi="Baskerville" w:cstheme="minorHAnsi"/>
          <w:lang w:val="it-IT"/>
        </w:rPr>
      </w:pPr>
      <w:r>
        <w:rPr>
          <w:rFonts w:ascii="Baskerville" w:hAnsi="Baskerville" w:cstheme="minorHAnsi"/>
          <w:lang w:val="it-IT"/>
        </w:rPr>
        <w:t>Nel giro di poco tempo riuscì ad ampliare notevolmente il suo giro di affari</w:t>
      </w:r>
      <w:r w:rsidR="000B22E4">
        <w:rPr>
          <w:rFonts w:ascii="Baskerville" w:hAnsi="Baskerville" w:cstheme="minorHAnsi"/>
          <w:lang w:val="it-IT"/>
        </w:rPr>
        <w:t xml:space="preserve"> arrivando ad acquistare, </w:t>
      </w:r>
      <w:r w:rsidRPr="0039592A">
        <w:rPr>
          <w:rFonts w:ascii="Baskerville" w:hAnsi="Baskerville" w:cstheme="minorHAnsi"/>
          <w:lang w:val="it-IT"/>
        </w:rPr>
        <w:t>nel 1874</w:t>
      </w:r>
      <w:r w:rsidR="000B22E4">
        <w:rPr>
          <w:rFonts w:ascii="Baskerville" w:hAnsi="Baskerville" w:cstheme="minorHAnsi"/>
          <w:lang w:val="it-IT"/>
        </w:rPr>
        <w:t>,</w:t>
      </w:r>
      <w:r w:rsidRPr="0039592A">
        <w:rPr>
          <w:rFonts w:ascii="Baskerville" w:hAnsi="Baskerville" w:cstheme="minorHAnsi"/>
          <w:lang w:val="it-IT"/>
        </w:rPr>
        <w:t xml:space="preserve"> palazzo Moroni in Borgo Nuovo a Roma. Nel corso degli anni Settanta </w:t>
      </w:r>
      <w:r w:rsidR="000B22E4">
        <w:rPr>
          <w:rFonts w:ascii="Baskerville" w:hAnsi="Baskerville" w:cstheme="minorHAnsi"/>
          <w:lang w:val="it-IT"/>
        </w:rPr>
        <w:t xml:space="preserve">la sua impresa </w:t>
      </w:r>
      <w:r w:rsidRPr="0039592A">
        <w:rPr>
          <w:rFonts w:ascii="Baskerville" w:hAnsi="Baskerville" w:cstheme="minorHAnsi"/>
          <w:lang w:val="it-IT"/>
        </w:rPr>
        <w:t>viene registrat</w:t>
      </w:r>
      <w:r w:rsidR="000B22E4">
        <w:rPr>
          <w:rFonts w:ascii="Baskerville" w:hAnsi="Baskerville" w:cstheme="minorHAnsi"/>
          <w:lang w:val="it-IT"/>
        </w:rPr>
        <w:t>a</w:t>
      </w:r>
      <w:r w:rsidRPr="0039592A">
        <w:rPr>
          <w:rFonts w:ascii="Baskerville" w:hAnsi="Baskerville" w:cstheme="minorHAnsi"/>
          <w:lang w:val="it-IT"/>
        </w:rPr>
        <w:t xml:space="preserve"> </w:t>
      </w:r>
      <w:r w:rsidR="000B22E4">
        <w:rPr>
          <w:rFonts w:ascii="Baskerville" w:hAnsi="Baskerville" w:cstheme="minorHAnsi"/>
          <w:lang w:val="it-IT"/>
        </w:rPr>
        <w:t>con</w:t>
      </w:r>
      <w:r w:rsidRPr="0039592A">
        <w:rPr>
          <w:rFonts w:ascii="Baskerville" w:hAnsi="Baskerville" w:cstheme="minorHAnsi"/>
          <w:lang w:val="it-IT"/>
        </w:rPr>
        <w:t xml:space="preserve"> due </w:t>
      </w:r>
      <w:r w:rsidR="000B22E4">
        <w:rPr>
          <w:rFonts w:ascii="Baskerville" w:hAnsi="Baskerville" w:cstheme="minorHAnsi"/>
          <w:lang w:val="it-IT"/>
        </w:rPr>
        <w:t>indirizzi</w:t>
      </w:r>
      <w:r w:rsidRPr="0039592A">
        <w:rPr>
          <w:rFonts w:ascii="Baskerville" w:hAnsi="Baskerville" w:cstheme="minorHAnsi"/>
          <w:lang w:val="it-IT"/>
        </w:rPr>
        <w:t xml:space="preserve"> distint</w:t>
      </w:r>
      <w:r w:rsidR="000B22E4">
        <w:rPr>
          <w:rFonts w:ascii="Baskerville" w:hAnsi="Baskerville" w:cstheme="minorHAnsi"/>
          <w:lang w:val="it-IT"/>
        </w:rPr>
        <w:t>i</w:t>
      </w:r>
      <w:r w:rsidRPr="0039592A">
        <w:rPr>
          <w:rFonts w:ascii="Baskerville" w:hAnsi="Baskerville" w:cstheme="minorHAnsi"/>
          <w:lang w:val="it-IT"/>
        </w:rPr>
        <w:t xml:space="preserve">: in Piazza Santa Maria Novella 3, a Firenze, che rappresentò la sede storica dell’attività, e in Borgo Vecchio 165, a Roma. La sede romana venne poi spostata prima in un locale del Foro Romano e poi dal 1891 in </w:t>
      </w:r>
      <w:r w:rsidR="000B22E4">
        <w:rPr>
          <w:rFonts w:ascii="Baskerville" w:hAnsi="Baskerville" w:cstheme="minorHAnsi"/>
          <w:lang w:val="it-IT"/>
        </w:rPr>
        <w:t>T</w:t>
      </w:r>
      <w:r w:rsidRPr="0039592A">
        <w:rPr>
          <w:rFonts w:ascii="Baskerville" w:hAnsi="Baskerville" w:cstheme="minorHAnsi"/>
          <w:lang w:val="it-IT"/>
        </w:rPr>
        <w:t xml:space="preserve">rinità dei Monti 9. </w:t>
      </w:r>
    </w:p>
    <w:p w14:paraId="203470C9" w14:textId="77777777" w:rsidR="00A2446F" w:rsidRPr="0039592A" w:rsidRDefault="00A2446F" w:rsidP="00543DAB">
      <w:pPr>
        <w:jc w:val="both"/>
        <w:rPr>
          <w:rFonts w:ascii="Baskerville" w:hAnsi="Baskerville" w:cstheme="minorHAnsi"/>
          <w:lang w:val="it-IT"/>
        </w:rPr>
      </w:pPr>
    </w:p>
    <w:p w14:paraId="1661234A" w14:textId="1E8F6503" w:rsidR="000B22E4" w:rsidRPr="0039592A" w:rsidRDefault="00543DAB" w:rsidP="000B22E4">
      <w:pPr>
        <w:jc w:val="both"/>
        <w:rPr>
          <w:rFonts w:ascii="Baskerville" w:hAnsi="Baskerville" w:cstheme="minorHAnsi"/>
          <w:lang w:val="it-IT"/>
        </w:rPr>
      </w:pPr>
      <w:r w:rsidRPr="0039592A">
        <w:rPr>
          <w:rFonts w:ascii="Baskerville" w:hAnsi="Baskerville" w:cstheme="minorHAnsi"/>
          <w:lang w:val="it-IT"/>
        </w:rPr>
        <w:t xml:space="preserve">Nel 1877 aprì un laboratorio di ebanisteria, stipetteria e falegnameria in via Malcontenti 4 a Firenze sotto il nome di “Fabbrica di Mobili Artistici. Pia Casa di Lavoro”, destinato alla creazione di mobili di lusso. </w:t>
      </w:r>
      <w:r w:rsidR="00A2446F">
        <w:rPr>
          <w:rFonts w:ascii="Baskerville" w:hAnsi="Baskerville" w:cstheme="minorHAnsi"/>
          <w:lang w:val="it-IT"/>
        </w:rPr>
        <w:t xml:space="preserve"> </w:t>
      </w:r>
      <w:proofErr w:type="spellStart"/>
      <w:r w:rsidR="000B22E4" w:rsidRPr="0039592A">
        <w:rPr>
          <w:rFonts w:ascii="Baskerville" w:hAnsi="Baskerville" w:cstheme="minorHAnsi"/>
          <w:lang w:val="it-IT"/>
        </w:rPr>
        <w:t>Ciampolini</w:t>
      </w:r>
      <w:proofErr w:type="spellEnd"/>
      <w:r w:rsidR="000B22E4" w:rsidRPr="0039592A">
        <w:rPr>
          <w:rFonts w:ascii="Baskerville" w:hAnsi="Baskerville" w:cstheme="minorHAnsi"/>
          <w:lang w:val="it-IT"/>
        </w:rPr>
        <w:t xml:space="preserve"> </w:t>
      </w:r>
      <w:r w:rsidR="000B22E4">
        <w:rPr>
          <w:rFonts w:ascii="Baskerville" w:hAnsi="Baskerville" w:cstheme="minorHAnsi"/>
          <w:lang w:val="it-IT"/>
        </w:rPr>
        <w:t>era solito frequentare tutte</w:t>
      </w:r>
      <w:r w:rsidR="000B22E4" w:rsidRPr="0039592A">
        <w:rPr>
          <w:rFonts w:ascii="Baskerville" w:hAnsi="Baskerville" w:cstheme="minorHAnsi"/>
          <w:lang w:val="it-IT"/>
        </w:rPr>
        <w:t xml:space="preserve"> le vendite all’asta romane e fiorentine, durante le quali spesso comprava oggetti destinati alla sua clientela nazionale e estera, </w:t>
      </w:r>
      <w:r w:rsidR="000B22E4">
        <w:rPr>
          <w:rFonts w:ascii="Baskerville" w:hAnsi="Baskerville" w:cstheme="minorHAnsi"/>
          <w:lang w:val="it-IT"/>
        </w:rPr>
        <w:t>di</w:t>
      </w:r>
      <w:r w:rsidR="000B22E4" w:rsidRPr="0039592A">
        <w:rPr>
          <w:rFonts w:ascii="Baskerville" w:hAnsi="Baskerville" w:cstheme="minorHAnsi"/>
          <w:lang w:val="it-IT"/>
        </w:rPr>
        <w:t xml:space="preserve"> cui</w:t>
      </w:r>
      <w:r w:rsidR="000B22E4">
        <w:rPr>
          <w:rFonts w:ascii="Baskerville" w:hAnsi="Baskerville" w:cstheme="minorHAnsi"/>
          <w:lang w:val="it-IT"/>
        </w:rPr>
        <w:t xml:space="preserve"> faceva parte anche</w:t>
      </w:r>
      <w:r w:rsidR="000B22E4" w:rsidRPr="0039592A">
        <w:rPr>
          <w:rFonts w:ascii="Baskerville" w:hAnsi="Baskerville" w:cstheme="minorHAnsi"/>
          <w:lang w:val="it-IT"/>
        </w:rPr>
        <w:t xml:space="preserve"> Wilhelm von Bode. </w:t>
      </w:r>
    </w:p>
    <w:p w14:paraId="1CFC0196" w14:textId="77777777" w:rsidR="00A2446F" w:rsidRDefault="00A2446F" w:rsidP="000B22E4">
      <w:pPr>
        <w:jc w:val="both"/>
        <w:rPr>
          <w:rFonts w:ascii="Baskerville" w:hAnsi="Baskerville" w:cstheme="minorHAnsi"/>
          <w:lang w:val="it-IT"/>
        </w:rPr>
      </w:pPr>
    </w:p>
    <w:p w14:paraId="3C8DC2B8" w14:textId="2AB6F355" w:rsidR="000B22E4" w:rsidRDefault="000B22E4" w:rsidP="000B22E4">
      <w:pPr>
        <w:jc w:val="both"/>
        <w:rPr>
          <w:rFonts w:ascii="Baskerville" w:hAnsi="Baskerville" w:cstheme="minorHAnsi"/>
          <w:lang w:val="it-IT"/>
        </w:rPr>
      </w:pPr>
      <w:r w:rsidRPr="0039592A">
        <w:rPr>
          <w:rFonts w:ascii="Baskerville" w:hAnsi="Baskerville" w:cstheme="minorHAnsi"/>
          <w:lang w:val="it-IT"/>
        </w:rPr>
        <w:t xml:space="preserve">Con l’inizio del nuovo secolo, Ciampolini si dovette via via ritirare sempre più dal commercio, dedicando maggior tempo all’attività di impresario, come </w:t>
      </w:r>
      <w:r>
        <w:rPr>
          <w:rFonts w:ascii="Baskerville" w:hAnsi="Baskerville" w:cstheme="minorHAnsi"/>
          <w:lang w:val="it-IT"/>
        </w:rPr>
        <w:t>dichiarato da</w:t>
      </w:r>
      <w:r w:rsidRPr="0039592A">
        <w:rPr>
          <w:rFonts w:ascii="Baskerville" w:hAnsi="Baskerville" w:cstheme="minorHAnsi"/>
          <w:lang w:val="it-IT"/>
        </w:rPr>
        <w:t xml:space="preserve"> lui stesso in una lettera inviata a «La Nazione» il 4 marzo 1909. </w:t>
      </w:r>
      <w:r w:rsidR="00A2446F">
        <w:rPr>
          <w:rFonts w:ascii="Baskerville" w:hAnsi="Baskerville" w:cstheme="minorHAnsi"/>
          <w:lang w:val="it-IT"/>
        </w:rPr>
        <w:t xml:space="preserve"> </w:t>
      </w:r>
      <w:r>
        <w:rPr>
          <w:rFonts w:ascii="Baskerville" w:hAnsi="Baskerville" w:cstheme="minorHAnsi"/>
          <w:lang w:val="it-IT"/>
        </w:rPr>
        <w:t>Ancora nel 1912, tuttavia, s</w:t>
      </w:r>
      <w:r w:rsidRPr="0039592A">
        <w:rPr>
          <w:rFonts w:ascii="Baskerville" w:hAnsi="Baskerville" w:cstheme="minorHAnsi"/>
          <w:lang w:val="it-IT"/>
        </w:rPr>
        <w:t xml:space="preserve">ulle pagine della rivista «Il conoscitore» </w:t>
      </w:r>
      <w:r>
        <w:rPr>
          <w:rFonts w:ascii="Baskerville" w:hAnsi="Baskerville" w:cstheme="minorHAnsi"/>
          <w:lang w:val="it-IT"/>
        </w:rPr>
        <w:t>viene ricordato</w:t>
      </w:r>
      <w:r w:rsidRPr="0039592A">
        <w:rPr>
          <w:rFonts w:ascii="Baskerville" w:hAnsi="Baskerville" w:cstheme="minorHAnsi"/>
          <w:lang w:val="it-IT"/>
        </w:rPr>
        <w:t xml:space="preserve"> come un ricco </w:t>
      </w:r>
      <w:r>
        <w:rPr>
          <w:rFonts w:ascii="Baskerville" w:hAnsi="Baskerville" w:cstheme="minorHAnsi"/>
          <w:lang w:val="it-IT"/>
        </w:rPr>
        <w:t xml:space="preserve">e influente </w:t>
      </w:r>
      <w:r w:rsidRPr="0039592A">
        <w:rPr>
          <w:rFonts w:ascii="Baskerville" w:hAnsi="Baskerville" w:cstheme="minorHAnsi"/>
          <w:lang w:val="it-IT"/>
        </w:rPr>
        <w:t xml:space="preserve">mercante, dotato di una </w:t>
      </w:r>
      <w:r>
        <w:rPr>
          <w:rFonts w:ascii="Baskerville" w:hAnsi="Baskerville" w:cstheme="minorHAnsi"/>
          <w:lang w:val="it-IT"/>
        </w:rPr>
        <w:t>conoscenza</w:t>
      </w:r>
      <w:r w:rsidRPr="0039592A">
        <w:rPr>
          <w:rFonts w:ascii="Baskerville" w:hAnsi="Baskerville" w:cstheme="minorHAnsi"/>
          <w:lang w:val="it-IT"/>
        </w:rPr>
        <w:t xml:space="preserve"> profonda del commercio. Fu infatti una figura chiave per molti colleghi fiorentini, tra cui Stefano Bardini (1836-1922) e Luigi Grassi (1858-1937), ai quali elargì prestiti importanti per lo sviluppo delle proprie attività.  </w:t>
      </w:r>
    </w:p>
    <w:p w14:paraId="47A1C13F" w14:textId="77777777" w:rsidR="00A2446F" w:rsidRPr="00A2446F" w:rsidRDefault="00A2446F" w:rsidP="000B22E4">
      <w:pPr>
        <w:jc w:val="both"/>
        <w:rPr>
          <w:rFonts w:ascii="Baskerville" w:hAnsi="Baskerville" w:cstheme="minorHAnsi"/>
          <w:lang w:val="it-IT"/>
        </w:rPr>
      </w:pPr>
    </w:p>
    <w:p w14:paraId="279395D1" w14:textId="36D24AD6" w:rsidR="000B22E4" w:rsidRPr="0039592A" w:rsidRDefault="000B22E4" w:rsidP="000B22E4">
      <w:pPr>
        <w:jc w:val="both"/>
        <w:rPr>
          <w:rFonts w:ascii="Baskerville" w:hAnsi="Baskerville" w:cstheme="minorHAnsi"/>
          <w:lang w:val="it-IT"/>
        </w:rPr>
      </w:pPr>
      <w:r w:rsidRPr="0039592A">
        <w:rPr>
          <w:rFonts w:ascii="Baskerville" w:hAnsi="Baskerville" w:cstheme="minorHAnsi"/>
          <w:lang w:val="it-IT"/>
        </w:rPr>
        <w:t xml:space="preserve">Le ultime attestazioni nel commercio di opere d’arte fanno riferimento alla sua abitazione posta in via del Sole 11 a Firenze, da dove tuttavia continuava a commerciare ricevendo privatamente la clientela, almeno fino al 1915. </w:t>
      </w:r>
    </w:p>
    <w:p w14:paraId="63E734C9" w14:textId="77777777" w:rsidR="000B22E4" w:rsidRDefault="000B22E4" w:rsidP="000B22E4">
      <w:pPr>
        <w:jc w:val="both"/>
        <w:rPr>
          <w:rFonts w:ascii="Baskerville" w:hAnsi="Baskerville" w:cstheme="minorHAnsi"/>
          <w:lang w:val="it-IT"/>
        </w:rPr>
      </w:pPr>
    </w:p>
    <w:p w14:paraId="46D938B4" w14:textId="77777777" w:rsidR="000B22E4" w:rsidRPr="0039592A" w:rsidRDefault="000B22E4" w:rsidP="00543DAB">
      <w:pPr>
        <w:jc w:val="both"/>
        <w:rPr>
          <w:rFonts w:ascii="Baskerville" w:hAnsi="Baskerville" w:cstheme="minorHAnsi"/>
          <w:lang w:val="it-IT"/>
        </w:rPr>
      </w:pPr>
    </w:p>
    <w:p w14:paraId="78FE3626" w14:textId="503433A3" w:rsidR="008D1C02" w:rsidRPr="00A60643" w:rsidRDefault="008D1C02" w:rsidP="00A60643">
      <w:pPr>
        <w:jc w:val="both"/>
        <w:rPr>
          <w:lang w:val="it-IT"/>
        </w:rPr>
      </w:pPr>
    </w:p>
    <w:sectPr w:rsidR="008D1C02" w:rsidRPr="00A606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Georgia Pro">
    <w:altName w:val="Times New Roman"/>
    <w:charset w:val="00"/>
    <w:family w:val="roman"/>
    <w:pitch w:val="variable"/>
    <w:sig w:usb0="00000001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643"/>
    <w:rsid w:val="000B22E4"/>
    <w:rsid w:val="000D5888"/>
    <w:rsid w:val="001135C0"/>
    <w:rsid w:val="00317867"/>
    <w:rsid w:val="00400D97"/>
    <w:rsid w:val="004D3E31"/>
    <w:rsid w:val="00515B50"/>
    <w:rsid w:val="00543DAB"/>
    <w:rsid w:val="00626BAE"/>
    <w:rsid w:val="007A1819"/>
    <w:rsid w:val="00806E83"/>
    <w:rsid w:val="00826616"/>
    <w:rsid w:val="008D1C02"/>
    <w:rsid w:val="008E2537"/>
    <w:rsid w:val="00A2446F"/>
    <w:rsid w:val="00A60643"/>
    <w:rsid w:val="00B3347A"/>
    <w:rsid w:val="00C91537"/>
    <w:rsid w:val="00CE3CC6"/>
    <w:rsid w:val="00CF2EA4"/>
    <w:rsid w:val="00E0110F"/>
    <w:rsid w:val="00E0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06B0D"/>
  <w15:chartTrackingRefBased/>
  <w15:docId w15:val="{DC079E56-CD2D-D542-A6C4-63FE96D7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60643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60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60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60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0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0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06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06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06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0643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  <w:kern w:val="2"/>
      <w14:ligatures w14:val="standardContextual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6064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6064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60643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60643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60643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60643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60643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60643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60643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06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A60643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06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0643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60643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0643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A60643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A6064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0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0643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A60643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E0787A"/>
    <w:rPr>
      <w:color w:val="467886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E07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5</cp:revision>
  <dcterms:created xsi:type="dcterms:W3CDTF">2024-05-13T12:54:00Z</dcterms:created>
  <dcterms:modified xsi:type="dcterms:W3CDTF">2024-08-29T09:10:00Z</dcterms:modified>
</cp:coreProperties>
</file>