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65CD1A" w14:textId="77777777" w:rsidR="00C05C45" w:rsidRPr="00204D2B" w:rsidRDefault="00C05C45" w:rsidP="00C05C45">
      <w:pPr>
        <w:jc w:val="both"/>
        <w:rPr>
          <w:rFonts w:ascii="Baskerville" w:eastAsiaTheme="majorEastAsia" w:hAnsi="Baskerville" w:cstheme="majorHAnsi"/>
          <w:b/>
          <w:color w:val="000000" w:themeColor="text1"/>
          <w:lang w:val="it-IT"/>
        </w:rPr>
      </w:pPr>
      <w:r w:rsidRPr="00204D2B">
        <w:rPr>
          <w:rFonts w:ascii="Baskerville" w:eastAsiaTheme="majorEastAsia" w:hAnsi="Baskerville" w:cstheme="majorHAnsi"/>
          <w:b/>
          <w:color w:val="000000" w:themeColor="text1"/>
          <w:lang w:val="it-IT"/>
        </w:rPr>
        <w:t>POMPEO RUBINACCI (1893-1974)</w:t>
      </w:r>
    </w:p>
    <w:p w14:paraId="67B8305E" w14:textId="0A676C8F" w:rsidR="00C05C45" w:rsidRPr="00204D2B" w:rsidRDefault="00C05C45" w:rsidP="00C05C45">
      <w:pPr>
        <w:jc w:val="both"/>
        <w:rPr>
          <w:rFonts w:ascii="Baskerville" w:eastAsiaTheme="majorEastAsia" w:hAnsi="Baskerville" w:cstheme="majorHAnsi"/>
          <w:b/>
          <w:color w:val="000000" w:themeColor="text1"/>
          <w:lang w:val="it-IT"/>
        </w:rPr>
      </w:pPr>
    </w:p>
    <w:p w14:paraId="20246349" w14:textId="58638B09" w:rsidR="00C05C45" w:rsidRPr="00204D2B" w:rsidRDefault="00C05C45" w:rsidP="00C05C45">
      <w:pPr>
        <w:jc w:val="both"/>
        <w:rPr>
          <w:rFonts w:ascii="Baskerville" w:eastAsiaTheme="majorEastAsia" w:hAnsi="Baskerville" w:cstheme="majorHAnsi"/>
          <w:bCs/>
          <w:color w:val="000000" w:themeColor="text1"/>
          <w:lang w:val="it-IT"/>
        </w:rPr>
      </w:pP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Pompeo Rubinacci (1893-1974), nato a Buenos Aires, fu una figura di primo piano per la storia del collezionismo e del mercato antiquario ligure. </w:t>
      </w:r>
    </w:p>
    <w:p w14:paraId="5A6A7B7C" w14:textId="2E0A2477" w:rsidR="00C05C45" w:rsidRPr="00204D2B" w:rsidRDefault="0093052D" w:rsidP="00C05C45">
      <w:pPr>
        <w:jc w:val="both"/>
        <w:rPr>
          <w:rFonts w:ascii="Baskerville" w:eastAsiaTheme="majorEastAsia" w:hAnsi="Baskerville" w:cstheme="majorHAnsi"/>
          <w:bCs/>
          <w:color w:val="000000" w:themeColor="text1"/>
          <w:lang w:val="it-IT"/>
        </w:rPr>
      </w:pPr>
      <w:r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Esordì nel mondo dell’arte come pittore, dopo la formazione presso l’Accademia Ligustica, presentando il dipinto </w:t>
      </w:r>
      <w:r>
        <w:rPr>
          <w:rFonts w:ascii="Baskerville" w:eastAsiaTheme="majorEastAsia" w:hAnsi="Baskerville" w:cstheme="majorHAnsi"/>
          <w:bCs/>
          <w:i/>
          <w:color w:val="000000" w:themeColor="text1"/>
          <w:lang w:val="it-IT"/>
        </w:rPr>
        <w:t>Frutta</w:t>
      </w:r>
      <w:r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</w:t>
      </w:r>
      <w:r w:rsidR="00E24DA3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(oggi alla GAM di Genova) </w:t>
      </w: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alla X mostra della Società Promotrice di Belle Arti </w:t>
      </w:r>
      <w:r w:rsidR="00E24DA3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“</w:t>
      </w:r>
      <w:proofErr w:type="spellStart"/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Alere</w:t>
      </w:r>
      <w:proofErr w:type="spellEnd"/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</w:t>
      </w:r>
      <w:proofErr w:type="spellStart"/>
      <w:r w:rsidR="00E24DA3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f</w:t>
      </w: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lammam</w:t>
      </w:r>
      <w:proofErr w:type="spellEnd"/>
      <w:r w:rsidR="00E24DA3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”</w:t>
      </w: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</w:t>
      </w:r>
      <w:r>
        <w:rPr>
          <w:rFonts w:ascii="Baskerville" w:eastAsiaTheme="majorEastAsia" w:hAnsi="Baskerville" w:cstheme="majorHAnsi"/>
          <w:bCs/>
          <w:color w:val="000000" w:themeColor="text1"/>
          <w:lang w:val="it-IT"/>
        </w:rPr>
        <w:t>(1928). La sua carriera proseguì come</w:t>
      </w:r>
      <w:r w:rsidR="00C05C45"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restauratore di dipinti per il Comune di Genova</w:t>
      </w:r>
      <w:r w:rsidR="0089714C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,</w:t>
      </w:r>
      <w:r w:rsidR="00E24DA3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</w:t>
      </w:r>
      <w:r w:rsidR="005F24B4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con </w:t>
      </w:r>
      <w:r w:rsidR="005F24B4"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uno studio </w:t>
      </w:r>
      <w:r w:rsidR="005F24B4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documentato</w:t>
      </w:r>
      <w:r w:rsidR="005F24B4"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</w:t>
      </w:r>
      <w:r w:rsidR="0089714C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dalla </w:t>
      </w:r>
      <w:r w:rsidR="0089714C">
        <w:rPr>
          <w:rFonts w:ascii="Baskerville" w:eastAsiaTheme="majorEastAsia" w:hAnsi="Baskerville" w:cstheme="majorHAnsi"/>
          <w:bCs/>
          <w:i/>
          <w:iCs/>
          <w:color w:val="000000" w:themeColor="text1"/>
          <w:lang w:val="it-IT"/>
        </w:rPr>
        <w:t>Guida Genovese “Opera Pompei”</w:t>
      </w:r>
      <w:r w:rsidR="0089714C">
        <w:rPr>
          <w:rFonts w:ascii="Baskerville" w:eastAsiaTheme="majorEastAsia" w:hAnsi="Baskerville" w:cstheme="majorHAnsi"/>
          <w:bCs/>
          <w:iCs/>
          <w:color w:val="000000" w:themeColor="text1"/>
          <w:lang w:val="it-IT"/>
        </w:rPr>
        <w:t xml:space="preserve"> del 1933 </w:t>
      </w:r>
      <w:r w:rsidR="005F24B4"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in via G.T. Invrea 20</w:t>
      </w:r>
      <w:r w:rsidR="00C75B56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-10</w:t>
      </w:r>
      <w:r w:rsidR="0089714C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, specializzato nel restauro di</w:t>
      </w:r>
      <w:r w:rsidR="005F24B4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dipinti antichi. Fin da subito alternò l’attività di restauratore con quella di mercante d’arte, associandosi ai</w:t>
      </w:r>
      <w:r w:rsidR="001C001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commercianti</w:t>
      </w:r>
      <w:r w:rsidR="00C05C45"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Egisto De Masi (1879-1957), </w:t>
      </w:r>
      <w:r w:rsidR="0089714C"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che trattava soprattutto </w:t>
      </w:r>
      <w:r w:rsidR="00C05C45"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mobili, e Jean Questa</w:t>
      </w:r>
      <w:r w:rsidR="0089714C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, esperto di arti decorative e, in particolar, tessuti</w:t>
      </w:r>
      <w:r w:rsidR="005F24B4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. Il negozio dei tre associati era i</w:t>
      </w:r>
      <w:r w:rsidR="00C05C45"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n piazza San Matteo al piano nobile del Palazzetto Doria</w:t>
      </w:r>
      <w:r w:rsidR="005F24B4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.</w:t>
      </w:r>
      <w:r w:rsidR="00C05C45"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</w:t>
      </w:r>
    </w:p>
    <w:p w14:paraId="42101E30" w14:textId="77777777" w:rsidR="00C05C45" w:rsidRPr="00204D2B" w:rsidRDefault="00C05C45" w:rsidP="00C05C45">
      <w:pPr>
        <w:jc w:val="both"/>
        <w:rPr>
          <w:rFonts w:ascii="Baskerville" w:eastAsiaTheme="majorEastAsia" w:hAnsi="Baskerville" w:cstheme="majorHAnsi"/>
          <w:bCs/>
          <w:color w:val="000000" w:themeColor="text1"/>
          <w:lang w:val="it-IT"/>
        </w:rPr>
      </w:pP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La collaborazione durò fino agli anni Sessanta, quando Rubinacci si spostò in Piazza Fontane </w:t>
      </w:r>
      <w:proofErr w:type="spellStart"/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Marose</w:t>
      </w:r>
      <w:proofErr w:type="spellEnd"/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, in alcuni locali di Palazzo Negrone. In quegli stessi anni iniziò a lavorare per Rubinacci il nipote Piero Pagano (1929-2006).</w:t>
      </w:r>
    </w:p>
    <w:p w14:paraId="24230999" w14:textId="77777777" w:rsidR="008D1C02" w:rsidRDefault="008D1C02">
      <w:bookmarkStart w:id="0" w:name="_GoBack"/>
      <w:bookmarkEnd w:id="0"/>
    </w:p>
    <w:sectPr w:rsidR="008D1C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Georgia Pro">
    <w:altName w:val="Georgia"/>
    <w:charset w:val="00"/>
    <w:family w:val="roman"/>
    <w:pitch w:val="variable"/>
    <w:sig w:usb0="00000001" w:usb1="00000003" w:usb2="00000000" w:usb3="00000000" w:csb0="000000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C45"/>
    <w:rsid w:val="000D5888"/>
    <w:rsid w:val="001C001B"/>
    <w:rsid w:val="00317867"/>
    <w:rsid w:val="00354F25"/>
    <w:rsid w:val="00400D97"/>
    <w:rsid w:val="004D3E31"/>
    <w:rsid w:val="00515B50"/>
    <w:rsid w:val="00591619"/>
    <w:rsid w:val="005B6A31"/>
    <w:rsid w:val="005F24B4"/>
    <w:rsid w:val="00626BAE"/>
    <w:rsid w:val="007A1819"/>
    <w:rsid w:val="00826616"/>
    <w:rsid w:val="0089714C"/>
    <w:rsid w:val="008D1C02"/>
    <w:rsid w:val="008E2537"/>
    <w:rsid w:val="0093052D"/>
    <w:rsid w:val="00AE764E"/>
    <w:rsid w:val="00B3347A"/>
    <w:rsid w:val="00B72092"/>
    <w:rsid w:val="00C05C45"/>
    <w:rsid w:val="00C75B56"/>
    <w:rsid w:val="00C91537"/>
    <w:rsid w:val="00CE3CC6"/>
    <w:rsid w:val="00E0110F"/>
    <w:rsid w:val="00E24DA3"/>
    <w:rsid w:val="00F903B2"/>
    <w:rsid w:val="00FD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86377"/>
  <w15:chartTrackingRefBased/>
  <w15:docId w15:val="{B0DA6F38-1FD0-F641-B600-EB630524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05C45"/>
    <w:rPr>
      <w:kern w:val="0"/>
      <w:lang w:val="es-ES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05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05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05C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05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05C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05C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05C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05C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05C45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ASE">
    <w:name w:val="BASE"/>
    <w:basedOn w:val="Normale"/>
    <w:qFormat/>
    <w:rsid w:val="00400D97"/>
    <w:pPr>
      <w:spacing w:line="360" w:lineRule="auto"/>
      <w:jc w:val="both"/>
    </w:pPr>
    <w:rPr>
      <w:rFonts w:ascii="Georgia Pro" w:hAnsi="Georgia Pro"/>
      <w:kern w:val="2"/>
      <w14:ligatures w14:val="standardContextual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05C4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05C4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05C45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05C45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05C45"/>
    <w:rPr>
      <w:rFonts w:eastAsiaTheme="majorEastAsia" w:cstheme="majorBidi"/>
      <w:color w:val="0F4761" w:themeColor="accent1" w:themeShade="BF"/>
      <w:lang w:val="es-E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05C45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05C45"/>
    <w:rPr>
      <w:rFonts w:eastAsiaTheme="majorEastAsia" w:cstheme="majorBidi"/>
      <w:color w:val="595959" w:themeColor="text1" w:themeTint="A6"/>
      <w:lang w:val="es-E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05C45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05C45"/>
    <w:rPr>
      <w:rFonts w:eastAsiaTheme="majorEastAsia" w:cstheme="majorBidi"/>
      <w:color w:val="272727" w:themeColor="text1" w:themeTint="D8"/>
      <w:lang w:val="es-ES"/>
    </w:rPr>
  </w:style>
  <w:style w:type="paragraph" w:styleId="Titolo">
    <w:name w:val="Title"/>
    <w:basedOn w:val="Normale"/>
    <w:next w:val="Normale"/>
    <w:link w:val="TitoloCarattere"/>
    <w:uiPriority w:val="10"/>
    <w:qFormat/>
    <w:rsid w:val="00C05C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C05C45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05C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05C45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05C45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05C45"/>
    <w:rPr>
      <w:i/>
      <w:iCs/>
      <w:color w:val="404040" w:themeColor="text1" w:themeTint="BF"/>
      <w:lang w:val="es-ES"/>
    </w:rPr>
  </w:style>
  <w:style w:type="paragraph" w:styleId="Paragrafoelenco">
    <w:name w:val="List Paragraph"/>
    <w:basedOn w:val="Normale"/>
    <w:uiPriority w:val="34"/>
    <w:qFormat/>
    <w:rsid w:val="00C05C45"/>
    <w:pPr>
      <w:ind w:left="720"/>
      <w:contextualSpacing/>
    </w:pPr>
    <w:rPr>
      <w:kern w:val="2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C05C4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05C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05C45"/>
    <w:rPr>
      <w:i/>
      <w:iCs/>
      <w:color w:val="0F4761" w:themeColor="accent1" w:themeShade="BF"/>
      <w:lang w:val="es-ES"/>
    </w:rPr>
  </w:style>
  <w:style w:type="character" w:styleId="Riferimentointenso">
    <w:name w:val="Intense Reference"/>
    <w:basedOn w:val="Carpredefinitoparagrafo"/>
    <w:uiPriority w:val="32"/>
    <w:qFormat/>
    <w:rsid w:val="00C05C45"/>
    <w:rPr>
      <w:b/>
      <w:bCs/>
      <w:smallCaps/>
      <w:color w:val="0F4761" w:themeColor="accent1" w:themeShade="BF"/>
      <w:spacing w:val="5"/>
    </w:rPr>
  </w:style>
  <w:style w:type="character" w:styleId="Enfasicorsivo">
    <w:name w:val="Emphasis"/>
    <w:basedOn w:val="Carpredefinitoparagrafo"/>
    <w:uiPriority w:val="20"/>
    <w:qFormat/>
    <w:rsid w:val="00C05C45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AE764E"/>
    <w:rPr>
      <w:color w:val="467886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AE76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fossati</dc:creator>
  <cp:keywords/>
  <dc:description/>
  <cp:lastModifiedBy>Valentina Rossetti</cp:lastModifiedBy>
  <cp:revision>9</cp:revision>
  <dcterms:created xsi:type="dcterms:W3CDTF">2024-05-13T13:17:00Z</dcterms:created>
  <dcterms:modified xsi:type="dcterms:W3CDTF">2024-09-01T22:32:00Z</dcterms:modified>
</cp:coreProperties>
</file>