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8AEF3" w14:textId="2A033CC3" w:rsidR="00C170ED" w:rsidRPr="00CC0A37" w:rsidRDefault="00C170ED" w:rsidP="00C170ED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b/>
          <w:bCs/>
          <w:lang w:val="it-IT"/>
        </w:rPr>
        <w:t>FILIPPO TAVAZZI (1857-1924)</w:t>
      </w:r>
    </w:p>
    <w:p w14:paraId="7F3C79BD" w14:textId="77777777" w:rsidR="00C170ED" w:rsidRPr="00204D2B" w:rsidRDefault="00C170ED" w:rsidP="00C170ED">
      <w:pPr>
        <w:jc w:val="both"/>
        <w:rPr>
          <w:rFonts w:ascii="Baskerville" w:hAnsi="Baskerville" w:cstheme="minorHAnsi"/>
          <w:b/>
          <w:bCs/>
          <w:lang w:val="it-IT"/>
        </w:rPr>
      </w:pPr>
    </w:p>
    <w:p w14:paraId="4E174337" w14:textId="1E4678C1" w:rsidR="00C170ED" w:rsidRPr="00204D2B" w:rsidRDefault="00C170ED" w:rsidP="00C170ED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Filippo </w:t>
      </w:r>
      <w:proofErr w:type="spellStart"/>
      <w:r w:rsidRPr="00204D2B">
        <w:rPr>
          <w:rFonts w:ascii="Baskerville" w:hAnsi="Baskerville" w:cstheme="minorHAnsi"/>
          <w:lang w:val="it-IT"/>
        </w:rPr>
        <w:t>Tavazzi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(1857-1924) fu un antiquario romano attivo tra Otto e Novecento. </w:t>
      </w:r>
      <w:r w:rsidR="00B2260F">
        <w:rPr>
          <w:rFonts w:ascii="Baskerville" w:hAnsi="Baskerville" w:cstheme="minorHAnsi"/>
          <w:lang w:val="it-IT"/>
        </w:rPr>
        <w:t>Nel</w:t>
      </w:r>
      <w:r w:rsidRPr="00204D2B">
        <w:rPr>
          <w:rFonts w:ascii="Baskerville" w:hAnsi="Baskerville" w:cstheme="minorHAnsi"/>
          <w:lang w:val="it-IT"/>
        </w:rPr>
        <w:t xml:space="preserve"> corso del tempo </w:t>
      </w:r>
      <w:r w:rsidR="00B2260F">
        <w:rPr>
          <w:rFonts w:ascii="Baskerville" w:hAnsi="Baskerville" w:cstheme="minorHAnsi"/>
          <w:lang w:val="it-IT"/>
        </w:rPr>
        <w:t>aprì</w:t>
      </w:r>
      <w:r w:rsidRPr="00204D2B">
        <w:rPr>
          <w:rFonts w:ascii="Baskerville" w:hAnsi="Baskerville" w:cstheme="minorHAnsi"/>
          <w:lang w:val="it-IT"/>
        </w:rPr>
        <w:t xml:space="preserve"> </w:t>
      </w:r>
      <w:r w:rsidR="00B2260F">
        <w:rPr>
          <w:rFonts w:ascii="Baskerville" w:hAnsi="Baskerville" w:cstheme="minorHAnsi"/>
          <w:lang w:val="it-IT"/>
        </w:rPr>
        <w:t xml:space="preserve">nella capitale </w:t>
      </w:r>
      <w:r w:rsidRPr="00204D2B">
        <w:rPr>
          <w:rFonts w:ascii="Baskerville" w:hAnsi="Baskerville" w:cstheme="minorHAnsi"/>
          <w:lang w:val="it-IT"/>
        </w:rPr>
        <w:t xml:space="preserve">diverse sedi </w:t>
      </w:r>
      <w:r w:rsidR="00BD0496">
        <w:rPr>
          <w:rFonts w:ascii="Baskerville" w:hAnsi="Baskerville" w:cstheme="minorHAnsi"/>
          <w:lang w:val="it-IT"/>
        </w:rPr>
        <w:t>(</w:t>
      </w:r>
      <w:r w:rsidRPr="00204D2B">
        <w:rPr>
          <w:rFonts w:ascii="Baskerville" w:hAnsi="Baskerville" w:cstheme="minorHAnsi"/>
          <w:lang w:val="it-IT"/>
        </w:rPr>
        <w:t>Fontanella di Borghese, Piazza di Spagna e via Condotti</w:t>
      </w:r>
      <w:r w:rsidR="00BD0496">
        <w:rPr>
          <w:rFonts w:ascii="Baskerville" w:hAnsi="Baskerville" w:cstheme="minorHAnsi"/>
          <w:lang w:val="it-IT"/>
        </w:rPr>
        <w:t>)</w:t>
      </w:r>
      <w:r w:rsidR="00B2260F">
        <w:rPr>
          <w:rFonts w:ascii="Baskerville" w:hAnsi="Baskerville" w:cstheme="minorHAnsi"/>
          <w:lang w:val="it-IT"/>
        </w:rPr>
        <w:t>, tutte situate in</w:t>
      </w:r>
      <w:r w:rsidRPr="00204D2B">
        <w:rPr>
          <w:rFonts w:ascii="Baskerville" w:hAnsi="Baskerville" w:cstheme="minorHAnsi"/>
          <w:lang w:val="it-IT"/>
        </w:rPr>
        <w:t xml:space="preserve"> eleganti </w:t>
      </w:r>
      <w:r w:rsidR="00B2260F">
        <w:rPr>
          <w:rFonts w:ascii="Baskerville" w:hAnsi="Baskerville" w:cstheme="minorHAnsi"/>
          <w:lang w:val="it-IT"/>
        </w:rPr>
        <w:t>palazzi,</w:t>
      </w:r>
      <w:r w:rsidRPr="00204D2B">
        <w:rPr>
          <w:rFonts w:ascii="Baskerville" w:hAnsi="Baskerville" w:cstheme="minorHAnsi"/>
          <w:lang w:val="it-IT"/>
        </w:rPr>
        <w:t xml:space="preserve"> nei quali esponeva oggetti di antichità e belle arti. </w:t>
      </w:r>
    </w:p>
    <w:p w14:paraId="6D7A830C" w14:textId="20FF9991" w:rsidR="00C170ED" w:rsidRPr="00204D2B" w:rsidRDefault="00C170ED" w:rsidP="00C170ED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Non sono molte le notizie riguardanti </w:t>
      </w:r>
      <w:r w:rsidR="00BD0496">
        <w:rPr>
          <w:rFonts w:ascii="Baskerville" w:hAnsi="Baskerville" w:cstheme="minorHAnsi"/>
          <w:lang w:val="it-IT"/>
        </w:rPr>
        <w:t>la vita</w:t>
      </w:r>
      <w:r w:rsidRPr="00204D2B">
        <w:rPr>
          <w:rFonts w:ascii="Baskerville" w:hAnsi="Baskerville" w:cstheme="minorHAnsi"/>
          <w:lang w:val="it-IT"/>
        </w:rPr>
        <w:t xml:space="preserve"> del mercante. Ricordato da Ludwig </w:t>
      </w:r>
      <w:proofErr w:type="spellStart"/>
      <w:r w:rsidRPr="00204D2B">
        <w:rPr>
          <w:rFonts w:ascii="Baskerville" w:hAnsi="Baskerville" w:cstheme="minorHAnsi"/>
          <w:lang w:val="it-IT"/>
        </w:rPr>
        <w:t>Pollak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nelle sue memorie, ebbe uno stretto rapporto con il conte Gregor </w:t>
      </w:r>
      <w:proofErr w:type="spellStart"/>
      <w:r w:rsidRPr="00204D2B">
        <w:rPr>
          <w:rFonts w:ascii="Baskerville" w:hAnsi="Baskerville" w:cstheme="minorHAnsi"/>
          <w:lang w:val="it-IT"/>
        </w:rPr>
        <w:t>Stroganoff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(1770-1857), del quale fu </w:t>
      </w:r>
      <w:r w:rsidR="00BD0496">
        <w:rPr>
          <w:rFonts w:ascii="Baskerville" w:hAnsi="Baskerville" w:cstheme="minorHAnsi"/>
          <w:lang w:val="it-IT"/>
        </w:rPr>
        <w:t xml:space="preserve">amico e </w:t>
      </w:r>
      <w:r w:rsidRPr="00204D2B">
        <w:rPr>
          <w:rFonts w:ascii="Baskerville" w:hAnsi="Baskerville" w:cstheme="minorHAnsi"/>
          <w:lang w:val="it-IT"/>
        </w:rPr>
        <w:t xml:space="preserve">confidente. </w:t>
      </w:r>
    </w:p>
    <w:p w14:paraId="10025D0C" w14:textId="53DED146" w:rsidR="00C170ED" w:rsidRPr="00204D2B" w:rsidRDefault="00C170ED" w:rsidP="00C170ED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>Oltre a</w:t>
      </w:r>
      <w:r w:rsidR="00BD0496">
        <w:rPr>
          <w:rFonts w:ascii="Baskerville" w:hAnsi="Baskerville" w:cstheme="minorHAnsi"/>
          <w:lang w:val="it-IT"/>
        </w:rPr>
        <w:t xml:space="preserve"> gestire l</w:t>
      </w:r>
      <w:r w:rsidR="00B2260F">
        <w:rPr>
          <w:rFonts w:ascii="Baskerville" w:hAnsi="Baskerville" w:cstheme="minorHAnsi"/>
          <w:lang w:val="it-IT"/>
        </w:rPr>
        <w:t>a</w:t>
      </w:r>
      <w:r w:rsidRPr="00204D2B">
        <w:rPr>
          <w:rFonts w:ascii="Baskerville" w:hAnsi="Baskerville" w:cstheme="minorHAnsi"/>
          <w:lang w:val="it-IT"/>
        </w:rPr>
        <w:t xml:space="preserve"> galleri</w:t>
      </w:r>
      <w:r w:rsidR="00B2260F">
        <w:rPr>
          <w:rFonts w:ascii="Baskerville" w:hAnsi="Baskerville" w:cstheme="minorHAnsi"/>
          <w:lang w:val="it-IT"/>
        </w:rPr>
        <w:t>a</w:t>
      </w:r>
      <w:r w:rsidRPr="00204D2B">
        <w:rPr>
          <w:rFonts w:ascii="Baskerville" w:hAnsi="Baskerville" w:cstheme="minorHAnsi"/>
          <w:lang w:val="it-IT"/>
        </w:rPr>
        <w:t xml:space="preserve"> in proprio, </w:t>
      </w:r>
      <w:proofErr w:type="spellStart"/>
      <w:r w:rsidRPr="00204D2B">
        <w:rPr>
          <w:rFonts w:ascii="Baskerville" w:hAnsi="Baskerville" w:cstheme="minorHAnsi"/>
          <w:lang w:val="it-IT"/>
        </w:rPr>
        <w:t>Tavazzi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si unì in società con la famiglia degli </w:t>
      </w:r>
      <w:proofErr w:type="spellStart"/>
      <w:r w:rsidRPr="00204D2B">
        <w:rPr>
          <w:rFonts w:ascii="Baskerville" w:hAnsi="Baskerville" w:cstheme="minorHAnsi"/>
          <w:lang w:val="it-IT"/>
        </w:rPr>
        <w:t>Jandolo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, creando la “Casa di vendite </w:t>
      </w:r>
      <w:proofErr w:type="spellStart"/>
      <w:r w:rsidRPr="00204D2B">
        <w:rPr>
          <w:rFonts w:ascii="Baskerville" w:hAnsi="Baskerville" w:cstheme="minorHAnsi"/>
          <w:lang w:val="it-IT"/>
        </w:rPr>
        <w:t>Jandolo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&amp; </w:t>
      </w:r>
      <w:proofErr w:type="spellStart"/>
      <w:r w:rsidRPr="00204D2B">
        <w:rPr>
          <w:rFonts w:ascii="Baskerville" w:hAnsi="Baskerville" w:cstheme="minorHAnsi"/>
          <w:lang w:val="it-IT"/>
        </w:rPr>
        <w:t>Tavazzi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”, situata all’epoca in via del </w:t>
      </w:r>
      <w:proofErr w:type="spellStart"/>
      <w:r w:rsidRPr="00204D2B">
        <w:rPr>
          <w:rFonts w:ascii="Baskerville" w:hAnsi="Baskerville" w:cstheme="minorHAnsi"/>
          <w:lang w:val="it-IT"/>
        </w:rPr>
        <w:t>Babuino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96</w:t>
      </w:r>
      <w:r w:rsidR="00BD0496">
        <w:rPr>
          <w:rFonts w:ascii="Baskerville" w:hAnsi="Baskerville" w:cstheme="minorHAnsi"/>
          <w:lang w:val="it-IT"/>
        </w:rPr>
        <w:t>-</w:t>
      </w:r>
      <w:r w:rsidRPr="00204D2B">
        <w:rPr>
          <w:rFonts w:ascii="Baskerville" w:hAnsi="Baskerville" w:cstheme="minorHAnsi"/>
          <w:lang w:val="it-IT"/>
        </w:rPr>
        <w:t xml:space="preserve">97. </w:t>
      </w:r>
      <w:r w:rsidR="000B156C">
        <w:rPr>
          <w:rFonts w:ascii="Baskerville" w:hAnsi="Baskerville" w:cstheme="minorHAnsi"/>
          <w:lang w:val="it-IT"/>
        </w:rPr>
        <w:t>N</w:t>
      </w:r>
      <w:r w:rsidRPr="00204D2B">
        <w:rPr>
          <w:rFonts w:ascii="Baskerville" w:hAnsi="Baskerville" w:cstheme="minorHAnsi"/>
          <w:lang w:val="it-IT"/>
        </w:rPr>
        <w:t xml:space="preserve">ei primi del Novecento </w:t>
      </w:r>
      <w:proofErr w:type="spellStart"/>
      <w:r w:rsidRPr="00204D2B">
        <w:rPr>
          <w:rFonts w:ascii="Baskerville" w:hAnsi="Baskerville" w:cstheme="minorHAnsi"/>
          <w:lang w:val="it-IT"/>
        </w:rPr>
        <w:t>Tavazzi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</w:t>
      </w:r>
      <w:r w:rsidR="00B2260F">
        <w:rPr>
          <w:rFonts w:ascii="Baskerville" w:hAnsi="Baskerville" w:cstheme="minorHAnsi"/>
          <w:lang w:val="it-IT"/>
        </w:rPr>
        <w:t>acquistò un</w:t>
      </w:r>
      <w:r w:rsidRPr="00204D2B">
        <w:rPr>
          <w:rFonts w:ascii="Baskerville" w:hAnsi="Baskerville" w:cstheme="minorHAnsi"/>
          <w:lang w:val="it-IT"/>
        </w:rPr>
        <w:t xml:space="preserve"> villino ai </w:t>
      </w:r>
      <w:proofErr w:type="spellStart"/>
      <w:r w:rsidRPr="00204D2B">
        <w:rPr>
          <w:rFonts w:ascii="Baskerville" w:hAnsi="Baskerville" w:cstheme="minorHAnsi"/>
          <w:lang w:val="it-IT"/>
        </w:rPr>
        <w:t>Parioli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</w:t>
      </w:r>
      <w:r w:rsidR="00B2260F">
        <w:rPr>
          <w:rFonts w:ascii="Baskerville" w:hAnsi="Baskerville" w:cstheme="minorHAnsi"/>
          <w:lang w:val="it-IT"/>
        </w:rPr>
        <w:t>che fece</w:t>
      </w:r>
      <w:r w:rsidRPr="00204D2B">
        <w:rPr>
          <w:rFonts w:ascii="Baskerville" w:hAnsi="Baskerville" w:cstheme="minorHAnsi"/>
          <w:lang w:val="it-IT"/>
        </w:rPr>
        <w:t xml:space="preserve"> </w:t>
      </w:r>
      <w:r w:rsidR="00B2260F">
        <w:rPr>
          <w:rFonts w:ascii="Baskerville" w:hAnsi="Baskerville" w:cstheme="minorHAnsi"/>
          <w:lang w:val="it-IT"/>
        </w:rPr>
        <w:t>decorare</w:t>
      </w:r>
      <w:r w:rsidRPr="00204D2B">
        <w:rPr>
          <w:rFonts w:ascii="Baskerville" w:hAnsi="Baskerville" w:cstheme="minorHAnsi"/>
          <w:lang w:val="it-IT"/>
        </w:rPr>
        <w:t xml:space="preserve"> in stile moresco dal pittore il pittore sivigliano José </w:t>
      </w:r>
      <w:proofErr w:type="spellStart"/>
      <w:r w:rsidRPr="00204D2B">
        <w:rPr>
          <w:rFonts w:ascii="Baskerville" w:hAnsi="Baskerville" w:cstheme="minorHAnsi"/>
          <w:lang w:val="it-IT"/>
        </w:rPr>
        <w:t>Villegas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Cordero (1844-1921)</w:t>
      </w:r>
      <w:r w:rsidR="00B2260F">
        <w:rPr>
          <w:rFonts w:ascii="Baskerville" w:hAnsi="Baskerville" w:cstheme="minorHAnsi"/>
          <w:lang w:val="it-IT"/>
        </w:rPr>
        <w:t xml:space="preserve">. </w:t>
      </w:r>
      <w:r w:rsidR="003A22FF">
        <w:rPr>
          <w:rFonts w:ascii="Baskerville" w:hAnsi="Baskerville" w:cstheme="minorHAnsi"/>
          <w:lang w:val="it-IT"/>
        </w:rPr>
        <w:t xml:space="preserve">Qui espose la collezione Santini, da lui acquistata in toto a Ferrara, che conteneva un numero importante di opere di maestri ferraresi. </w:t>
      </w:r>
      <w:r w:rsidR="00B2260F">
        <w:rPr>
          <w:rFonts w:ascii="Baskerville" w:hAnsi="Baskerville" w:cstheme="minorHAnsi"/>
          <w:lang w:val="it-IT"/>
        </w:rPr>
        <w:t>L’ant</w:t>
      </w:r>
      <w:r w:rsidRPr="00204D2B">
        <w:rPr>
          <w:rFonts w:ascii="Baskerville" w:hAnsi="Baskerville" w:cstheme="minorHAnsi"/>
          <w:lang w:val="it-IT"/>
        </w:rPr>
        <w:t xml:space="preserve">iquario </w:t>
      </w:r>
      <w:r w:rsidR="00B2260F">
        <w:rPr>
          <w:rFonts w:ascii="Baskerville" w:hAnsi="Baskerville" w:cstheme="minorHAnsi"/>
          <w:lang w:val="it-IT"/>
        </w:rPr>
        <w:t xml:space="preserve">vi </w:t>
      </w:r>
      <w:r w:rsidRPr="00204D2B">
        <w:rPr>
          <w:rFonts w:ascii="Baskerville" w:hAnsi="Baskerville" w:cstheme="minorHAnsi"/>
          <w:lang w:val="it-IT"/>
        </w:rPr>
        <w:t xml:space="preserve">risiedette fino alla morte, avvenuta nel 1924. </w:t>
      </w:r>
      <w:r w:rsidR="003A22FF">
        <w:rPr>
          <w:rFonts w:ascii="Baskerville" w:hAnsi="Baskerville" w:cstheme="minorHAnsi"/>
          <w:lang w:val="it-IT"/>
        </w:rPr>
        <w:t>Negli ultimi anni era incorso in un grave dissesto finanziario, causato da alcune sfortunate compravendite nel settore immobiliare.</w:t>
      </w:r>
    </w:p>
    <w:p w14:paraId="45B8483C" w14:textId="2B518171" w:rsidR="00C170ED" w:rsidRPr="00204D2B" w:rsidRDefault="00C170ED" w:rsidP="00C170ED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Il figlio, Guido </w:t>
      </w:r>
      <w:proofErr w:type="spellStart"/>
      <w:r w:rsidRPr="00204D2B">
        <w:rPr>
          <w:rFonts w:ascii="Baskerville" w:hAnsi="Baskerville" w:cstheme="minorHAnsi"/>
          <w:lang w:val="it-IT"/>
        </w:rPr>
        <w:t>Tavazzi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</w:t>
      </w:r>
      <w:proofErr w:type="gramStart"/>
      <w:r w:rsidRPr="00204D2B">
        <w:rPr>
          <w:rFonts w:ascii="Baskerville" w:hAnsi="Baskerville" w:cstheme="minorHAnsi"/>
          <w:lang w:val="it-IT"/>
        </w:rPr>
        <w:t>(?-</w:t>
      </w:r>
      <w:proofErr w:type="gramEnd"/>
      <w:r w:rsidRPr="00204D2B">
        <w:rPr>
          <w:rFonts w:ascii="Baskerville" w:hAnsi="Baskerville" w:cstheme="minorHAnsi"/>
          <w:lang w:val="it-IT"/>
        </w:rPr>
        <w:t>1942), lavor</w:t>
      </w:r>
      <w:r w:rsidR="00B2260F">
        <w:rPr>
          <w:rFonts w:ascii="Baskerville" w:hAnsi="Baskerville" w:cstheme="minorHAnsi"/>
          <w:lang w:val="it-IT"/>
        </w:rPr>
        <w:t>ò</w:t>
      </w:r>
      <w:r w:rsidRPr="00204D2B">
        <w:rPr>
          <w:rFonts w:ascii="Baskerville" w:hAnsi="Baskerville" w:cstheme="minorHAnsi"/>
          <w:lang w:val="it-IT"/>
        </w:rPr>
        <w:t xml:space="preserve"> nella società che il padre aveva </w:t>
      </w:r>
      <w:r w:rsidR="00B2260F">
        <w:rPr>
          <w:rFonts w:ascii="Baskerville" w:hAnsi="Baskerville" w:cstheme="minorHAnsi"/>
          <w:lang w:val="it-IT"/>
        </w:rPr>
        <w:t xml:space="preserve">formato </w:t>
      </w:r>
      <w:r w:rsidRPr="00204D2B">
        <w:rPr>
          <w:rFonts w:ascii="Baskerville" w:hAnsi="Baskerville" w:cstheme="minorHAnsi"/>
          <w:lang w:val="it-IT"/>
        </w:rPr>
        <w:t xml:space="preserve">con gli </w:t>
      </w:r>
      <w:proofErr w:type="spellStart"/>
      <w:r w:rsidRPr="00204D2B">
        <w:rPr>
          <w:rFonts w:ascii="Baskerville" w:hAnsi="Baskerville" w:cstheme="minorHAnsi"/>
          <w:lang w:val="it-IT"/>
        </w:rPr>
        <w:t>Jandolo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, svolgendo </w:t>
      </w:r>
      <w:r w:rsidR="000F4135">
        <w:rPr>
          <w:rFonts w:ascii="Baskerville" w:hAnsi="Baskerville" w:cstheme="minorHAnsi"/>
          <w:lang w:val="it-IT"/>
        </w:rPr>
        <w:t>di organizzatore di</w:t>
      </w:r>
      <w:r w:rsidRPr="00204D2B">
        <w:rPr>
          <w:rFonts w:ascii="Baskerville" w:hAnsi="Baskerville" w:cstheme="minorHAnsi"/>
          <w:lang w:val="it-IT"/>
        </w:rPr>
        <w:t xml:space="preserve"> </w:t>
      </w:r>
      <w:r w:rsidR="00695F05">
        <w:rPr>
          <w:rFonts w:ascii="Baskerville" w:hAnsi="Baskerville" w:cstheme="minorHAnsi"/>
          <w:lang w:val="it-IT"/>
        </w:rPr>
        <w:t>aste</w:t>
      </w:r>
      <w:r w:rsidR="000F4135">
        <w:rPr>
          <w:rFonts w:ascii="Baskerville" w:hAnsi="Baskerville" w:cstheme="minorHAnsi"/>
          <w:lang w:val="it-IT"/>
        </w:rPr>
        <w:t xml:space="preserve"> ed esperto banditore</w:t>
      </w:r>
      <w:r w:rsidRPr="00204D2B">
        <w:rPr>
          <w:rFonts w:ascii="Baskerville" w:hAnsi="Baskerville" w:cstheme="minorHAnsi"/>
          <w:lang w:val="it-IT"/>
        </w:rPr>
        <w:t xml:space="preserve">. </w:t>
      </w:r>
    </w:p>
    <w:p w14:paraId="11CF2476" w14:textId="598A668F" w:rsidR="008D1C02" w:rsidRPr="00C170ED" w:rsidRDefault="008D1C02" w:rsidP="00C170ED">
      <w:pPr>
        <w:rPr>
          <w:lang w:val="it-IT"/>
        </w:rPr>
      </w:pPr>
      <w:bookmarkStart w:id="0" w:name="_GoBack"/>
      <w:bookmarkEnd w:id="0"/>
    </w:p>
    <w:sectPr w:rsidR="008D1C02" w:rsidRPr="00C170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ED"/>
    <w:rsid w:val="00034B65"/>
    <w:rsid w:val="000B156C"/>
    <w:rsid w:val="000D5888"/>
    <w:rsid w:val="000F4135"/>
    <w:rsid w:val="002B7CD2"/>
    <w:rsid w:val="00317867"/>
    <w:rsid w:val="003A22FF"/>
    <w:rsid w:val="00400D97"/>
    <w:rsid w:val="004D3E31"/>
    <w:rsid w:val="00515B50"/>
    <w:rsid w:val="00626BAE"/>
    <w:rsid w:val="00695F05"/>
    <w:rsid w:val="007A1819"/>
    <w:rsid w:val="00821885"/>
    <w:rsid w:val="00826616"/>
    <w:rsid w:val="008D1C02"/>
    <w:rsid w:val="008E2537"/>
    <w:rsid w:val="00B2260F"/>
    <w:rsid w:val="00B3347A"/>
    <w:rsid w:val="00BD0496"/>
    <w:rsid w:val="00C170ED"/>
    <w:rsid w:val="00C91537"/>
    <w:rsid w:val="00CC0A37"/>
    <w:rsid w:val="00CE3CC6"/>
    <w:rsid w:val="00D96556"/>
    <w:rsid w:val="00E0110F"/>
    <w:rsid w:val="00EC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2353B"/>
  <w15:chartTrackingRefBased/>
  <w15:docId w15:val="{CFC8D17D-9CE3-B441-9B94-929E67BB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170ED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17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7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7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7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7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70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70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70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70ED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170E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70E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70ED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70ED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70ED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70ED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70ED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70ED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70ED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7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C170E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70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70ED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70ED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70ED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C170ED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C170E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7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70ED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C170ED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C170ED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034B65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34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10</cp:revision>
  <dcterms:created xsi:type="dcterms:W3CDTF">2024-05-13T13:05:00Z</dcterms:created>
  <dcterms:modified xsi:type="dcterms:W3CDTF">2024-09-01T22:35:00Z</dcterms:modified>
</cp:coreProperties>
</file>