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1767F" w14:textId="77777777" w:rsidR="00D303EA" w:rsidRPr="00204D2B" w:rsidRDefault="00D303EA" w:rsidP="00D303EA">
      <w:pPr>
        <w:jc w:val="both"/>
        <w:rPr>
          <w:rFonts w:ascii="Baskerville" w:hAnsi="Baskerville"/>
          <w:b/>
          <w:bCs/>
          <w:lang w:val="it-IT"/>
        </w:rPr>
      </w:pPr>
      <w:r w:rsidRPr="00204D2B">
        <w:rPr>
          <w:rFonts w:ascii="Baskerville" w:hAnsi="Baskerville"/>
          <w:b/>
          <w:bCs/>
          <w:lang w:val="it-IT"/>
        </w:rPr>
        <w:t>ATTILIO SIMONETTI (1843-1925)</w:t>
      </w:r>
    </w:p>
    <w:p w14:paraId="28B11633" w14:textId="11847313" w:rsidR="00D303EA" w:rsidRPr="00204D2B" w:rsidRDefault="00D303EA" w:rsidP="00D303EA">
      <w:pPr>
        <w:jc w:val="both"/>
        <w:rPr>
          <w:rFonts w:ascii="Baskerville" w:hAnsi="Baskerville"/>
          <w:lang w:val="it-IT"/>
        </w:rPr>
      </w:pPr>
    </w:p>
    <w:p w14:paraId="2CAD642B" w14:textId="31310EAF" w:rsidR="00D303EA" w:rsidRPr="00204D2B" w:rsidRDefault="00D303EA" w:rsidP="5ADF1EAF">
      <w:pPr>
        <w:pStyle w:val="NormaleWeb"/>
        <w:spacing w:after="0" w:afterAutospacing="0"/>
        <w:jc w:val="both"/>
        <w:rPr>
          <w:rFonts w:ascii="Baskerville" w:hAnsi="Baskerville" w:cstheme="majorBidi"/>
        </w:rPr>
      </w:pPr>
      <w:r w:rsidRPr="5ADF1EAF">
        <w:rPr>
          <w:rFonts w:ascii="Baskerville" w:hAnsi="Baskerville"/>
          <w:color w:val="262326"/>
        </w:rPr>
        <w:t xml:space="preserve">Attilio Simonetti (1843-1925), nacque a Roma da una famiglia di artisti. Il padre, Francesco Simonetti (1797-1861), fu orafo, cesellatore e argentiere, mentre la madre Carolina Raffaelli era la nipote di uno dei più importanti </w:t>
      </w:r>
      <w:proofErr w:type="spellStart"/>
      <w:r w:rsidRPr="5ADF1EAF">
        <w:rPr>
          <w:rFonts w:ascii="Baskerville" w:hAnsi="Baskerville"/>
          <w:color w:val="262326"/>
        </w:rPr>
        <w:t>micromosaicisti</w:t>
      </w:r>
      <w:proofErr w:type="spellEnd"/>
      <w:r w:rsidRPr="5ADF1EAF">
        <w:rPr>
          <w:rFonts w:ascii="Baskerville" w:hAnsi="Baskerville"/>
          <w:color w:val="262326"/>
        </w:rPr>
        <w:t xml:space="preserve"> dell’epoca, Giacomo Raffaelli (1753-1836). Dopo aver frequentato l’Accademia di San Luca, Simonetti incontrò il pittore spagnolo Mariano </w:t>
      </w:r>
      <w:proofErr w:type="spellStart"/>
      <w:r w:rsidRPr="5ADF1EAF">
        <w:rPr>
          <w:rFonts w:ascii="Baskerville" w:hAnsi="Baskerville"/>
          <w:color w:val="262326"/>
        </w:rPr>
        <w:t>Fortuny</w:t>
      </w:r>
      <w:proofErr w:type="spellEnd"/>
      <w:r w:rsidRPr="5ADF1EAF">
        <w:rPr>
          <w:rFonts w:ascii="Baskerville" w:hAnsi="Baskerville"/>
          <w:color w:val="262326"/>
        </w:rPr>
        <w:t xml:space="preserve"> y </w:t>
      </w:r>
      <w:proofErr w:type="spellStart"/>
      <w:r w:rsidRPr="5ADF1EAF">
        <w:rPr>
          <w:rFonts w:ascii="Baskerville" w:hAnsi="Baskerville"/>
          <w:color w:val="262326"/>
        </w:rPr>
        <w:t>Marsal</w:t>
      </w:r>
      <w:proofErr w:type="spellEnd"/>
      <w:r w:rsidRPr="5ADF1EAF">
        <w:rPr>
          <w:rFonts w:ascii="Baskerville" w:hAnsi="Baskerville"/>
          <w:color w:val="262326"/>
        </w:rPr>
        <w:t xml:space="preserve"> (1838-1874), del quale divenne allievo e con il quale condivise uno studio in via Flaminia fino alla morte del maestro. </w:t>
      </w:r>
      <w:r w:rsidRPr="5ADF1EAF">
        <w:rPr>
          <w:rFonts w:ascii="Baskerville" w:hAnsi="Baskerville" w:cstheme="majorBidi"/>
        </w:rPr>
        <w:t xml:space="preserve">In seguito, si associò all’amico pittore </w:t>
      </w:r>
      <w:proofErr w:type="spellStart"/>
      <w:r w:rsidRPr="5ADF1EAF">
        <w:rPr>
          <w:rFonts w:ascii="Baskerville" w:hAnsi="Baskerville" w:cstheme="majorBidi"/>
        </w:rPr>
        <w:t>Lucius</w:t>
      </w:r>
      <w:proofErr w:type="spellEnd"/>
      <w:r w:rsidRPr="5ADF1EAF">
        <w:rPr>
          <w:rFonts w:ascii="Baskerville" w:hAnsi="Baskerville" w:cstheme="majorBidi"/>
        </w:rPr>
        <w:t xml:space="preserve"> Rossi (1846-1913) nel suo atelier di via </w:t>
      </w:r>
      <w:proofErr w:type="spellStart"/>
      <w:r w:rsidRPr="5ADF1EAF">
        <w:rPr>
          <w:rFonts w:ascii="Baskerville" w:hAnsi="Baskerville" w:cstheme="majorBidi"/>
        </w:rPr>
        <w:t>Ripetta</w:t>
      </w:r>
      <w:proofErr w:type="spellEnd"/>
      <w:r w:rsidRPr="5ADF1EAF">
        <w:rPr>
          <w:rFonts w:ascii="Baskerville" w:hAnsi="Baskerville" w:cstheme="majorBidi"/>
        </w:rPr>
        <w:t xml:space="preserve"> fino a quanto intorno al</w:t>
      </w:r>
      <w:r w:rsidR="4E0A6640" w:rsidRPr="5ADF1EAF">
        <w:rPr>
          <w:rFonts w:ascii="Baskerville" w:hAnsi="Baskerville" w:cstheme="majorBidi"/>
        </w:rPr>
        <w:t>l</w:t>
      </w:r>
      <w:r w:rsidRPr="5ADF1EAF">
        <w:rPr>
          <w:rFonts w:ascii="Baskerville" w:hAnsi="Baskerville" w:cstheme="majorBidi"/>
        </w:rPr>
        <w:t>a 1875 Rossi si trasferì a Parigi.</w:t>
      </w:r>
    </w:p>
    <w:p w14:paraId="12E87D98" w14:textId="488A47E6" w:rsidR="00D303EA" w:rsidRPr="00204D2B" w:rsidRDefault="00D303EA" w:rsidP="00D303EA">
      <w:pPr>
        <w:pStyle w:val="NormaleWeb"/>
        <w:spacing w:before="0" w:beforeAutospacing="0" w:after="0" w:afterAutospacing="0"/>
        <w:jc w:val="both"/>
        <w:rPr>
          <w:rFonts w:ascii="Baskerville" w:hAnsi="Baskerville" w:cstheme="majorHAnsi"/>
        </w:rPr>
      </w:pPr>
      <w:r w:rsidRPr="00204D2B">
        <w:rPr>
          <w:rFonts w:ascii="Baskerville" w:hAnsi="Baskerville" w:cstheme="majorHAnsi"/>
        </w:rPr>
        <w:t xml:space="preserve">Dopo queste prime esperienze artistiche aprì un suo </w:t>
      </w:r>
      <w:r w:rsidRPr="00204D2B">
        <w:rPr>
          <w:rFonts w:ascii="Baskerville" w:hAnsi="Baskerville" w:cstheme="majorHAnsi"/>
          <w:i/>
          <w:iCs/>
        </w:rPr>
        <w:t xml:space="preserve">atelier </w:t>
      </w:r>
      <w:r w:rsidRPr="00204D2B">
        <w:rPr>
          <w:rFonts w:ascii="Baskerville" w:hAnsi="Baskerville" w:cstheme="majorHAnsi"/>
        </w:rPr>
        <w:t xml:space="preserve">presso palazzo </w:t>
      </w:r>
      <w:proofErr w:type="spellStart"/>
      <w:r w:rsidRPr="00204D2B">
        <w:rPr>
          <w:rFonts w:ascii="Baskerville" w:hAnsi="Baskerville" w:cstheme="majorHAnsi"/>
        </w:rPr>
        <w:t>Altemps</w:t>
      </w:r>
      <w:proofErr w:type="spellEnd"/>
      <w:r w:rsidRPr="00204D2B">
        <w:rPr>
          <w:rFonts w:ascii="Baskerville" w:hAnsi="Baskerville" w:cstheme="majorHAnsi"/>
        </w:rPr>
        <w:t xml:space="preserve">, dove esponeva anche la propria collezione di antichità, raccolta motivata dalla passione per l’oggetto antico condivisa </w:t>
      </w:r>
      <w:r w:rsidR="00F35223">
        <w:rPr>
          <w:rFonts w:ascii="Baskerville" w:hAnsi="Baskerville" w:cstheme="majorHAnsi"/>
        </w:rPr>
        <w:t>con</w:t>
      </w:r>
      <w:r w:rsidRPr="00204D2B">
        <w:rPr>
          <w:rFonts w:ascii="Baskerville" w:hAnsi="Baskerville" w:cstheme="majorHAnsi"/>
        </w:rPr>
        <w:t xml:space="preserve"> Mariano </w:t>
      </w:r>
      <w:proofErr w:type="spellStart"/>
      <w:r w:rsidRPr="00204D2B">
        <w:rPr>
          <w:rFonts w:ascii="Baskerville" w:hAnsi="Baskerville" w:cstheme="majorHAnsi"/>
        </w:rPr>
        <w:t>Fortuny</w:t>
      </w:r>
      <w:proofErr w:type="spellEnd"/>
      <w:r w:rsidRPr="00204D2B">
        <w:rPr>
          <w:rFonts w:ascii="Baskerville" w:hAnsi="Baskerville" w:cstheme="majorHAnsi"/>
        </w:rPr>
        <w:t xml:space="preserve">. Nel corso degli anni Ottanta del XIX secolo l’attività artistica di Simonetti si ridusse a favore di quella commerciale. Aperta la “Galleria Simonetti” a Palazzo </w:t>
      </w:r>
      <w:proofErr w:type="spellStart"/>
      <w:r w:rsidRPr="00204D2B">
        <w:rPr>
          <w:rFonts w:ascii="Baskerville" w:hAnsi="Baskerville" w:cstheme="majorHAnsi"/>
        </w:rPr>
        <w:t>Altemps</w:t>
      </w:r>
      <w:proofErr w:type="spellEnd"/>
      <w:r w:rsidRPr="00204D2B">
        <w:rPr>
          <w:rFonts w:ascii="Baskerville" w:hAnsi="Baskerville" w:cstheme="majorHAnsi"/>
        </w:rPr>
        <w:t xml:space="preserve">, nel 1883 organizzò la prima vendita all’asta della sua collezione, organizzando una vendita pubblica che comprendeva più di 1000 lotti a Palazzo </w:t>
      </w:r>
      <w:proofErr w:type="spellStart"/>
      <w:r w:rsidRPr="00204D2B">
        <w:rPr>
          <w:rFonts w:ascii="Baskerville" w:hAnsi="Baskerville" w:cstheme="majorHAnsi"/>
        </w:rPr>
        <w:t>Theodoli</w:t>
      </w:r>
      <w:proofErr w:type="spellEnd"/>
      <w:r w:rsidRPr="00204D2B">
        <w:rPr>
          <w:rFonts w:ascii="Baskerville" w:hAnsi="Baskerville" w:cstheme="majorHAnsi"/>
        </w:rPr>
        <w:t xml:space="preserve">, curata da Vincenzo </w:t>
      </w:r>
      <w:proofErr w:type="spellStart"/>
      <w:r w:rsidRPr="00204D2B">
        <w:rPr>
          <w:rFonts w:ascii="Baskerville" w:hAnsi="Baskerville" w:cstheme="majorHAnsi"/>
        </w:rPr>
        <w:t>Capobianchi</w:t>
      </w:r>
      <w:proofErr w:type="spellEnd"/>
      <w:r w:rsidRPr="00204D2B">
        <w:rPr>
          <w:rFonts w:ascii="Baskerville" w:hAnsi="Baskerville" w:cstheme="majorHAnsi"/>
        </w:rPr>
        <w:t xml:space="preserve"> (1836-1928), pittore e antiquario romano. </w:t>
      </w:r>
    </w:p>
    <w:p w14:paraId="7C26FDFE" w14:textId="77777777" w:rsidR="00D303EA" w:rsidRPr="00204D2B" w:rsidRDefault="00D303EA" w:rsidP="00D303EA">
      <w:pPr>
        <w:pStyle w:val="NormaleWeb"/>
        <w:spacing w:before="0" w:beforeAutospacing="0" w:after="0" w:afterAutospacing="0"/>
        <w:jc w:val="both"/>
        <w:rPr>
          <w:rFonts w:ascii="Baskerville" w:hAnsi="Baskerville" w:cstheme="majorHAnsi"/>
        </w:rPr>
      </w:pPr>
      <w:r w:rsidRPr="00204D2B">
        <w:rPr>
          <w:rFonts w:ascii="Baskerville" w:hAnsi="Baskerville" w:cstheme="majorHAnsi"/>
        </w:rPr>
        <w:t xml:space="preserve">Nonostante l’attività commerciale di Simonetti inizi nel corso degli anni Ottanta, è a partire dal 1892 che la “Galleria Simonetti” compare nella </w:t>
      </w:r>
      <w:r w:rsidRPr="00204D2B">
        <w:rPr>
          <w:rFonts w:ascii="Baskerville" w:hAnsi="Baskerville"/>
          <w:i/>
          <w:iCs/>
          <w:color w:val="262326"/>
        </w:rPr>
        <w:t xml:space="preserve">Guida scientifica, artistica e commerciale della città di Roma </w:t>
      </w:r>
      <w:r w:rsidRPr="00204D2B">
        <w:rPr>
          <w:rFonts w:ascii="Baskerville" w:hAnsi="Baskerville"/>
          <w:color w:val="262326"/>
        </w:rPr>
        <w:t xml:space="preserve">di Tito Monaci. Ottenuto il successo commerciale, nei primi anni del Novecento spostò la propria galleria </w:t>
      </w:r>
      <w:r w:rsidRPr="00204D2B">
        <w:rPr>
          <w:rFonts w:ascii="Baskerville" w:hAnsi="Baskerville" w:cstheme="majorHAnsi"/>
        </w:rPr>
        <w:t xml:space="preserve">a Palazzo Baldassarre </w:t>
      </w:r>
      <w:proofErr w:type="spellStart"/>
      <w:r w:rsidRPr="00204D2B">
        <w:rPr>
          <w:rFonts w:ascii="Baskerville" w:hAnsi="Baskerville" w:cstheme="majorHAnsi"/>
        </w:rPr>
        <w:t>Odescalchi</w:t>
      </w:r>
      <w:proofErr w:type="spellEnd"/>
      <w:r w:rsidRPr="00204D2B">
        <w:rPr>
          <w:rFonts w:ascii="Baskerville" w:hAnsi="Baskerville" w:cstheme="majorHAnsi"/>
        </w:rPr>
        <w:t>, situato in via Vittoria Colonna 11, che l’antiquario acquistò interamente nel 1904.</w:t>
      </w:r>
    </w:p>
    <w:p w14:paraId="7EEAE7F0" w14:textId="77777777" w:rsidR="00D303EA" w:rsidRPr="00204D2B" w:rsidRDefault="00D303EA" w:rsidP="00D303EA">
      <w:pPr>
        <w:pStyle w:val="NormaleWeb"/>
        <w:spacing w:before="0" w:beforeAutospacing="0" w:after="0" w:afterAutospacing="0"/>
        <w:jc w:val="both"/>
        <w:rPr>
          <w:rFonts w:ascii="Baskerville" w:hAnsi="Baskerville" w:cstheme="majorHAnsi"/>
        </w:rPr>
      </w:pPr>
      <w:r w:rsidRPr="00204D2B">
        <w:rPr>
          <w:rFonts w:ascii="Baskerville" w:hAnsi="Baskerville" w:cstheme="majorHAnsi"/>
        </w:rPr>
        <w:t xml:space="preserve">Simonetti divenne tra i più attivi mercanti italiani dell’epoca, con una cospicua clientela straniera, grazie anche alla fama che aveva raggiunto come pittore a Parigi. Simonetti intessette relazioni commerciali con i più importanti colleghi dell’epoca, tra cui Stefano </w:t>
      </w:r>
      <w:proofErr w:type="spellStart"/>
      <w:r w:rsidRPr="00204D2B">
        <w:rPr>
          <w:rFonts w:ascii="Baskerville" w:hAnsi="Baskerville" w:cstheme="majorHAnsi"/>
        </w:rPr>
        <w:t>Bardini</w:t>
      </w:r>
      <w:proofErr w:type="spellEnd"/>
      <w:r w:rsidRPr="00204D2B">
        <w:rPr>
          <w:rFonts w:ascii="Baskerville" w:hAnsi="Baskerville" w:cstheme="majorHAnsi"/>
        </w:rPr>
        <w:t xml:space="preserve"> (1836-1922), e con direttori di musei, come Wilhelm von Bode, con il quale strinse un rapporto privilegiato a partire del 1890. </w:t>
      </w:r>
    </w:p>
    <w:p w14:paraId="7AC69863" w14:textId="16A4F3F2" w:rsidR="008D1C02" w:rsidRPr="00DA2F6B" w:rsidRDefault="00D303EA" w:rsidP="00DA2F6B">
      <w:pPr>
        <w:pStyle w:val="NormaleWeb"/>
        <w:spacing w:before="0" w:beforeAutospacing="0"/>
        <w:jc w:val="both"/>
        <w:rPr>
          <w:rFonts w:ascii="Baskerville" w:hAnsi="Baskerville" w:cstheme="majorHAnsi"/>
        </w:rPr>
      </w:pPr>
      <w:r w:rsidRPr="00204D2B">
        <w:rPr>
          <w:rFonts w:ascii="Baskerville" w:hAnsi="Baskerville" w:cstheme="majorHAnsi"/>
        </w:rPr>
        <w:t xml:space="preserve">Alla morte di Attilio, avvenuta nel 1925, la galleria fu gestita dai figli Aldo, Ugo e Emma, fino al 1932, anno della vendita all’asta dell’intera collezione del padre e chiusura la galleria, che allora era nota come </w:t>
      </w:r>
      <w:r w:rsidRPr="00204D2B">
        <w:rPr>
          <w:rFonts w:ascii="Baskerville" w:hAnsi="Baskerville"/>
        </w:rPr>
        <w:t>“Simonetti Aldo Giulio &amp; C.”</w:t>
      </w:r>
      <w:r w:rsidRPr="00204D2B">
        <w:rPr>
          <w:rFonts w:ascii="Baskerville" w:hAnsi="Baskerville" w:cstheme="majorHAnsi"/>
        </w:rPr>
        <w:t xml:space="preserve">. </w:t>
      </w:r>
      <w:bookmarkStart w:id="0" w:name="_GoBack"/>
      <w:bookmarkEnd w:id="0"/>
    </w:p>
    <w:sectPr w:rsidR="008D1C02" w:rsidRPr="00DA2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EA"/>
    <w:rsid w:val="000D5888"/>
    <w:rsid w:val="00317867"/>
    <w:rsid w:val="00400D97"/>
    <w:rsid w:val="004D3E31"/>
    <w:rsid w:val="00515B50"/>
    <w:rsid w:val="00626BAE"/>
    <w:rsid w:val="007A1819"/>
    <w:rsid w:val="00826616"/>
    <w:rsid w:val="008D1C02"/>
    <w:rsid w:val="008E2537"/>
    <w:rsid w:val="00B3347A"/>
    <w:rsid w:val="00B72092"/>
    <w:rsid w:val="00C91537"/>
    <w:rsid w:val="00CE3CC6"/>
    <w:rsid w:val="00CF7F9C"/>
    <w:rsid w:val="00D303EA"/>
    <w:rsid w:val="00D96556"/>
    <w:rsid w:val="00DA2F6B"/>
    <w:rsid w:val="00E0110F"/>
    <w:rsid w:val="00F35223"/>
    <w:rsid w:val="00F84FBA"/>
    <w:rsid w:val="4E0A6640"/>
    <w:rsid w:val="5AD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0A61"/>
  <w15:chartTrackingRefBased/>
  <w15:docId w15:val="{3F408F15-4B04-7942-8D6E-2BF3A597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303EA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03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03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03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03EA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303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03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03E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03E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03EA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03E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03EA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03E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03EA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03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303E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03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03E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03EA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03EA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D303EA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303E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03EA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D303E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D303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D303EA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84FBA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8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6</cp:revision>
  <dcterms:created xsi:type="dcterms:W3CDTF">2024-05-13T13:04:00Z</dcterms:created>
  <dcterms:modified xsi:type="dcterms:W3CDTF">2024-09-01T22:34:00Z</dcterms:modified>
</cp:coreProperties>
</file>