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line="276" w:lineRule="auto"/>
        <w:jc w:val="center"/>
      </w:pPr>
      <w:r>
        <w:rPr>
          <w:rFonts w:ascii="Calibri" w:hAnsi="Calibri"/>
          <w:b/>
          <w:sz w:val="32"/>
        </w:rPr>
        <w:t>Actividad Individual</w:t>
      </w:r>
    </w:p>
    <w:p>
      <w:pPr>
        <w:spacing w:after="480" w:line="276" w:lineRule="auto"/>
        <w:jc w:val="center"/>
      </w:pPr>
      <w:r>
        <w:rPr>
          <w:rFonts w:ascii="Calibri" w:hAnsi="Calibri"/>
          <w:b w:val="0"/>
          <w:sz w:val="28"/>
        </w:rPr>
        <w:t>Análisis PESTEL de una empresa real</w:t>
      </w:r>
    </w:p>
    <w:p>
      <w:pPr>
        <w:spacing w:after="120" w:line="276" w:lineRule="auto"/>
        <w:jc w:val="center"/>
      </w:pPr>
      <w:r>
        <w:rPr>
          <w:rFonts w:ascii="Calibri" w:hAnsi="Calibri"/>
          <w:b/>
          <w:sz w:val="40"/>
        </w:rPr>
        <w:t>VCV Cortes Finos SA de CV</w:t>
      </w:r>
    </w:p>
    <w:p>
      <w:pPr>
        <w:spacing w:after="720" w:line="276" w:lineRule="auto"/>
        <w:jc w:val="center"/>
      </w:pPr>
      <w:r>
        <w:rPr>
          <w:rFonts w:ascii="Calibri" w:hAnsi="Calibri"/>
          <w:b w:val="0"/>
          <w:sz w:val="22"/>
        </w:rPr>
        <w:t>Cortes finos de res · Hermosillo, Sonora · Horizonte 2027-2028</w:t>
      </w:r>
    </w:p>
    <w:p>
      <w:pPr>
        <w:spacing w:after="120" w:line="276" w:lineRule="auto"/>
        <w:jc w:val="center"/>
      </w:pPr>
      <w:r>
        <w:rPr>
          <w:rFonts w:ascii="Calibri" w:hAnsi="Calibri"/>
          <w:b w:val="0"/>
          <w:sz w:val="24"/>
        </w:rPr>
        <w:t>Materia: Gestión Empresarial</w:t>
      </w:r>
    </w:p>
    <w:p>
      <w:pPr>
        <w:spacing w:after="120" w:line="276" w:lineRule="auto"/>
        <w:jc w:val="center"/>
      </w:pPr>
      <w:r>
        <w:rPr>
          <w:rFonts w:ascii="Calibri" w:hAnsi="Calibri"/>
          <w:b w:val="0"/>
          <w:sz w:val="24"/>
        </w:rPr>
        <w:t>Autor: Roberto Eduardo Celis Robles</w:t>
      </w:r>
    </w:p>
    <w:p>
      <w:pPr>
        <w:spacing w:after="120" w:line="276" w:lineRule="auto"/>
        <w:jc w:val="center"/>
      </w:pPr>
      <w:r>
        <w:rPr>
          <w:rFonts w:ascii="Calibri" w:hAnsi="Calibri"/>
          <w:b w:val="0"/>
          <w:sz w:val="24"/>
        </w:rPr>
        <w:t>Fecha de entrega: 13 de octubre de 2026</w:t>
      </w:r>
    </w:p>
    <w:p>
      <w:r>
        <w:br w:type="page"/>
      </w:r>
    </w:p>
    <w:p>
      <w:pPr>
        <w:keepNext/>
        <w:spacing w:before="200" w:after="80"/>
      </w:pPr>
      <w:r>
        <w:rPr>
          <w:rFonts w:ascii="Calibri" w:hAnsi="Calibri"/>
          <w:b/>
          <w:sz w:val="24"/>
        </w:rPr>
        <w:t>1. Delimitación de la empresa</w:t>
      </w:r>
    </w:p>
    <w:p>
      <w:pPr>
        <w:spacing w:after="120" w:line="276" w:lineRule="auto"/>
        <w:jc w:val="both"/>
      </w:pPr>
      <w:r>
        <w:rPr>
          <w:rFonts w:ascii="Calibri" w:hAnsi="Calibri"/>
          <w:b w:val="0"/>
          <w:sz w:val="22"/>
        </w:rPr>
        <w:t>VCV Cortes Finos SA de CV es una microempresa de la industria cárnica que transforma cortes finos de res —Rib-Eye Prime de 400 g como producto ancla, más Tomahawk, Cowboy, T-Bone, New York y cortes económicos— mediante asado, pasteurización y empaque al alto vacío, en una sola máquina ASADHOR con capacidad instalada de 5,184 kg/mes. Atiende un mercado B2B premium: distribuidores y carnicerías gourmet aportan 64.6 % de su plan de ventas (3,348 kg/mes) y restaurantes 35.4 % (1,836 kg/mes), con venta adicional al público consumidor. Se ubica en la zona industrial de Hermosillo, Sonora, ciudad que concentra 962,020 habitantes según la Encuesta Intercensal 2025 del INEGI. El análisis cubre el horizonte 2027-2028, período en el que la empresa debe consolidar su planta y su cartera de clientes, con un precio de mayoreo de $963/kg sobre un costo total de $663/kg, donde la pieza básica representa alrededor de 75 %.</w:t>
      </w:r>
    </w:p>
    <w:p>
      <w:pPr>
        <w:keepNext/>
        <w:spacing w:before="200" w:after="80"/>
      </w:pPr>
      <w:r>
        <w:rPr>
          <w:rFonts w:ascii="Calibri" w:hAnsi="Calibri"/>
          <w:b/>
          <w:sz w:val="24"/>
        </w:rPr>
        <w:t>1.1 Alcance y método</w:t>
      </w:r>
    </w:p>
    <w:p>
      <w:pPr>
        <w:spacing w:after="120" w:line="276" w:lineRule="auto"/>
        <w:jc w:val="both"/>
      </w:pPr>
      <w:r>
        <w:rPr>
          <w:rFonts w:ascii="Calibri" w:hAnsi="Calibri"/>
          <w:b w:val="0"/>
          <w:sz w:val="22"/>
        </w:rPr>
        <w:t>El análisis cubre únicamente el entorno externo de la empresa en el horizonte 2027-2028 y no evalúa recursos, capacidades ni decisiones internas, salvo cuando sirven para dimensionar la repercusión de un factor. Se seleccionaron doce factores, dos por dimensión, priorizando aquellos con fuente pública verificable publicada entre octubre de 2024 y octubre de 2026: boletines oficiales (Diario Oficial de la Federación, INEGI, Banco de México, SENASICA, Secretaría de Economía), informes sectoriales (Consejo Mexicano de la Carne, AMVO) y prensa económica especializada. Cada candidato que no pudo sostenerse con una fecha y un medio verificables fue descartado antes de la calificación, y ningún enunciado se copió del ejemplo de la unidad. La calificación es propia: los valores de importancia, incidencia y probabilidad reflejan la escala de una microempresa con un solo equipo de cocción y dos proveedores de canales, no la de una procesadora industrial.</w:t>
      </w:r>
    </w:p>
    <w:p>
      <w:pPr>
        <w:keepNext/>
        <w:spacing w:before="200" w:after="80"/>
      </w:pPr>
      <w:r>
        <w:rPr>
          <w:rFonts w:ascii="Calibri" w:hAnsi="Calibri"/>
          <w:b/>
          <w:sz w:val="24"/>
        </w:rPr>
        <w:t>2. Matriz PESTEL</w:t>
      </w:r>
    </w:p>
    <w:p>
      <w:pPr>
        <w:spacing w:after="120" w:line="276" w:lineRule="auto"/>
        <w:jc w:val="both"/>
      </w:pPr>
      <w:r>
        <w:rPr>
          <w:rFonts w:ascii="Calibri" w:hAnsi="Calibri"/>
          <w:b w:val="0"/>
          <w:sz w:val="20"/>
        </w:rPr>
        <w:t>Se identificaron doce factores, dos por cada dimensión. El impacto se calculó con la fórmula de la unidad: Impacto = [(IP + Ir) / 2] × p(x), donde IP es la importancia y Ir la incidencia o repercusión (escala de 1 a 3) y p(x) la probabilidad (de 0 a 1). Ejemplo de cálculo, correspondiente al factor 11: [(3 + 3) / 2] × 0.92 = 2.76. Clasificación: alto ≥ 2.50, medio 1.50-2.49, bajo &lt; 1.50. O = oportunidad, A = amenaza.</w:t>
      </w:r>
    </w:p>
    <w:tbl>
      <w:tblPr>
        <w:tblStyle w:val="TableGrid"/>
        <w:tblW w:type="dxa" w:w="10051"/>
        <w:jc w:val="center"/>
        <w:tblLayout w:type="fixed"/>
        <w:tblLook w:firstColumn="1" w:firstRow="1" w:lastColumn="0" w:lastRow="0" w:noHBand="0" w:noVBand="1" w:val="04A0"/>
      </w:tblPr>
      <w:tblGrid>
        <w:gridCol w:w="648"/>
        <w:gridCol w:w="5515"/>
        <w:gridCol w:w="503"/>
        <w:gridCol w:w="432"/>
        <w:gridCol w:w="503"/>
        <w:gridCol w:w="720"/>
        <w:gridCol w:w="1080"/>
        <w:gridCol w:w="648"/>
      </w:tblGrid>
      <w:tr>
        <w:trPr>
          <w:tblHeader w:val="true"/>
        </w:trPr>
        <w:tc>
          <w:tcPr>
            <w:tcW w:type="dxa" w:w="648"/>
            <w:shd w:val="clear" w:fill="D9E2F3"/>
          </w:tcPr>
          <w:p>
            <w:pPr>
              <w:spacing w:after="0" w:before="0" w:line="240" w:lineRule="auto"/>
              <w:jc w:val="center"/>
            </w:pPr>
            <w:r/>
            <w:r>
              <w:rPr>
                <w:rFonts w:ascii="Calibri" w:hAnsi="Calibri"/>
                <w:b/>
                <w:sz w:val="18"/>
              </w:rPr>
              <w:t>Dim.</w:t>
            </w:r>
          </w:p>
        </w:tc>
        <w:tc>
          <w:tcPr>
            <w:tcW w:type="dxa" w:w="5515"/>
            <w:shd w:val="clear" w:fill="D9E2F3"/>
          </w:tcPr>
          <w:p>
            <w:pPr>
              <w:spacing w:after="0" w:before="0" w:line="240" w:lineRule="auto"/>
              <w:jc w:val="left"/>
            </w:pPr>
            <w:r/>
            <w:r>
              <w:rPr>
                <w:rFonts w:ascii="Calibri" w:hAnsi="Calibri"/>
                <w:b/>
                <w:sz w:val="18"/>
              </w:rPr>
              <w:t>Factor y fuente</w:t>
            </w:r>
          </w:p>
        </w:tc>
        <w:tc>
          <w:tcPr>
            <w:tcW w:type="dxa" w:w="504"/>
            <w:shd w:val="clear" w:fill="D9E2F3"/>
          </w:tcPr>
          <w:p>
            <w:pPr>
              <w:spacing w:after="0" w:before="0" w:line="240" w:lineRule="auto"/>
              <w:jc w:val="center"/>
            </w:pPr>
            <w:r/>
            <w:r>
              <w:rPr>
                <w:rFonts w:ascii="Calibri" w:hAnsi="Calibri"/>
                <w:b/>
                <w:sz w:val="18"/>
              </w:rPr>
              <w:t>IP</w:t>
            </w:r>
          </w:p>
        </w:tc>
        <w:tc>
          <w:tcPr>
            <w:tcW w:type="dxa" w:w="432"/>
            <w:shd w:val="clear" w:fill="D9E2F3"/>
          </w:tcPr>
          <w:p>
            <w:pPr>
              <w:spacing w:after="0" w:before="0" w:line="240" w:lineRule="auto"/>
              <w:jc w:val="center"/>
            </w:pPr>
            <w:r/>
            <w:r>
              <w:rPr>
                <w:rFonts w:ascii="Calibri" w:hAnsi="Calibri"/>
                <w:b/>
                <w:sz w:val="18"/>
              </w:rPr>
              <w:t>T</w:t>
            </w:r>
          </w:p>
        </w:tc>
        <w:tc>
          <w:tcPr>
            <w:tcW w:type="dxa" w:w="504"/>
            <w:shd w:val="clear" w:fill="D9E2F3"/>
          </w:tcPr>
          <w:p>
            <w:pPr>
              <w:spacing w:after="0" w:before="0" w:line="240" w:lineRule="auto"/>
              <w:jc w:val="center"/>
            </w:pPr>
            <w:r/>
            <w:r>
              <w:rPr>
                <w:rFonts w:ascii="Calibri" w:hAnsi="Calibri"/>
                <w:b/>
                <w:sz w:val="18"/>
              </w:rPr>
              <w:t>Ir</w:t>
            </w:r>
          </w:p>
        </w:tc>
        <w:tc>
          <w:tcPr>
            <w:tcW w:type="dxa" w:w="720"/>
            <w:shd w:val="clear" w:fill="D9E2F3"/>
          </w:tcPr>
          <w:p>
            <w:pPr>
              <w:spacing w:after="0" w:before="0" w:line="240" w:lineRule="auto"/>
              <w:jc w:val="center"/>
            </w:pPr>
            <w:r/>
            <w:r>
              <w:rPr>
                <w:rFonts w:ascii="Calibri" w:hAnsi="Calibri"/>
                <w:b/>
                <w:sz w:val="18"/>
              </w:rPr>
              <w:t>p(x)</w:t>
            </w:r>
          </w:p>
        </w:tc>
        <w:tc>
          <w:tcPr>
            <w:tcW w:type="dxa" w:w="1080"/>
            <w:shd w:val="clear" w:fill="D9E2F3"/>
          </w:tcPr>
          <w:p>
            <w:pPr>
              <w:spacing w:after="0" w:before="0" w:line="240" w:lineRule="auto"/>
              <w:jc w:val="center"/>
            </w:pPr>
            <w:r/>
            <w:r>
              <w:rPr>
                <w:rFonts w:ascii="Calibri" w:hAnsi="Calibri"/>
                <w:b/>
                <w:sz w:val="18"/>
              </w:rPr>
              <w:t>Impacto</w:t>
            </w:r>
          </w:p>
        </w:tc>
        <w:tc>
          <w:tcPr>
            <w:tcW w:type="dxa" w:w="648"/>
            <w:shd w:val="clear" w:fill="D9E2F3"/>
          </w:tcPr>
          <w:p>
            <w:pPr>
              <w:spacing w:after="0" w:before="0" w:line="240" w:lineRule="auto"/>
              <w:jc w:val="center"/>
            </w:pPr>
            <w:r/>
            <w:r>
              <w:rPr>
                <w:rFonts w:ascii="Calibri" w:hAnsi="Calibri"/>
                <w:b/>
                <w:sz w:val="18"/>
              </w:rPr>
              <w:t>O/A</w:t>
            </w:r>
          </w:p>
        </w:tc>
      </w:tr>
      <w:tr>
        <w:trPr>
          <w:cantSplit/>
        </w:trPr>
        <w:tc>
          <w:tcPr>
            <w:tcW w:type="dxa" w:w="648"/>
          </w:tcPr>
          <w:p>
            <w:pPr>
              <w:spacing w:after="0" w:before="0" w:line="240" w:lineRule="auto"/>
              <w:jc w:val="center"/>
            </w:pPr>
            <w:r/>
            <w:r>
              <w:rPr>
                <w:rFonts w:ascii="Calibri" w:hAnsi="Calibri"/>
                <w:b w:val="0"/>
                <w:sz w:val="18"/>
              </w:rPr>
              <w:t>P</w:t>
            </w:r>
          </w:p>
        </w:tc>
        <w:tc>
          <w:tcPr>
            <w:tcW w:type="dxa" w:w="5515"/>
          </w:tcPr>
          <w:p>
            <w:pPr>
              <w:spacing w:after="0" w:before="0" w:line="240" w:lineRule="auto"/>
              <w:jc w:val="left"/>
            </w:pPr>
            <w:r/>
            <w:r>
              <w:rPr>
                <w:rFonts w:ascii="Calibri" w:hAnsi="Calibri"/>
                <w:b w:val="0"/>
                <w:sz w:val="18"/>
              </w:rPr>
              <w:t>Revisión conjunta del T-MEC (1-jul-2026): ANETIF pide eliminar aranceles y cuotas a la carne mexicana (El País México, 2026; BM Editores, 2026)</w:t>
            </w:r>
          </w:p>
        </w:tc>
        <w:tc>
          <w:tcPr>
            <w:tcW w:type="dxa" w:w="504"/>
          </w:tcPr>
          <w:p>
            <w:pPr>
              <w:spacing w:after="0" w:before="0" w:line="240" w:lineRule="auto"/>
              <w:jc w:val="center"/>
            </w:pPr>
            <w:r/>
            <w:r>
              <w:rPr>
                <w:rFonts w:ascii="Calibri" w:hAnsi="Calibri"/>
                <w:b w:val="0"/>
                <w:sz w:val="18"/>
              </w:rPr>
              <w:t>2</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1</w:t>
            </w:r>
          </w:p>
        </w:tc>
        <w:tc>
          <w:tcPr>
            <w:tcW w:type="dxa" w:w="720"/>
          </w:tcPr>
          <w:p>
            <w:pPr>
              <w:spacing w:after="0" w:before="0" w:line="240" w:lineRule="auto"/>
              <w:jc w:val="center"/>
            </w:pPr>
            <w:r/>
            <w:r>
              <w:rPr>
                <w:rFonts w:ascii="Calibri" w:hAnsi="Calibri"/>
                <w:b w:val="0"/>
                <w:sz w:val="18"/>
              </w:rPr>
              <w:t>0.60</w:t>
            </w:r>
          </w:p>
        </w:tc>
        <w:tc>
          <w:tcPr>
            <w:tcW w:type="dxa" w:w="1080"/>
          </w:tcPr>
          <w:p>
            <w:pPr>
              <w:spacing w:after="0" w:before="0" w:line="240" w:lineRule="auto"/>
              <w:jc w:val="center"/>
            </w:pPr>
            <w:r/>
            <w:r>
              <w:rPr>
                <w:rFonts w:ascii="Calibri" w:hAnsi="Calibri"/>
                <w:b w:val="0"/>
                <w:sz w:val="18"/>
              </w:rPr>
              <w:t>0.90</w:t>
            </w:r>
          </w:p>
        </w:tc>
        <w:tc>
          <w:tcPr>
            <w:tcW w:type="dxa" w:w="648"/>
          </w:tcPr>
          <w:p>
            <w:pPr>
              <w:spacing w:after="0" w:before="0" w:line="240" w:lineRule="auto"/>
              <w:jc w:val="center"/>
            </w:pPr>
            <w:r/>
            <w:r>
              <w:rPr>
                <w:rFonts w:ascii="Calibri" w:hAnsi="Calibri"/>
                <w:b w:val="0"/>
                <w:sz w:val="18"/>
              </w:rPr>
              <w:t>O</w:t>
            </w:r>
          </w:p>
        </w:tc>
      </w:tr>
      <w:tr>
        <w:trPr>
          <w:cantSplit/>
        </w:trPr>
        <w:tc>
          <w:tcPr>
            <w:tcW w:type="dxa" w:w="648"/>
          </w:tcPr>
          <w:p>
            <w:pPr>
              <w:spacing w:after="0" w:before="0" w:line="240" w:lineRule="auto"/>
              <w:jc w:val="center"/>
            </w:pPr>
            <w:r/>
            <w:r>
              <w:rPr>
                <w:rFonts w:ascii="Calibri" w:hAnsi="Calibri"/>
                <w:b w:val="0"/>
                <w:sz w:val="18"/>
              </w:rPr>
              <w:t>P</w:t>
            </w:r>
          </w:p>
        </w:tc>
        <w:tc>
          <w:tcPr>
            <w:tcW w:type="dxa" w:w="5515"/>
          </w:tcPr>
          <w:p>
            <w:pPr>
              <w:spacing w:after="0" w:before="0" w:line="240" w:lineRule="auto"/>
              <w:jc w:val="left"/>
            </w:pPr>
            <w:r/>
            <w:r>
              <w:rPr>
                <w:rFonts w:ascii="Calibri" w:hAnsi="Calibri"/>
                <w:b w:val="0"/>
                <w:sz w:val="18"/>
              </w:rPr>
              <w:t>Extorsión: 6,562 denuncias en el 1S-2026 y 45.6 % de empresas afectadas; seguro de transporte al alza (Infobae/SESNSP-Coparmex, 2026)</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3</w:t>
            </w:r>
          </w:p>
        </w:tc>
        <w:tc>
          <w:tcPr>
            <w:tcW w:type="dxa" w:w="720"/>
          </w:tcPr>
          <w:p>
            <w:pPr>
              <w:spacing w:after="0" w:before="0" w:line="240" w:lineRule="auto"/>
              <w:jc w:val="center"/>
            </w:pPr>
            <w:r/>
            <w:r>
              <w:rPr>
                <w:rFonts w:ascii="Calibri" w:hAnsi="Calibri"/>
                <w:b w:val="0"/>
                <w:sz w:val="18"/>
              </w:rPr>
              <w:t>0.70</w:t>
            </w:r>
          </w:p>
        </w:tc>
        <w:tc>
          <w:tcPr>
            <w:tcW w:type="dxa" w:w="1080"/>
          </w:tcPr>
          <w:p>
            <w:pPr>
              <w:spacing w:after="0" w:before="0" w:line="240" w:lineRule="auto"/>
              <w:jc w:val="center"/>
            </w:pPr>
            <w:r/>
            <w:r>
              <w:rPr>
                <w:rFonts w:ascii="Calibri" w:hAnsi="Calibri"/>
                <w:b w:val="0"/>
                <w:sz w:val="18"/>
              </w:rPr>
              <w:t>2.10</w:t>
            </w:r>
          </w:p>
        </w:tc>
        <w:tc>
          <w:tcPr>
            <w:tcW w:type="dxa" w:w="648"/>
          </w:tcPr>
          <w:p>
            <w:pPr>
              <w:spacing w:after="0" w:before="0" w:line="240" w:lineRule="auto"/>
              <w:jc w:val="center"/>
            </w:pPr>
            <w:r/>
            <w:r>
              <w:rPr>
                <w:rFonts w:ascii="Calibri" w:hAnsi="Calibri"/>
                <w:b w:val="0"/>
                <w:sz w:val="18"/>
              </w:rPr>
              <w:t>A</w:t>
            </w:r>
          </w:p>
        </w:tc>
      </w:tr>
      <w:tr>
        <w:trPr>
          <w:cantSplit/>
        </w:trPr>
        <w:tc>
          <w:tcPr>
            <w:tcW w:type="dxa" w:w="648"/>
          </w:tcPr>
          <w:p>
            <w:pPr>
              <w:spacing w:after="0" w:before="0" w:line="240" w:lineRule="auto"/>
              <w:jc w:val="center"/>
            </w:pPr>
            <w:r/>
            <w:r>
              <w:rPr>
                <w:rFonts w:ascii="Calibri" w:hAnsi="Calibri"/>
                <w:b w:val="0"/>
                <w:sz w:val="18"/>
              </w:rPr>
              <w:t>E</w:t>
            </w:r>
          </w:p>
        </w:tc>
        <w:tc>
          <w:tcPr>
            <w:tcW w:type="dxa" w:w="5515"/>
          </w:tcPr>
          <w:p>
            <w:pPr>
              <w:spacing w:after="0" w:before="0" w:line="240" w:lineRule="auto"/>
              <w:jc w:val="left"/>
            </w:pPr>
            <w:r/>
            <w:r>
              <w:rPr>
                <w:rFonts w:ascii="Calibri" w:hAnsi="Calibri"/>
                <w:b w:val="0"/>
                <w:sz w:val="18"/>
              </w:rPr>
              <w:t>Res de $139 a $167/kg entre 2024 y 2025; carne +16.5 % en enero-2026 por recorte a importaciones (Forbes/COMECARNE, 2025; El Economista, 2026)</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3</w:t>
            </w:r>
          </w:p>
        </w:tc>
        <w:tc>
          <w:tcPr>
            <w:tcW w:type="dxa" w:w="720"/>
          </w:tcPr>
          <w:p>
            <w:pPr>
              <w:spacing w:after="0" w:before="0" w:line="240" w:lineRule="auto"/>
              <w:jc w:val="center"/>
            </w:pPr>
            <w:r/>
            <w:r>
              <w:rPr>
                <w:rFonts w:ascii="Calibri" w:hAnsi="Calibri"/>
                <w:b w:val="0"/>
                <w:sz w:val="18"/>
              </w:rPr>
              <w:t>0.88</w:t>
            </w:r>
          </w:p>
        </w:tc>
        <w:tc>
          <w:tcPr>
            <w:tcW w:type="dxa" w:w="1080"/>
          </w:tcPr>
          <w:p>
            <w:pPr>
              <w:spacing w:after="0" w:before="0" w:line="240" w:lineRule="auto"/>
              <w:jc w:val="center"/>
            </w:pPr>
            <w:r/>
            <w:r>
              <w:rPr>
                <w:rFonts w:ascii="Calibri" w:hAnsi="Calibri"/>
                <w:b w:val="0"/>
                <w:sz w:val="18"/>
              </w:rPr>
              <w:t>2.64</w:t>
            </w:r>
          </w:p>
        </w:tc>
        <w:tc>
          <w:tcPr>
            <w:tcW w:type="dxa" w:w="648"/>
          </w:tcPr>
          <w:p>
            <w:pPr>
              <w:spacing w:after="0" w:before="0" w:line="240" w:lineRule="auto"/>
              <w:jc w:val="center"/>
            </w:pPr>
            <w:r/>
            <w:r>
              <w:rPr>
                <w:rFonts w:ascii="Calibri" w:hAnsi="Calibri"/>
                <w:b w:val="0"/>
                <w:sz w:val="18"/>
              </w:rPr>
              <w:t>A</w:t>
            </w:r>
          </w:p>
        </w:tc>
      </w:tr>
      <w:tr>
        <w:trPr>
          <w:cantSplit/>
        </w:trPr>
        <w:tc>
          <w:tcPr>
            <w:tcW w:type="dxa" w:w="648"/>
          </w:tcPr>
          <w:p>
            <w:pPr>
              <w:spacing w:after="0" w:before="0" w:line="240" w:lineRule="auto"/>
              <w:jc w:val="center"/>
            </w:pPr>
            <w:r/>
            <w:r>
              <w:rPr>
                <w:rFonts w:ascii="Calibri" w:hAnsi="Calibri"/>
                <w:b w:val="0"/>
                <w:sz w:val="18"/>
              </w:rPr>
              <w:t>E</w:t>
            </w:r>
          </w:p>
        </w:tc>
        <w:tc>
          <w:tcPr>
            <w:tcW w:type="dxa" w:w="5515"/>
          </w:tcPr>
          <w:p>
            <w:pPr>
              <w:spacing w:after="0" w:before="0" w:line="240" w:lineRule="auto"/>
              <w:jc w:val="left"/>
            </w:pPr>
            <w:r/>
            <w:r>
              <w:rPr>
                <w:rFonts w:ascii="Calibri" w:hAnsi="Calibri"/>
                <w:b w:val="0"/>
                <w:sz w:val="18"/>
              </w:rPr>
              <w:t>Inflación de 3.69 % al cierre 2025 y 3.85 % esperada 2026-2027, con peso en ~17.2 ¢/USD (El Financiero/INEGI, 2026; Banxico, 2026)</w:t>
            </w:r>
          </w:p>
        </w:tc>
        <w:tc>
          <w:tcPr>
            <w:tcW w:type="dxa" w:w="504"/>
          </w:tcPr>
          <w:p>
            <w:pPr>
              <w:spacing w:after="0" w:before="0" w:line="240" w:lineRule="auto"/>
              <w:jc w:val="center"/>
            </w:pPr>
            <w:r/>
            <w:r>
              <w:rPr>
                <w:rFonts w:ascii="Calibri" w:hAnsi="Calibri"/>
                <w:b w:val="0"/>
                <w:sz w:val="18"/>
              </w:rPr>
              <w:t>2</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3</w:t>
            </w:r>
          </w:p>
        </w:tc>
        <w:tc>
          <w:tcPr>
            <w:tcW w:type="dxa" w:w="720"/>
          </w:tcPr>
          <w:p>
            <w:pPr>
              <w:spacing w:after="0" w:before="0" w:line="240" w:lineRule="auto"/>
              <w:jc w:val="center"/>
            </w:pPr>
            <w:r/>
            <w:r>
              <w:rPr>
                <w:rFonts w:ascii="Calibri" w:hAnsi="Calibri"/>
                <w:b w:val="0"/>
                <w:sz w:val="18"/>
              </w:rPr>
              <w:t>0.65</w:t>
            </w:r>
          </w:p>
        </w:tc>
        <w:tc>
          <w:tcPr>
            <w:tcW w:type="dxa" w:w="1080"/>
          </w:tcPr>
          <w:p>
            <w:pPr>
              <w:spacing w:after="0" w:before="0" w:line="240" w:lineRule="auto"/>
              <w:jc w:val="center"/>
            </w:pPr>
            <w:r/>
            <w:r>
              <w:rPr>
                <w:rFonts w:ascii="Calibri" w:hAnsi="Calibri"/>
                <w:b w:val="0"/>
                <w:sz w:val="18"/>
              </w:rPr>
              <w:t>1.63</w:t>
            </w:r>
          </w:p>
        </w:tc>
        <w:tc>
          <w:tcPr>
            <w:tcW w:type="dxa" w:w="648"/>
          </w:tcPr>
          <w:p>
            <w:pPr>
              <w:spacing w:after="0" w:before="0" w:line="240" w:lineRule="auto"/>
              <w:jc w:val="center"/>
            </w:pPr>
            <w:r/>
            <w:r>
              <w:rPr>
                <w:rFonts w:ascii="Calibri" w:hAnsi="Calibri"/>
                <w:b w:val="0"/>
                <w:sz w:val="18"/>
              </w:rPr>
              <w:t>O</w:t>
            </w:r>
          </w:p>
        </w:tc>
      </w:tr>
      <w:tr>
        <w:trPr>
          <w:cantSplit/>
        </w:trPr>
        <w:tc>
          <w:tcPr>
            <w:tcW w:type="dxa" w:w="648"/>
          </w:tcPr>
          <w:p>
            <w:pPr>
              <w:spacing w:after="0" w:before="0" w:line="240" w:lineRule="auto"/>
              <w:jc w:val="center"/>
            </w:pPr>
            <w:r/>
            <w:r>
              <w:rPr>
                <w:rFonts w:ascii="Calibri" w:hAnsi="Calibri"/>
                <w:b w:val="0"/>
                <w:sz w:val="18"/>
              </w:rPr>
              <w:t>S</w:t>
            </w:r>
          </w:p>
        </w:tc>
        <w:tc>
          <w:tcPr>
            <w:tcW w:type="dxa" w:w="5515"/>
          </w:tcPr>
          <w:p>
            <w:pPr>
              <w:spacing w:after="0" w:before="0" w:line="240" w:lineRule="auto"/>
              <w:jc w:val="left"/>
            </w:pPr>
            <w:r/>
            <w:r>
              <w:rPr>
                <w:rFonts w:ascii="Calibri" w:hAnsi="Calibri"/>
                <w:b w:val="0"/>
                <w:sz w:val="18"/>
              </w:rPr>
              <w:t>Consumo de carne de 85.3 kg per cápita en 2025, 6º mundial, con demanda sobre la oferta (Consejo Mexicano de la Carne, 2026)</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2</w:t>
            </w:r>
          </w:p>
        </w:tc>
        <w:tc>
          <w:tcPr>
            <w:tcW w:type="dxa" w:w="720"/>
          </w:tcPr>
          <w:p>
            <w:pPr>
              <w:spacing w:after="0" w:before="0" w:line="240" w:lineRule="auto"/>
              <w:jc w:val="center"/>
            </w:pPr>
            <w:r/>
            <w:r>
              <w:rPr>
                <w:rFonts w:ascii="Calibri" w:hAnsi="Calibri"/>
                <w:b w:val="0"/>
                <w:sz w:val="18"/>
              </w:rPr>
              <w:t>0.80</w:t>
            </w:r>
          </w:p>
        </w:tc>
        <w:tc>
          <w:tcPr>
            <w:tcW w:type="dxa" w:w="1080"/>
          </w:tcPr>
          <w:p>
            <w:pPr>
              <w:spacing w:after="0" w:before="0" w:line="240" w:lineRule="auto"/>
              <w:jc w:val="center"/>
            </w:pPr>
            <w:r/>
            <w:r>
              <w:rPr>
                <w:rFonts w:ascii="Calibri" w:hAnsi="Calibri"/>
                <w:b w:val="0"/>
                <w:sz w:val="18"/>
              </w:rPr>
              <w:t>2.00</w:t>
            </w:r>
          </w:p>
        </w:tc>
        <w:tc>
          <w:tcPr>
            <w:tcW w:type="dxa" w:w="648"/>
          </w:tcPr>
          <w:p>
            <w:pPr>
              <w:spacing w:after="0" w:before="0" w:line="240" w:lineRule="auto"/>
              <w:jc w:val="center"/>
            </w:pPr>
            <w:r/>
            <w:r>
              <w:rPr>
                <w:rFonts w:ascii="Calibri" w:hAnsi="Calibri"/>
                <w:b w:val="0"/>
                <w:sz w:val="18"/>
              </w:rPr>
              <w:t>O</w:t>
            </w:r>
          </w:p>
        </w:tc>
      </w:tr>
      <w:tr>
        <w:trPr>
          <w:cantSplit/>
        </w:trPr>
        <w:tc>
          <w:tcPr>
            <w:tcW w:type="dxa" w:w="648"/>
          </w:tcPr>
          <w:p>
            <w:pPr>
              <w:spacing w:after="0" w:before="0" w:line="240" w:lineRule="auto"/>
              <w:jc w:val="center"/>
            </w:pPr>
            <w:r/>
            <w:r>
              <w:rPr>
                <w:rFonts w:ascii="Calibri" w:hAnsi="Calibri"/>
                <w:b w:val="0"/>
                <w:sz w:val="18"/>
              </w:rPr>
              <w:t>S</w:t>
            </w:r>
          </w:p>
        </w:tc>
        <w:tc>
          <w:tcPr>
            <w:tcW w:type="dxa" w:w="5515"/>
          </w:tcPr>
          <w:p>
            <w:pPr>
              <w:spacing w:after="0" w:before="0" w:line="240" w:lineRule="auto"/>
              <w:jc w:val="left"/>
            </w:pPr>
            <w:r/>
            <w:r>
              <w:rPr>
                <w:rFonts w:ascii="Calibri" w:hAnsi="Calibri"/>
                <w:b w:val="0"/>
                <w:sz w:val="18"/>
              </w:rPr>
              <w:t>Hermosillo: 962,020 habitantes (31.8 % de Sonora) y edad mediana de 30 a 32 años (INEGI, Encuesta Intercensal 2025)</w:t>
            </w:r>
          </w:p>
        </w:tc>
        <w:tc>
          <w:tcPr>
            <w:tcW w:type="dxa" w:w="504"/>
          </w:tcPr>
          <w:p>
            <w:pPr>
              <w:spacing w:after="0" w:before="0" w:line="240" w:lineRule="auto"/>
              <w:jc w:val="center"/>
            </w:pPr>
            <w:r/>
            <w:r>
              <w:rPr>
                <w:rFonts w:ascii="Calibri" w:hAnsi="Calibri"/>
                <w:b w:val="0"/>
                <w:sz w:val="18"/>
              </w:rPr>
              <w:t>2</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2</w:t>
            </w:r>
          </w:p>
        </w:tc>
        <w:tc>
          <w:tcPr>
            <w:tcW w:type="dxa" w:w="720"/>
          </w:tcPr>
          <w:p>
            <w:pPr>
              <w:spacing w:after="0" w:before="0" w:line="240" w:lineRule="auto"/>
              <w:jc w:val="center"/>
            </w:pPr>
            <w:r/>
            <w:r>
              <w:rPr>
                <w:rFonts w:ascii="Calibri" w:hAnsi="Calibri"/>
                <w:b w:val="0"/>
                <w:sz w:val="18"/>
              </w:rPr>
              <w:t>0.85</w:t>
            </w:r>
          </w:p>
        </w:tc>
        <w:tc>
          <w:tcPr>
            <w:tcW w:type="dxa" w:w="1080"/>
          </w:tcPr>
          <w:p>
            <w:pPr>
              <w:spacing w:after="0" w:before="0" w:line="240" w:lineRule="auto"/>
              <w:jc w:val="center"/>
            </w:pPr>
            <w:r/>
            <w:r>
              <w:rPr>
                <w:rFonts w:ascii="Calibri" w:hAnsi="Calibri"/>
                <w:b w:val="0"/>
                <w:sz w:val="18"/>
              </w:rPr>
              <w:t>1.70</w:t>
            </w:r>
          </w:p>
        </w:tc>
        <w:tc>
          <w:tcPr>
            <w:tcW w:type="dxa" w:w="648"/>
          </w:tcPr>
          <w:p>
            <w:pPr>
              <w:spacing w:after="0" w:before="0" w:line="240" w:lineRule="auto"/>
              <w:jc w:val="center"/>
            </w:pPr>
            <w:r/>
            <w:r>
              <w:rPr>
                <w:rFonts w:ascii="Calibri" w:hAnsi="Calibri"/>
                <w:b w:val="0"/>
                <w:sz w:val="18"/>
              </w:rPr>
              <w:t>O</w:t>
            </w:r>
          </w:p>
        </w:tc>
      </w:tr>
      <w:tr>
        <w:trPr>
          <w:cantSplit/>
        </w:trPr>
        <w:tc>
          <w:tcPr>
            <w:tcW w:type="dxa" w:w="648"/>
          </w:tcPr>
          <w:p>
            <w:pPr>
              <w:spacing w:after="0" w:before="0" w:line="240" w:lineRule="auto"/>
              <w:jc w:val="center"/>
            </w:pPr>
            <w:r/>
            <w:r>
              <w:rPr>
                <w:rFonts w:ascii="Calibri" w:hAnsi="Calibri"/>
                <w:b w:val="0"/>
                <w:sz w:val="18"/>
              </w:rPr>
              <w:t>T</w:t>
            </w:r>
          </w:p>
        </w:tc>
        <w:tc>
          <w:tcPr>
            <w:tcW w:type="dxa" w:w="5515"/>
          </w:tcPr>
          <w:p>
            <w:pPr>
              <w:spacing w:after="0" w:before="0" w:line="240" w:lineRule="auto"/>
              <w:jc w:val="left"/>
            </w:pPr>
            <w:r/>
            <w:r>
              <w:rPr>
                <w:rFonts w:ascii="Calibri" w:hAnsi="Calibri"/>
                <w:b w:val="0"/>
                <w:sz w:val="18"/>
              </w:rPr>
              <w:t>E-commerce de 941 mil mdp en 2025 (+19.2 %), 77.2 millones de compradores; despensa ya en línea (AMVO, 2026)</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2</w:t>
            </w:r>
          </w:p>
        </w:tc>
        <w:tc>
          <w:tcPr>
            <w:tcW w:type="dxa" w:w="720"/>
          </w:tcPr>
          <w:p>
            <w:pPr>
              <w:spacing w:after="0" w:before="0" w:line="240" w:lineRule="auto"/>
              <w:jc w:val="center"/>
            </w:pPr>
            <w:r/>
            <w:r>
              <w:rPr>
                <w:rFonts w:ascii="Calibri" w:hAnsi="Calibri"/>
                <w:b w:val="0"/>
                <w:sz w:val="18"/>
              </w:rPr>
              <w:t>0.60</w:t>
            </w:r>
          </w:p>
        </w:tc>
        <w:tc>
          <w:tcPr>
            <w:tcW w:type="dxa" w:w="1080"/>
          </w:tcPr>
          <w:p>
            <w:pPr>
              <w:spacing w:after="0" w:before="0" w:line="240" w:lineRule="auto"/>
              <w:jc w:val="center"/>
            </w:pPr>
            <w:r/>
            <w:r>
              <w:rPr>
                <w:rFonts w:ascii="Calibri" w:hAnsi="Calibri"/>
                <w:b w:val="0"/>
                <w:sz w:val="18"/>
              </w:rPr>
              <w:t>1.50</w:t>
            </w:r>
          </w:p>
        </w:tc>
        <w:tc>
          <w:tcPr>
            <w:tcW w:type="dxa" w:w="648"/>
          </w:tcPr>
          <w:p>
            <w:pPr>
              <w:spacing w:after="0" w:before="0" w:line="240" w:lineRule="auto"/>
              <w:jc w:val="center"/>
            </w:pPr>
            <w:r/>
            <w:r>
              <w:rPr>
                <w:rFonts w:ascii="Calibri" w:hAnsi="Calibri"/>
                <w:b w:val="0"/>
                <w:sz w:val="18"/>
              </w:rPr>
              <w:t>O</w:t>
            </w:r>
          </w:p>
        </w:tc>
      </w:tr>
      <w:tr>
        <w:trPr>
          <w:cantSplit/>
        </w:trPr>
        <w:tc>
          <w:tcPr>
            <w:tcW w:type="dxa" w:w="648"/>
          </w:tcPr>
          <w:p>
            <w:pPr>
              <w:spacing w:after="0" w:before="0" w:line="240" w:lineRule="auto"/>
              <w:jc w:val="center"/>
            </w:pPr>
            <w:r/>
            <w:r>
              <w:rPr>
                <w:rFonts w:ascii="Calibri" w:hAnsi="Calibri"/>
                <w:b w:val="0"/>
                <w:sz w:val="18"/>
              </w:rPr>
              <w:t>T</w:t>
            </w:r>
          </w:p>
        </w:tc>
        <w:tc>
          <w:tcPr>
            <w:tcW w:type="dxa" w:w="5515"/>
          </w:tcPr>
          <w:p>
            <w:pPr>
              <w:spacing w:after="0" w:before="0" w:line="240" w:lineRule="auto"/>
              <w:jc w:val="left"/>
            </w:pPr>
            <w:r/>
            <w:r>
              <w:rPr>
                <w:rFonts w:ascii="Calibri" w:hAnsi="Calibri"/>
                <w:b w:val="0"/>
                <w:sz w:val="18"/>
              </w:rPr>
              <w:t>CoDi en 3 pasos, $135,000 sin alta y SPEI sin comisiones desde diciembre de 2026 (Banxico, 2026)</w:t>
            </w:r>
          </w:p>
        </w:tc>
        <w:tc>
          <w:tcPr>
            <w:tcW w:type="dxa" w:w="504"/>
          </w:tcPr>
          <w:p>
            <w:pPr>
              <w:spacing w:after="0" w:before="0" w:line="240" w:lineRule="auto"/>
              <w:jc w:val="center"/>
            </w:pPr>
            <w:r/>
            <w:r>
              <w:rPr>
                <w:rFonts w:ascii="Calibri" w:hAnsi="Calibri"/>
                <w:b w:val="0"/>
                <w:sz w:val="18"/>
              </w:rPr>
              <w:t>2</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1</w:t>
            </w:r>
          </w:p>
        </w:tc>
        <w:tc>
          <w:tcPr>
            <w:tcW w:type="dxa" w:w="720"/>
          </w:tcPr>
          <w:p>
            <w:pPr>
              <w:spacing w:after="0" w:before="0" w:line="240" w:lineRule="auto"/>
              <w:jc w:val="center"/>
            </w:pPr>
            <w:r/>
            <w:r>
              <w:rPr>
                <w:rFonts w:ascii="Calibri" w:hAnsi="Calibri"/>
                <w:b w:val="0"/>
                <w:sz w:val="18"/>
              </w:rPr>
              <w:t>0.75</w:t>
            </w:r>
          </w:p>
        </w:tc>
        <w:tc>
          <w:tcPr>
            <w:tcW w:type="dxa" w:w="1080"/>
          </w:tcPr>
          <w:p>
            <w:pPr>
              <w:spacing w:after="0" w:before="0" w:line="240" w:lineRule="auto"/>
              <w:jc w:val="center"/>
            </w:pPr>
            <w:r/>
            <w:r>
              <w:rPr>
                <w:rFonts w:ascii="Calibri" w:hAnsi="Calibri"/>
                <w:b w:val="0"/>
                <w:sz w:val="18"/>
              </w:rPr>
              <w:t>1.13</w:t>
            </w:r>
          </w:p>
        </w:tc>
        <w:tc>
          <w:tcPr>
            <w:tcW w:type="dxa" w:w="648"/>
          </w:tcPr>
          <w:p>
            <w:pPr>
              <w:spacing w:after="0" w:before="0" w:line="240" w:lineRule="auto"/>
              <w:jc w:val="center"/>
            </w:pPr>
            <w:r/>
            <w:r>
              <w:rPr>
                <w:rFonts w:ascii="Calibri" w:hAnsi="Calibri"/>
                <w:b w:val="0"/>
                <w:sz w:val="18"/>
              </w:rPr>
              <w:t>O</w:t>
            </w:r>
          </w:p>
        </w:tc>
      </w:tr>
      <w:tr>
        <w:trPr>
          <w:cantSplit/>
        </w:trPr>
        <w:tc>
          <w:tcPr>
            <w:tcW w:type="dxa" w:w="648"/>
          </w:tcPr>
          <w:p>
            <w:pPr>
              <w:spacing w:after="0" w:before="0" w:line="240" w:lineRule="auto"/>
              <w:jc w:val="center"/>
            </w:pPr>
            <w:r/>
            <w:r>
              <w:rPr>
                <w:rFonts w:ascii="Calibri" w:hAnsi="Calibri"/>
                <w:b w:val="0"/>
                <w:sz w:val="18"/>
              </w:rPr>
              <w:t>Ecol</w:t>
            </w:r>
          </w:p>
        </w:tc>
        <w:tc>
          <w:tcPr>
            <w:tcW w:type="dxa" w:w="5515"/>
          </w:tcPr>
          <w:p>
            <w:pPr>
              <w:spacing w:after="0" w:before="0" w:line="240" w:lineRule="auto"/>
              <w:jc w:val="left"/>
            </w:pPr>
            <w:r/>
            <w:r>
              <w:rPr>
                <w:rFonts w:ascii="Calibri" w:hAnsi="Calibri"/>
                <w:b w:val="0"/>
                <w:sz w:val="18"/>
              </w:rPr>
              <w:t>Presas de Sonora al 13.2 % y Abelardo L. Rodríguez vacía en 2025: menos ganado en pie (Milenio, 2025)</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3</w:t>
            </w:r>
          </w:p>
        </w:tc>
        <w:tc>
          <w:tcPr>
            <w:tcW w:type="dxa" w:w="720"/>
          </w:tcPr>
          <w:p>
            <w:pPr>
              <w:spacing w:after="0" w:before="0" w:line="240" w:lineRule="auto"/>
              <w:jc w:val="center"/>
            </w:pPr>
            <w:r/>
            <w:r>
              <w:rPr>
                <w:rFonts w:ascii="Calibri" w:hAnsi="Calibri"/>
                <w:b w:val="0"/>
                <w:sz w:val="18"/>
              </w:rPr>
              <w:t>0.75</w:t>
            </w:r>
          </w:p>
        </w:tc>
        <w:tc>
          <w:tcPr>
            <w:tcW w:type="dxa" w:w="1080"/>
          </w:tcPr>
          <w:p>
            <w:pPr>
              <w:spacing w:after="0" w:before="0" w:line="240" w:lineRule="auto"/>
              <w:jc w:val="center"/>
            </w:pPr>
            <w:r/>
            <w:r>
              <w:rPr>
                <w:rFonts w:ascii="Calibri" w:hAnsi="Calibri"/>
                <w:b w:val="0"/>
                <w:sz w:val="18"/>
              </w:rPr>
              <w:t>2.25</w:t>
            </w:r>
          </w:p>
        </w:tc>
        <w:tc>
          <w:tcPr>
            <w:tcW w:type="dxa" w:w="648"/>
          </w:tcPr>
          <w:p>
            <w:pPr>
              <w:spacing w:after="0" w:before="0" w:line="240" w:lineRule="auto"/>
              <w:jc w:val="center"/>
            </w:pPr>
            <w:r/>
            <w:r>
              <w:rPr>
                <w:rFonts w:ascii="Calibri" w:hAnsi="Calibri"/>
                <w:b w:val="0"/>
                <w:sz w:val="18"/>
              </w:rPr>
              <w:t>A</w:t>
            </w:r>
          </w:p>
        </w:tc>
      </w:tr>
      <w:tr>
        <w:trPr>
          <w:cantSplit/>
        </w:trPr>
        <w:tc>
          <w:tcPr>
            <w:tcW w:type="dxa" w:w="648"/>
          </w:tcPr>
          <w:p>
            <w:pPr>
              <w:spacing w:after="0" w:before="0" w:line="240" w:lineRule="auto"/>
              <w:jc w:val="center"/>
            </w:pPr>
            <w:r/>
            <w:r>
              <w:rPr>
                <w:rFonts w:ascii="Calibri" w:hAnsi="Calibri"/>
                <w:b w:val="0"/>
                <w:sz w:val="18"/>
              </w:rPr>
              <w:t>Ecol</w:t>
            </w:r>
          </w:p>
        </w:tc>
        <w:tc>
          <w:tcPr>
            <w:tcW w:type="dxa" w:w="5515"/>
          </w:tcPr>
          <w:p>
            <w:pPr>
              <w:spacing w:after="0" w:before="0" w:line="240" w:lineRule="auto"/>
              <w:jc w:val="left"/>
            </w:pPr>
            <w:r/>
            <w:r>
              <w:rPr>
                <w:rFonts w:ascii="Calibri" w:hAnsi="Calibri"/>
                <w:b w:val="0"/>
                <w:sz w:val="18"/>
              </w:rPr>
              <w:t>Gusano barrenador: 14,321 casos, 870 focos y 1.2 millones de cabezas varadas (SENASICA, vía El Imparcial, 2026)</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2</w:t>
            </w:r>
          </w:p>
        </w:tc>
        <w:tc>
          <w:tcPr>
            <w:tcW w:type="dxa" w:w="720"/>
          </w:tcPr>
          <w:p>
            <w:pPr>
              <w:spacing w:after="0" w:before="0" w:line="240" w:lineRule="auto"/>
              <w:jc w:val="center"/>
            </w:pPr>
            <w:r/>
            <w:r>
              <w:rPr>
                <w:rFonts w:ascii="Calibri" w:hAnsi="Calibri"/>
                <w:b w:val="0"/>
                <w:sz w:val="18"/>
              </w:rPr>
              <w:t>0.85</w:t>
            </w:r>
          </w:p>
        </w:tc>
        <w:tc>
          <w:tcPr>
            <w:tcW w:type="dxa" w:w="1080"/>
          </w:tcPr>
          <w:p>
            <w:pPr>
              <w:spacing w:after="0" w:before="0" w:line="240" w:lineRule="auto"/>
              <w:jc w:val="center"/>
            </w:pPr>
            <w:r/>
            <w:r>
              <w:rPr>
                <w:rFonts w:ascii="Calibri" w:hAnsi="Calibri"/>
                <w:b w:val="0"/>
                <w:sz w:val="18"/>
              </w:rPr>
              <w:t>2.13</w:t>
            </w:r>
          </w:p>
        </w:tc>
        <w:tc>
          <w:tcPr>
            <w:tcW w:type="dxa" w:w="648"/>
          </w:tcPr>
          <w:p>
            <w:pPr>
              <w:spacing w:after="0" w:before="0" w:line="240" w:lineRule="auto"/>
              <w:jc w:val="center"/>
            </w:pPr>
            <w:r/>
            <w:r>
              <w:rPr>
                <w:rFonts w:ascii="Calibri" w:hAnsi="Calibri"/>
                <w:b w:val="0"/>
                <w:sz w:val="18"/>
              </w:rPr>
              <w:t>A</w:t>
            </w:r>
          </w:p>
        </w:tc>
      </w:tr>
      <w:tr>
        <w:trPr>
          <w:cantSplit/>
        </w:trPr>
        <w:tc>
          <w:tcPr>
            <w:tcW w:type="dxa" w:w="648"/>
          </w:tcPr>
          <w:p>
            <w:pPr>
              <w:spacing w:after="0" w:before="0" w:line="240" w:lineRule="auto"/>
              <w:jc w:val="center"/>
            </w:pPr>
            <w:r/>
            <w:r>
              <w:rPr>
                <w:rFonts w:ascii="Calibri" w:hAnsi="Calibri"/>
                <w:b w:val="0"/>
                <w:sz w:val="18"/>
              </w:rPr>
              <w:t>Legal</w:t>
            </w:r>
          </w:p>
        </w:tc>
        <w:tc>
          <w:tcPr>
            <w:tcW w:type="dxa" w:w="5515"/>
          </w:tcPr>
          <w:p>
            <w:pPr>
              <w:spacing w:after="0" w:before="0" w:line="240" w:lineRule="auto"/>
              <w:jc w:val="left"/>
            </w:pPr>
            <w:r/>
            <w:r>
              <w:rPr>
                <w:rFonts w:ascii="Calibri" w:hAnsi="Calibri"/>
                <w:b w:val="0"/>
                <w:sz w:val="18"/>
              </w:rPr>
              <w:t>Reforma LFT: jornada máxima de 46 h en 2027 y 44 h en 2028 (Diario Oficial de la Federación, 2026)</w:t>
            </w:r>
          </w:p>
        </w:tc>
        <w:tc>
          <w:tcPr>
            <w:tcW w:type="dxa" w:w="504"/>
          </w:tcPr>
          <w:p>
            <w:pPr>
              <w:spacing w:after="0" w:before="0" w:line="240" w:lineRule="auto"/>
              <w:jc w:val="center"/>
            </w:pPr>
            <w:r/>
            <w:r>
              <w:rPr>
                <w:rFonts w:ascii="Calibri" w:hAnsi="Calibri"/>
                <w:b w:val="0"/>
                <w:sz w:val="18"/>
              </w:rPr>
              <w:t>3</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3</w:t>
            </w:r>
          </w:p>
        </w:tc>
        <w:tc>
          <w:tcPr>
            <w:tcW w:type="dxa" w:w="720"/>
          </w:tcPr>
          <w:p>
            <w:pPr>
              <w:spacing w:after="0" w:before="0" w:line="240" w:lineRule="auto"/>
              <w:jc w:val="center"/>
            </w:pPr>
            <w:r/>
            <w:r>
              <w:rPr>
                <w:rFonts w:ascii="Calibri" w:hAnsi="Calibri"/>
                <w:b w:val="0"/>
                <w:sz w:val="18"/>
              </w:rPr>
              <w:t>0.92</w:t>
            </w:r>
          </w:p>
        </w:tc>
        <w:tc>
          <w:tcPr>
            <w:tcW w:type="dxa" w:w="1080"/>
          </w:tcPr>
          <w:p>
            <w:pPr>
              <w:spacing w:after="0" w:before="0" w:line="240" w:lineRule="auto"/>
              <w:jc w:val="center"/>
            </w:pPr>
            <w:r/>
            <w:r>
              <w:rPr>
                <w:rFonts w:ascii="Calibri" w:hAnsi="Calibri"/>
                <w:b w:val="0"/>
                <w:sz w:val="18"/>
              </w:rPr>
              <w:t>2.76</w:t>
            </w:r>
          </w:p>
        </w:tc>
        <w:tc>
          <w:tcPr>
            <w:tcW w:type="dxa" w:w="648"/>
          </w:tcPr>
          <w:p>
            <w:pPr>
              <w:spacing w:after="0" w:before="0" w:line="240" w:lineRule="auto"/>
              <w:jc w:val="center"/>
            </w:pPr>
            <w:r/>
            <w:r>
              <w:rPr>
                <w:rFonts w:ascii="Calibri" w:hAnsi="Calibri"/>
                <w:b w:val="0"/>
                <w:sz w:val="18"/>
              </w:rPr>
              <w:t>A</w:t>
            </w:r>
          </w:p>
        </w:tc>
      </w:tr>
      <w:tr>
        <w:trPr>
          <w:cantSplit/>
        </w:trPr>
        <w:tc>
          <w:tcPr>
            <w:tcW w:type="dxa" w:w="648"/>
          </w:tcPr>
          <w:p>
            <w:pPr>
              <w:spacing w:after="0" w:before="0" w:line="240" w:lineRule="auto"/>
              <w:jc w:val="center"/>
            </w:pPr>
            <w:r/>
            <w:r>
              <w:rPr>
                <w:rFonts w:ascii="Calibri" w:hAnsi="Calibri"/>
                <w:b w:val="0"/>
                <w:sz w:val="18"/>
              </w:rPr>
              <w:t>Legal</w:t>
            </w:r>
          </w:p>
        </w:tc>
        <w:tc>
          <w:tcPr>
            <w:tcW w:type="dxa" w:w="5515"/>
          </w:tcPr>
          <w:p>
            <w:pPr>
              <w:spacing w:after="0" w:before="0" w:line="240" w:lineRule="auto"/>
              <w:jc w:val="left"/>
            </w:pPr>
            <w:r/>
            <w:r>
              <w:rPr>
                <w:rFonts w:ascii="Calibri" w:hAnsi="Calibri"/>
                <w:b w:val="0"/>
                <w:sz w:val="18"/>
              </w:rPr>
              <w:t>NOM-051 Fase III desde el 1-ene-2026 en preenvasados: paquetes al vacío y aderezos (Secretaría de Economía, 2025)</w:t>
            </w:r>
          </w:p>
        </w:tc>
        <w:tc>
          <w:tcPr>
            <w:tcW w:type="dxa" w:w="504"/>
          </w:tcPr>
          <w:p>
            <w:pPr>
              <w:spacing w:after="0" w:before="0" w:line="240" w:lineRule="auto"/>
              <w:jc w:val="center"/>
            </w:pPr>
            <w:r/>
            <w:r>
              <w:rPr>
                <w:rFonts w:ascii="Calibri" w:hAnsi="Calibri"/>
                <w:b w:val="0"/>
                <w:sz w:val="18"/>
              </w:rPr>
              <w:t>2</w:t>
            </w:r>
          </w:p>
        </w:tc>
        <w:tc>
          <w:tcPr>
            <w:tcW w:type="dxa" w:w="432"/>
          </w:tcPr>
          <w:p>
            <w:pPr>
              <w:spacing w:after="0" w:before="0" w:line="240" w:lineRule="auto"/>
              <w:jc w:val="center"/>
            </w:pPr>
            <w:r/>
            <w:r>
              <w:rPr>
                <w:rFonts w:ascii="Calibri" w:hAnsi="Calibri"/>
                <w:b w:val="0"/>
                <w:sz w:val="18"/>
              </w:rPr>
              <w:t>−</w:t>
            </w:r>
          </w:p>
        </w:tc>
        <w:tc>
          <w:tcPr>
            <w:tcW w:type="dxa" w:w="504"/>
          </w:tcPr>
          <w:p>
            <w:pPr>
              <w:spacing w:after="0" w:before="0" w:line="240" w:lineRule="auto"/>
              <w:jc w:val="center"/>
            </w:pPr>
            <w:r/>
            <w:r>
              <w:rPr>
                <w:rFonts w:ascii="Calibri" w:hAnsi="Calibri"/>
                <w:b w:val="0"/>
                <w:sz w:val="18"/>
              </w:rPr>
              <w:t>1</w:t>
            </w:r>
          </w:p>
        </w:tc>
        <w:tc>
          <w:tcPr>
            <w:tcW w:type="dxa" w:w="720"/>
          </w:tcPr>
          <w:p>
            <w:pPr>
              <w:spacing w:after="0" w:before="0" w:line="240" w:lineRule="auto"/>
              <w:jc w:val="center"/>
            </w:pPr>
            <w:r/>
            <w:r>
              <w:rPr>
                <w:rFonts w:ascii="Calibri" w:hAnsi="Calibri"/>
                <w:b w:val="0"/>
                <w:sz w:val="18"/>
              </w:rPr>
              <w:t>0.55</w:t>
            </w:r>
          </w:p>
        </w:tc>
        <w:tc>
          <w:tcPr>
            <w:tcW w:type="dxa" w:w="1080"/>
          </w:tcPr>
          <w:p>
            <w:pPr>
              <w:spacing w:after="0" w:before="0" w:line="240" w:lineRule="auto"/>
              <w:jc w:val="center"/>
            </w:pPr>
            <w:r/>
            <w:r>
              <w:rPr>
                <w:rFonts w:ascii="Calibri" w:hAnsi="Calibri"/>
                <w:b w:val="0"/>
                <w:sz w:val="18"/>
              </w:rPr>
              <w:t>0.83</w:t>
            </w:r>
          </w:p>
        </w:tc>
        <w:tc>
          <w:tcPr>
            <w:tcW w:type="dxa" w:w="648"/>
          </w:tcPr>
          <w:p>
            <w:pPr>
              <w:spacing w:after="0" w:before="0" w:line="240" w:lineRule="auto"/>
              <w:jc w:val="center"/>
            </w:pPr>
            <w:r/>
            <w:r>
              <w:rPr>
                <w:rFonts w:ascii="Calibri" w:hAnsi="Calibri"/>
                <w:b w:val="0"/>
                <w:sz w:val="18"/>
              </w:rPr>
              <w:t>A</w:t>
            </w:r>
          </w:p>
        </w:tc>
      </w:tr>
    </w:tbl>
    <w:p>
      <w:pPr>
        <w:spacing w:after="160" w:line="276" w:lineRule="auto"/>
        <w:jc w:val="left"/>
      </w:pPr>
      <w:r>
        <w:rPr>
          <w:rFonts w:ascii="Calibri" w:hAnsi="Calibri"/>
          <w:b w:val="0"/>
          <w:sz w:val="17"/>
        </w:rPr>
        <w:t>Tabla 1. Matriz PESTEL de VCV Cortes Finos SA de CV. Fuente: elaboración propia con las fuentes citadas.</w:t>
      </w:r>
    </w:p>
    <w:p>
      <w:pPr>
        <w:spacing w:after="120" w:line="276" w:lineRule="auto"/>
        <w:jc w:val="both"/>
      </w:pPr>
      <w:r>
        <w:rPr>
          <w:rFonts w:ascii="Calibri" w:hAnsi="Calibri"/>
          <w:b w:val="0"/>
          <w:sz w:val="22"/>
        </w:rPr>
        <w:t>La lectura de la matriz muestra un entorno asimétrico: seis factores son amenazas y seis son oportunidades, pero las amenazas concentran 12.71 de los 21.57 puntos totales de impacto y aportan los dos únicos casos clasificados como altos (2.76 y 2.64). Ninguna oportunidad alcanza ese nivel: la de mayor impacto es el consumo récord de carne, con 2.00. Los tres factores bajos corresponden a medidas aún sin efecto operativo para la empresa —la revisión del T-MEC, los pagos digitales y la fase III de la NOM-051 aplicada a preenvasados—, mientras que los siete medios dibujan una presión de costos y de abasto sostenida a lo largo de todo el horizonte. Las probabilidades se calcularon de forma diferenciada: oscilan entre 0.55 y 0.92 y son más altas cuando el hecho ya está medido o publicado y más bajas cuando depende de una decisión de política pública o de adopción comercial.</w:t>
      </w:r>
    </w:p>
    <w:p>
      <w:pPr>
        <w:keepNext/>
        <w:spacing w:before="200" w:after="80"/>
      </w:pPr>
      <w:r>
        <w:rPr>
          <w:rFonts w:ascii="Calibri" w:hAnsi="Calibri"/>
          <w:b/>
          <w:sz w:val="24"/>
        </w:rPr>
        <w:t>2.1 Justificación de la probabilidad p(x)</w:t>
      </w:r>
    </w:p>
    <w:tbl>
      <w:tblPr>
        <w:tblStyle w:val="TableGrid"/>
        <w:tblW w:type="dxa" w:w="9936"/>
        <w:jc w:val="center"/>
        <w:tblLayout w:type="fixed"/>
        <w:tblLook w:firstColumn="1" w:firstRow="1" w:lastColumn="0" w:lastRow="0" w:noHBand="0" w:noVBand="1" w:val="04A0"/>
      </w:tblPr>
      <w:tblGrid>
        <w:gridCol w:w="576"/>
        <w:gridCol w:w="2160"/>
        <w:gridCol w:w="720"/>
        <w:gridCol w:w="6480"/>
      </w:tblGrid>
      <w:tr>
        <w:trPr>
          <w:tblHeader w:val="true"/>
        </w:trPr>
        <w:tc>
          <w:tcPr>
            <w:tcW w:type="dxa" w:w="576"/>
            <w:shd w:val="clear" w:fill="D9E2F3"/>
          </w:tcPr>
          <w:p>
            <w:pPr>
              <w:spacing w:after="0" w:before="0" w:line="240" w:lineRule="auto"/>
              <w:jc w:val="center"/>
            </w:pPr>
            <w:r/>
            <w:r>
              <w:rPr>
                <w:rFonts w:ascii="Calibri" w:hAnsi="Calibri"/>
                <w:b/>
                <w:sz w:val="17"/>
              </w:rPr>
              <w:t>N.º</w:t>
            </w:r>
          </w:p>
        </w:tc>
        <w:tc>
          <w:tcPr>
            <w:tcW w:type="dxa" w:w="2160"/>
            <w:shd w:val="clear" w:fill="D9E2F3"/>
          </w:tcPr>
          <w:p>
            <w:pPr>
              <w:spacing w:after="0" w:before="0" w:line="240" w:lineRule="auto"/>
              <w:jc w:val="left"/>
            </w:pPr>
            <w:r/>
            <w:r>
              <w:rPr>
                <w:rFonts w:ascii="Calibri" w:hAnsi="Calibri"/>
                <w:b/>
                <w:sz w:val="17"/>
              </w:rPr>
              <w:t>Factor</w:t>
            </w:r>
          </w:p>
        </w:tc>
        <w:tc>
          <w:tcPr>
            <w:tcW w:type="dxa" w:w="720"/>
            <w:shd w:val="clear" w:fill="D9E2F3"/>
          </w:tcPr>
          <w:p>
            <w:pPr>
              <w:spacing w:after="0" w:before="0" w:line="240" w:lineRule="auto"/>
              <w:jc w:val="center"/>
            </w:pPr>
            <w:r/>
            <w:r>
              <w:rPr>
                <w:rFonts w:ascii="Calibri" w:hAnsi="Calibri"/>
                <w:b/>
                <w:sz w:val="17"/>
              </w:rPr>
              <w:t>p(x)</w:t>
            </w:r>
          </w:p>
        </w:tc>
        <w:tc>
          <w:tcPr>
            <w:tcW w:type="dxa" w:w="6480"/>
            <w:shd w:val="clear" w:fill="D9E2F3"/>
          </w:tcPr>
          <w:p>
            <w:pPr>
              <w:spacing w:after="0" w:before="0" w:line="240" w:lineRule="auto"/>
              <w:jc w:val="left"/>
            </w:pPr>
            <w:r/>
            <w:r>
              <w:rPr>
                <w:rFonts w:ascii="Calibri" w:hAnsi="Calibri"/>
                <w:b/>
                <w:sz w:val="17"/>
              </w:rPr>
              <w:t>Justificación</w:t>
            </w:r>
          </w:p>
        </w:tc>
      </w:tr>
      <w:tr>
        <w:trPr>
          <w:cantSplit/>
        </w:trPr>
        <w:tc>
          <w:tcPr>
            <w:tcW w:type="dxa" w:w="576"/>
          </w:tcPr>
          <w:p>
            <w:pPr>
              <w:spacing w:after="0" w:before="0" w:line="240" w:lineRule="auto"/>
              <w:jc w:val="center"/>
            </w:pPr>
            <w:r/>
            <w:r>
              <w:rPr>
                <w:rFonts w:ascii="Calibri" w:hAnsi="Calibri"/>
                <w:b w:val="0"/>
                <w:sz w:val="18"/>
              </w:rPr>
              <w:t>1</w:t>
            </w:r>
          </w:p>
        </w:tc>
        <w:tc>
          <w:tcPr>
            <w:tcW w:type="dxa" w:w="2160"/>
          </w:tcPr>
          <w:p>
            <w:pPr>
              <w:spacing w:after="0" w:before="0" w:line="240" w:lineRule="auto"/>
              <w:jc w:val="left"/>
            </w:pPr>
            <w:r/>
            <w:r>
              <w:rPr>
                <w:rFonts w:ascii="Calibri" w:hAnsi="Calibri"/>
                <w:b w:val="0"/>
                <w:sz w:val="18"/>
              </w:rPr>
              <w:t>T-MEC</w:t>
            </w:r>
          </w:p>
        </w:tc>
        <w:tc>
          <w:tcPr>
            <w:tcW w:type="dxa" w:w="720"/>
          </w:tcPr>
          <w:p>
            <w:pPr>
              <w:spacing w:after="0" w:before="0" w:line="240" w:lineRule="auto"/>
              <w:jc w:val="center"/>
            </w:pPr>
            <w:r/>
            <w:r>
              <w:rPr>
                <w:rFonts w:ascii="Calibri" w:hAnsi="Calibri"/>
                <w:b w:val="0"/>
                <w:sz w:val="18"/>
              </w:rPr>
              <w:t>0.60</w:t>
            </w:r>
          </w:p>
        </w:tc>
        <w:tc>
          <w:tcPr>
            <w:tcW w:type="dxa" w:w="6480"/>
          </w:tcPr>
          <w:p>
            <w:pPr>
              <w:spacing w:after="0" w:before="0" w:line="240" w:lineRule="auto"/>
              <w:jc w:val="left"/>
            </w:pPr>
            <w:r/>
            <w:r>
              <w:rPr>
                <w:rFonts w:ascii="Calibri" w:hAnsi="Calibri"/>
                <w:b w:val="0"/>
                <w:sz w:val="18"/>
              </w:rPr>
              <w:t>La revisión conjunta ya se realizó el 1 de julio de 2026 y sigue en conversación, pero no existe aún un acuerdo cárneo firmado que elimine aranceles o cuotas, de modo que el beneficio para un comprador mexicano de cortes es posible, no seguro.</w:t>
            </w:r>
          </w:p>
        </w:tc>
      </w:tr>
      <w:tr>
        <w:trPr>
          <w:cantSplit/>
        </w:trPr>
        <w:tc>
          <w:tcPr>
            <w:tcW w:type="dxa" w:w="576"/>
          </w:tcPr>
          <w:p>
            <w:pPr>
              <w:spacing w:after="0" w:before="0" w:line="240" w:lineRule="auto"/>
              <w:jc w:val="center"/>
            </w:pPr>
            <w:r/>
            <w:r>
              <w:rPr>
                <w:rFonts w:ascii="Calibri" w:hAnsi="Calibri"/>
                <w:b w:val="0"/>
                <w:sz w:val="18"/>
              </w:rPr>
              <w:t>2</w:t>
            </w:r>
          </w:p>
        </w:tc>
        <w:tc>
          <w:tcPr>
            <w:tcW w:type="dxa" w:w="2160"/>
          </w:tcPr>
          <w:p>
            <w:pPr>
              <w:spacing w:after="0" w:before="0" w:line="240" w:lineRule="auto"/>
              <w:jc w:val="left"/>
            </w:pPr>
            <w:r/>
            <w:r>
              <w:rPr>
                <w:rFonts w:ascii="Calibri" w:hAnsi="Calibri"/>
                <w:b w:val="0"/>
                <w:sz w:val="18"/>
              </w:rPr>
              <w:t>Extorsión</w:t>
            </w:r>
          </w:p>
        </w:tc>
        <w:tc>
          <w:tcPr>
            <w:tcW w:type="dxa" w:w="720"/>
          </w:tcPr>
          <w:p>
            <w:pPr>
              <w:spacing w:after="0" w:before="0" w:line="240" w:lineRule="auto"/>
              <w:jc w:val="center"/>
            </w:pPr>
            <w:r/>
            <w:r>
              <w:rPr>
                <w:rFonts w:ascii="Calibri" w:hAnsi="Calibri"/>
                <w:b w:val="0"/>
                <w:sz w:val="18"/>
              </w:rPr>
              <w:t>0.70</w:t>
            </w:r>
          </w:p>
        </w:tc>
        <w:tc>
          <w:tcPr>
            <w:tcW w:type="dxa" w:w="6480"/>
          </w:tcPr>
          <w:p>
            <w:pPr>
              <w:spacing w:after="0" w:before="0" w:line="240" w:lineRule="auto"/>
              <w:jc w:val="left"/>
            </w:pPr>
            <w:r/>
            <w:r>
              <w:rPr>
                <w:rFonts w:ascii="Calibri" w:hAnsi="Calibri"/>
                <w:b w:val="0"/>
                <w:sz w:val="18"/>
              </w:rPr>
              <w:t>Es una tendencia instalada y en su máximo para un primer semestre en once años, con denuncias en aumento desde 2024; se descuenta una parte porque no se dispone de una serie confirmada específica de Sonora.</w:t>
            </w:r>
          </w:p>
        </w:tc>
      </w:tr>
      <w:tr>
        <w:trPr>
          <w:cantSplit/>
        </w:trPr>
        <w:tc>
          <w:tcPr>
            <w:tcW w:type="dxa" w:w="576"/>
          </w:tcPr>
          <w:p>
            <w:pPr>
              <w:spacing w:after="0" w:before="0" w:line="240" w:lineRule="auto"/>
              <w:jc w:val="center"/>
            </w:pPr>
            <w:r/>
            <w:r>
              <w:rPr>
                <w:rFonts w:ascii="Calibri" w:hAnsi="Calibri"/>
                <w:b w:val="0"/>
                <w:sz w:val="18"/>
              </w:rPr>
              <w:t>3</w:t>
            </w:r>
          </w:p>
        </w:tc>
        <w:tc>
          <w:tcPr>
            <w:tcW w:type="dxa" w:w="2160"/>
          </w:tcPr>
          <w:p>
            <w:pPr>
              <w:spacing w:after="0" w:before="0" w:line="240" w:lineRule="auto"/>
              <w:jc w:val="left"/>
            </w:pPr>
            <w:r/>
            <w:r>
              <w:rPr>
                <w:rFonts w:ascii="Calibri" w:hAnsi="Calibri"/>
                <w:b w:val="0"/>
                <w:sz w:val="18"/>
              </w:rPr>
              <w:t>Precio de la res</w:t>
            </w:r>
          </w:p>
        </w:tc>
        <w:tc>
          <w:tcPr>
            <w:tcW w:type="dxa" w:w="720"/>
          </w:tcPr>
          <w:p>
            <w:pPr>
              <w:spacing w:after="0" w:before="0" w:line="240" w:lineRule="auto"/>
              <w:jc w:val="center"/>
            </w:pPr>
            <w:r/>
            <w:r>
              <w:rPr>
                <w:rFonts w:ascii="Calibri" w:hAnsi="Calibri"/>
                <w:b w:val="0"/>
                <w:sz w:val="18"/>
              </w:rPr>
              <w:t>0.88</w:t>
            </w:r>
          </w:p>
        </w:tc>
        <w:tc>
          <w:tcPr>
            <w:tcW w:type="dxa" w:w="6480"/>
          </w:tcPr>
          <w:p>
            <w:pPr>
              <w:spacing w:after="0" w:before="0" w:line="240" w:lineRule="auto"/>
              <w:jc w:val="left"/>
            </w:pPr>
            <w:r/>
            <w:r>
              <w:rPr>
                <w:rFonts w:ascii="Calibri" w:hAnsi="Calibri"/>
                <w:b w:val="0"/>
                <w:sz w:val="18"/>
              </w:rPr>
              <w:t>No es una previsión sino una condición ya observable: el kilo pasó de $139 a $167 y las cuotas de importación sustituyeron a las licencias automáticas; el residuo de incertidumbre es el margen de estabilización que daría una normalización del flujo de Brasil.</w:t>
            </w:r>
          </w:p>
        </w:tc>
      </w:tr>
      <w:tr>
        <w:trPr>
          <w:cantSplit/>
        </w:trPr>
        <w:tc>
          <w:tcPr>
            <w:tcW w:type="dxa" w:w="576"/>
          </w:tcPr>
          <w:p>
            <w:pPr>
              <w:spacing w:after="0" w:before="0" w:line="240" w:lineRule="auto"/>
              <w:jc w:val="center"/>
            </w:pPr>
            <w:r/>
            <w:r>
              <w:rPr>
                <w:rFonts w:ascii="Calibri" w:hAnsi="Calibri"/>
                <w:b w:val="0"/>
                <w:sz w:val="18"/>
              </w:rPr>
              <w:t>4</w:t>
            </w:r>
          </w:p>
        </w:tc>
        <w:tc>
          <w:tcPr>
            <w:tcW w:type="dxa" w:w="2160"/>
          </w:tcPr>
          <w:p>
            <w:pPr>
              <w:spacing w:after="0" w:before="0" w:line="240" w:lineRule="auto"/>
              <w:jc w:val="left"/>
            </w:pPr>
            <w:r/>
            <w:r>
              <w:rPr>
                <w:rFonts w:ascii="Calibri" w:hAnsi="Calibri"/>
                <w:b w:val="0"/>
                <w:sz w:val="18"/>
              </w:rPr>
              <w:t>Inflación y tipo de cambio</w:t>
            </w:r>
          </w:p>
        </w:tc>
        <w:tc>
          <w:tcPr>
            <w:tcW w:type="dxa" w:w="720"/>
          </w:tcPr>
          <w:p>
            <w:pPr>
              <w:spacing w:after="0" w:before="0" w:line="240" w:lineRule="auto"/>
              <w:jc w:val="center"/>
            </w:pPr>
            <w:r/>
            <w:r>
              <w:rPr>
                <w:rFonts w:ascii="Calibri" w:hAnsi="Calibri"/>
                <w:b w:val="0"/>
                <w:sz w:val="18"/>
              </w:rPr>
              <w:t>0.65</w:t>
            </w:r>
          </w:p>
        </w:tc>
        <w:tc>
          <w:tcPr>
            <w:tcW w:type="dxa" w:w="6480"/>
          </w:tcPr>
          <w:p>
            <w:pPr>
              <w:spacing w:after="0" w:before="0" w:line="240" w:lineRule="auto"/>
              <w:jc w:val="left"/>
            </w:pPr>
            <w:r/>
            <w:r>
              <w:rPr>
                <w:rFonts w:ascii="Calibri" w:hAnsi="Calibri"/>
                <w:b w:val="0"/>
                <w:sz w:val="18"/>
              </w:rPr>
              <w:t>La trayectoria reportada por el Banco de México es consistente entre el informe trimestral y la encuesta de especialistas, pero depende de decisiones de política monetaria y del anclaje cambiario, que pueden revertirse en 2027.</w:t>
            </w:r>
          </w:p>
        </w:tc>
      </w:tr>
      <w:tr>
        <w:trPr>
          <w:cantSplit/>
        </w:trPr>
        <w:tc>
          <w:tcPr>
            <w:tcW w:type="dxa" w:w="576"/>
          </w:tcPr>
          <w:p>
            <w:pPr>
              <w:spacing w:after="0" w:before="0" w:line="240" w:lineRule="auto"/>
              <w:jc w:val="center"/>
            </w:pPr>
            <w:r/>
            <w:r>
              <w:rPr>
                <w:rFonts w:ascii="Calibri" w:hAnsi="Calibri"/>
                <w:b w:val="0"/>
                <w:sz w:val="18"/>
              </w:rPr>
              <w:t>5</w:t>
            </w:r>
          </w:p>
        </w:tc>
        <w:tc>
          <w:tcPr>
            <w:tcW w:type="dxa" w:w="2160"/>
          </w:tcPr>
          <w:p>
            <w:pPr>
              <w:spacing w:after="0" w:before="0" w:line="240" w:lineRule="auto"/>
              <w:jc w:val="left"/>
            </w:pPr>
            <w:r/>
            <w:r>
              <w:rPr>
                <w:rFonts w:ascii="Calibri" w:hAnsi="Calibri"/>
                <w:b w:val="0"/>
                <w:sz w:val="18"/>
              </w:rPr>
              <w:t>Consumo de carne</w:t>
            </w:r>
          </w:p>
        </w:tc>
        <w:tc>
          <w:tcPr>
            <w:tcW w:type="dxa" w:w="720"/>
          </w:tcPr>
          <w:p>
            <w:pPr>
              <w:spacing w:after="0" w:before="0" w:line="240" w:lineRule="auto"/>
              <w:jc w:val="center"/>
            </w:pPr>
            <w:r/>
            <w:r>
              <w:rPr>
                <w:rFonts w:ascii="Calibri" w:hAnsi="Calibri"/>
                <w:b w:val="0"/>
                <w:sz w:val="18"/>
              </w:rPr>
              <w:t>0.80</w:t>
            </w:r>
          </w:p>
        </w:tc>
        <w:tc>
          <w:tcPr>
            <w:tcW w:type="dxa" w:w="6480"/>
          </w:tcPr>
          <w:p>
            <w:pPr>
              <w:spacing w:after="0" w:before="0" w:line="240" w:lineRule="auto"/>
              <w:jc w:val="left"/>
            </w:pPr>
            <w:r/>
            <w:r>
              <w:rPr>
                <w:rFonts w:ascii="Calibri" w:hAnsi="Calibri"/>
                <w:b w:val="0"/>
                <w:sz w:val="18"/>
              </w:rPr>
              <w:t>El crecimiento lleva dos años documentados y la demanda nacional continúa por encima de la oferta interna, por lo que es razonable esperar que el nivel de consumo se mantenga en el horizonte analizado.</w:t>
            </w:r>
          </w:p>
        </w:tc>
      </w:tr>
      <w:tr>
        <w:trPr>
          <w:cantSplit/>
        </w:trPr>
        <w:tc>
          <w:tcPr>
            <w:tcW w:type="dxa" w:w="576"/>
          </w:tcPr>
          <w:p>
            <w:pPr>
              <w:spacing w:after="0" w:before="0" w:line="240" w:lineRule="auto"/>
              <w:jc w:val="center"/>
            </w:pPr>
            <w:r/>
            <w:r>
              <w:rPr>
                <w:rFonts w:ascii="Calibri" w:hAnsi="Calibri"/>
                <w:b w:val="0"/>
                <w:sz w:val="18"/>
              </w:rPr>
              <w:t>6</w:t>
            </w:r>
          </w:p>
        </w:tc>
        <w:tc>
          <w:tcPr>
            <w:tcW w:type="dxa" w:w="2160"/>
          </w:tcPr>
          <w:p>
            <w:pPr>
              <w:spacing w:after="0" w:before="0" w:line="240" w:lineRule="auto"/>
              <w:jc w:val="left"/>
            </w:pPr>
            <w:r/>
            <w:r>
              <w:rPr>
                <w:rFonts w:ascii="Calibri" w:hAnsi="Calibri"/>
                <w:b w:val="0"/>
                <w:sz w:val="18"/>
              </w:rPr>
              <w:t>Demografía de Hermosillo</w:t>
            </w:r>
          </w:p>
        </w:tc>
        <w:tc>
          <w:tcPr>
            <w:tcW w:type="dxa" w:w="720"/>
          </w:tcPr>
          <w:p>
            <w:pPr>
              <w:spacing w:after="0" w:before="0" w:line="240" w:lineRule="auto"/>
              <w:jc w:val="center"/>
            </w:pPr>
            <w:r/>
            <w:r>
              <w:rPr>
                <w:rFonts w:ascii="Calibri" w:hAnsi="Calibri"/>
                <w:b w:val="0"/>
                <w:sz w:val="18"/>
              </w:rPr>
              <w:t>0.85</w:t>
            </w:r>
          </w:p>
        </w:tc>
        <w:tc>
          <w:tcPr>
            <w:tcW w:type="dxa" w:w="6480"/>
          </w:tcPr>
          <w:p>
            <w:pPr>
              <w:spacing w:after="0" w:before="0" w:line="240" w:lineRule="auto"/>
              <w:jc w:val="left"/>
            </w:pPr>
            <w:r/>
            <w:r>
              <w:rPr>
                <w:rFonts w:ascii="Calibri" w:hAnsi="Calibri"/>
                <w:b w:val="0"/>
                <w:sz w:val="18"/>
              </w:rPr>
              <w:t>Se trata de un hecho censal ya medido por la Encuesta Intercensal 2025 y no de una proyección: la estructura de edad y el tamaño del mercado local difícilmente se revierten en dos años.</w:t>
            </w:r>
          </w:p>
        </w:tc>
      </w:tr>
      <w:tr>
        <w:trPr>
          <w:cantSplit/>
        </w:trPr>
        <w:tc>
          <w:tcPr>
            <w:tcW w:type="dxa" w:w="576"/>
          </w:tcPr>
          <w:p>
            <w:pPr>
              <w:spacing w:after="0" w:before="0" w:line="240" w:lineRule="auto"/>
              <w:jc w:val="center"/>
            </w:pPr>
            <w:r/>
            <w:r>
              <w:rPr>
                <w:rFonts w:ascii="Calibri" w:hAnsi="Calibri"/>
                <w:b w:val="0"/>
                <w:sz w:val="18"/>
              </w:rPr>
              <w:t>7</w:t>
            </w:r>
          </w:p>
        </w:tc>
        <w:tc>
          <w:tcPr>
            <w:tcW w:type="dxa" w:w="2160"/>
          </w:tcPr>
          <w:p>
            <w:pPr>
              <w:spacing w:after="0" w:before="0" w:line="240" w:lineRule="auto"/>
              <w:jc w:val="left"/>
            </w:pPr>
            <w:r/>
            <w:r>
              <w:rPr>
                <w:rFonts w:ascii="Calibri" w:hAnsi="Calibri"/>
                <w:b w:val="0"/>
                <w:sz w:val="18"/>
              </w:rPr>
              <w:t>E-commerce</w:t>
            </w:r>
          </w:p>
        </w:tc>
        <w:tc>
          <w:tcPr>
            <w:tcW w:type="dxa" w:w="720"/>
          </w:tcPr>
          <w:p>
            <w:pPr>
              <w:spacing w:after="0" w:before="0" w:line="240" w:lineRule="auto"/>
              <w:jc w:val="center"/>
            </w:pPr>
            <w:r/>
            <w:r>
              <w:rPr>
                <w:rFonts w:ascii="Calibri" w:hAnsi="Calibri"/>
                <w:b w:val="0"/>
                <w:sz w:val="18"/>
              </w:rPr>
              <w:t>0.60</w:t>
            </w:r>
          </w:p>
        </w:tc>
        <w:tc>
          <w:tcPr>
            <w:tcW w:type="dxa" w:w="6480"/>
          </w:tcPr>
          <w:p>
            <w:pPr>
              <w:spacing w:after="0" w:before="0" w:line="240" w:lineRule="auto"/>
              <w:jc w:val="left"/>
            </w:pPr>
            <w:r/>
            <w:r>
              <w:rPr>
                <w:rFonts w:ascii="Calibri" w:hAnsi="Calibri"/>
                <w:b w:val="0"/>
                <w:sz w:val="18"/>
              </w:rPr>
              <w:t>El canal crece a doble dígito a nivel nacional, pero la penetración de la despensa en línea sigue en 17.7 % y VCV no opera hoy ese canal, de modo que su aprovechamiento depende de una decisión propia de inversión.</w:t>
            </w:r>
          </w:p>
        </w:tc>
      </w:tr>
      <w:tr>
        <w:trPr>
          <w:cantSplit/>
        </w:trPr>
        <w:tc>
          <w:tcPr>
            <w:tcW w:type="dxa" w:w="576"/>
          </w:tcPr>
          <w:p>
            <w:pPr>
              <w:spacing w:after="0" w:before="0" w:line="240" w:lineRule="auto"/>
              <w:jc w:val="center"/>
            </w:pPr>
            <w:r/>
            <w:r>
              <w:rPr>
                <w:rFonts w:ascii="Calibri" w:hAnsi="Calibri"/>
                <w:b w:val="0"/>
                <w:sz w:val="18"/>
              </w:rPr>
              <w:t>8</w:t>
            </w:r>
          </w:p>
        </w:tc>
        <w:tc>
          <w:tcPr>
            <w:tcW w:type="dxa" w:w="2160"/>
          </w:tcPr>
          <w:p>
            <w:pPr>
              <w:spacing w:after="0" w:before="0" w:line="240" w:lineRule="auto"/>
              <w:jc w:val="left"/>
            </w:pPr>
            <w:r/>
            <w:r>
              <w:rPr>
                <w:rFonts w:ascii="Calibri" w:hAnsi="Calibri"/>
                <w:b w:val="0"/>
                <w:sz w:val="18"/>
              </w:rPr>
              <w:t>CoDi/SPEI</w:t>
            </w:r>
          </w:p>
        </w:tc>
        <w:tc>
          <w:tcPr>
            <w:tcW w:type="dxa" w:w="720"/>
          </w:tcPr>
          <w:p>
            <w:pPr>
              <w:spacing w:after="0" w:before="0" w:line="240" w:lineRule="auto"/>
              <w:jc w:val="center"/>
            </w:pPr>
            <w:r/>
            <w:r>
              <w:rPr>
                <w:rFonts w:ascii="Calibri" w:hAnsi="Calibri"/>
                <w:b w:val="0"/>
                <w:sz w:val="18"/>
              </w:rPr>
              <w:t>0.75</w:t>
            </w:r>
          </w:p>
        </w:tc>
        <w:tc>
          <w:tcPr>
            <w:tcW w:type="dxa" w:w="6480"/>
          </w:tcPr>
          <w:p>
            <w:pPr>
              <w:spacing w:after="0" w:before="0" w:line="240" w:lineRule="auto"/>
              <w:jc w:val="left"/>
            </w:pPr>
            <w:r/>
            <w:r>
              <w:rPr>
                <w:rFonts w:ascii="Calibri" w:hAnsi="Calibri"/>
                <w:b w:val="0"/>
                <w:sz w:val="18"/>
              </w:rPr>
              <w:t>La medida de Banco de México está publicada con vigencia desde diciembre de 2026 y no requiere inversión relevante; la única variable pendiente es la adopción por parte de los clientes de restaurante y distribuidor.</w:t>
            </w:r>
          </w:p>
        </w:tc>
      </w:tr>
      <w:tr>
        <w:trPr>
          <w:cantSplit/>
        </w:trPr>
        <w:tc>
          <w:tcPr>
            <w:tcW w:type="dxa" w:w="576"/>
          </w:tcPr>
          <w:p>
            <w:pPr>
              <w:spacing w:after="0" w:before="0" w:line="240" w:lineRule="auto"/>
              <w:jc w:val="center"/>
            </w:pPr>
            <w:r/>
            <w:r>
              <w:rPr>
                <w:rFonts w:ascii="Calibri" w:hAnsi="Calibri"/>
                <w:b w:val="0"/>
                <w:sz w:val="18"/>
              </w:rPr>
              <w:t>9</w:t>
            </w:r>
          </w:p>
        </w:tc>
        <w:tc>
          <w:tcPr>
            <w:tcW w:type="dxa" w:w="2160"/>
          </w:tcPr>
          <w:p>
            <w:pPr>
              <w:spacing w:after="0" w:before="0" w:line="240" w:lineRule="auto"/>
              <w:jc w:val="left"/>
            </w:pPr>
            <w:r/>
            <w:r>
              <w:rPr>
                <w:rFonts w:ascii="Calibri" w:hAnsi="Calibri"/>
                <w:b w:val="0"/>
                <w:sz w:val="18"/>
              </w:rPr>
              <w:t>Sequía</w:t>
            </w:r>
          </w:p>
        </w:tc>
        <w:tc>
          <w:tcPr>
            <w:tcW w:type="dxa" w:w="720"/>
          </w:tcPr>
          <w:p>
            <w:pPr>
              <w:spacing w:after="0" w:before="0" w:line="240" w:lineRule="auto"/>
              <w:jc w:val="center"/>
            </w:pPr>
            <w:r/>
            <w:r>
              <w:rPr>
                <w:rFonts w:ascii="Calibri" w:hAnsi="Calibri"/>
                <w:b w:val="0"/>
                <w:sz w:val="18"/>
              </w:rPr>
              <w:t>0.75</w:t>
            </w:r>
          </w:p>
        </w:tc>
        <w:tc>
          <w:tcPr>
            <w:tcW w:type="dxa" w:w="6480"/>
          </w:tcPr>
          <w:p>
            <w:pPr>
              <w:spacing w:after="0" w:before="0" w:line="240" w:lineRule="auto"/>
              <w:jc w:val="left"/>
            </w:pPr>
            <w:r/>
            <w:r>
              <w:rPr>
                <w:rFonts w:ascii="Calibri" w:hAnsi="Calibri"/>
                <w:b w:val="0"/>
                <w:sz w:val="18"/>
              </w:rPr>
              <w:t>El déficit de las presas sonorenses es estructural y se repite desde 2023, aunque las lluvias del huracán Polo revirtieron parcialmente el indicador, por lo que se asigna una probabilidad alta pero no cercana a uno.</w:t>
            </w:r>
          </w:p>
        </w:tc>
      </w:tr>
      <w:tr>
        <w:trPr>
          <w:cantSplit/>
        </w:trPr>
        <w:tc>
          <w:tcPr>
            <w:tcW w:type="dxa" w:w="576"/>
          </w:tcPr>
          <w:p>
            <w:pPr>
              <w:spacing w:after="0" w:before="0" w:line="240" w:lineRule="auto"/>
              <w:jc w:val="center"/>
            </w:pPr>
            <w:r/>
            <w:r>
              <w:rPr>
                <w:rFonts w:ascii="Calibri" w:hAnsi="Calibri"/>
                <w:b w:val="0"/>
                <w:sz w:val="18"/>
              </w:rPr>
              <w:t>10</w:t>
            </w:r>
          </w:p>
        </w:tc>
        <w:tc>
          <w:tcPr>
            <w:tcW w:type="dxa" w:w="2160"/>
          </w:tcPr>
          <w:p>
            <w:pPr>
              <w:spacing w:after="0" w:before="0" w:line="240" w:lineRule="auto"/>
              <w:jc w:val="left"/>
            </w:pPr>
            <w:r/>
            <w:r>
              <w:rPr>
                <w:rFonts w:ascii="Calibri" w:hAnsi="Calibri"/>
                <w:b w:val="0"/>
                <w:sz w:val="18"/>
              </w:rPr>
              <w:t>Barrenador</w:t>
            </w:r>
          </w:p>
        </w:tc>
        <w:tc>
          <w:tcPr>
            <w:tcW w:type="dxa" w:w="720"/>
          </w:tcPr>
          <w:p>
            <w:pPr>
              <w:spacing w:after="0" w:before="0" w:line="240" w:lineRule="auto"/>
              <w:jc w:val="center"/>
            </w:pPr>
            <w:r/>
            <w:r>
              <w:rPr>
                <w:rFonts w:ascii="Calibri" w:hAnsi="Calibri"/>
                <w:b w:val="0"/>
                <w:sz w:val="18"/>
              </w:rPr>
              <w:t>0.85</w:t>
            </w:r>
          </w:p>
        </w:tc>
        <w:tc>
          <w:tcPr>
            <w:tcW w:type="dxa" w:w="6480"/>
          </w:tcPr>
          <w:p>
            <w:pPr>
              <w:spacing w:after="0" w:before="0" w:line="240" w:lineRule="auto"/>
              <w:jc w:val="left"/>
            </w:pPr>
            <w:r/>
            <w:r>
              <w:rPr>
                <w:rFonts w:ascii="Calibri" w:hAnsi="Calibri"/>
                <w:b w:val="0"/>
                <w:sz w:val="18"/>
              </w:rPr>
              <w:t>El brote sigue activo con 870 focos abiertos y la planta de moscas estériles apenas se encuentra en aceleración, así que es previsible que el restrin ganadero acompañe a la empresa durante 2027.</w:t>
            </w:r>
          </w:p>
        </w:tc>
      </w:tr>
      <w:tr>
        <w:trPr>
          <w:cantSplit/>
        </w:trPr>
        <w:tc>
          <w:tcPr>
            <w:tcW w:type="dxa" w:w="576"/>
          </w:tcPr>
          <w:p>
            <w:pPr>
              <w:spacing w:after="0" w:before="0" w:line="240" w:lineRule="auto"/>
              <w:jc w:val="center"/>
            </w:pPr>
            <w:r/>
            <w:r>
              <w:rPr>
                <w:rFonts w:ascii="Calibri" w:hAnsi="Calibri"/>
                <w:b w:val="0"/>
                <w:sz w:val="18"/>
              </w:rPr>
              <w:t>11</w:t>
            </w:r>
          </w:p>
        </w:tc>
        <w:tc>
          <w:tcPr>
            <w:tcW w:type="dxa" w:w="2160"/>
          </w:tcPr>
          <w:p>
            <w:pPr>
              <w:spacing w:after="0" w:before="0" w:line="240" w:lineRule="auto"/>
              <w:jc w:val="left"/>
            </w:pPr>
            <w:r/>
            <w:r>
              <w:rPr>
                <w:rFonts w:ascii="Calibri" w:hAnsi="Calibri"/>
                <w:b w:val="0"/>
                <w:sz w:val="18"/>
              </w:rPr>
              <w:t>Jornada 46 h</w:t>
            </w:r>
          </w:p>
        </w:tc>
        <w:tc>
          <w:tcPr>
            <w:tcW w:type="dxa" w:w="720"/>
          </w:tcPr>
          <w:p>
            <w:pPr>
              <w:spacing w:after="0" w:before="0" w:line="240" w:lineRule="auto"/>
              <w:jc w:val="center"/>
            </w:pPr>
            <w:r/>
            <w:r>
              <w:rPr>
                <w:rFonts w:ascii="Calibri" w:hAnsi="Calibri"/>
                <w:b w:val="0"/>
                <w:sz w:val="18"/>
              </w:rPr>
              <w:t>0.92</w:t>
            </w:r>
          </w:p>
        </w:tc>
        <w:tc>
          <w:tcPr>
            <w:tcW w:type="dxa" w:w="6480"/>
          </w:tcPr>
          <w:p>
            <w:pPr>
              <w:spacing w:after="0" w:before="0" w:line="240" w:lineRule="auto"/>
              <w:jc w:val="left"/>
            </w:pPr>
            <w:r/>
            <w:r>
              <w:rPr>
                <w:rFonts w:ascii="Calibri" w:hAnsi="Calibri"/>
                <w:b w:val="0"/>
                <w:sz w:val="18"/>
              </w:rPr>
              <w:t>La obligación está publicada en el Diario Oficial desde el 1 de mayo de 2026 con un calendario forzoso por año; el único riesgo residual sería una prórroga legislativa, no la existencia de la reforma.</w:t>
            </w:r>
          </w:p>
        </w:tc>
      </w:tr>
      <w:tr>
        <w:trPr>
          <w:cantSplit/>
        </w:trPr>
        <w:tc>
          <w:tcPr>
            <w:tcW w:type="dxa" w:w="576"/>
          </w:tcPr>
          <w:p>
            <w:pPr>
              <w:spacing w:after="0" w:before="0" w:line="240" w:lineRule="auto"/>
              <w:jc w:val="center"/>
            </w:pPr>
            <w:r/>
            <w:r>
              <w:rPr>
                <w:rFonts w:ascii="Calibri" w:hAnsi="Calibri"/>
                <w:b w:val="0"/>
                <w:sz w:val="18"/>
              </w:rPr>
              <w:t>12</w:t>
            </w:r>
          </w:p>
        </w:tc>
        <w:tc>
          <w:tcPr>
            <w:tcW w:type="dxa" w:w="2160"/>
          </w:tcPr>
          <w:p>
            <w:pPr>
              <w:spacing w:after="0" w:before="0" w:line="240" w:lineRule="auto"/>
              <w:jc w:val="left"/>
            </w:pPr>
            <w:r/>
            <w:r>
              <w:rPr>
                <w:rFonts w:ascii="Calibri" w:hAnsi="Calibri"/>
                <w:b w:val="0"/>
                <w:sz w:val="18"/>
              </w:rPr>
              <w:t>NOM-051</w:t>
            </w:r>
          </w:p>
        </w:tc>
        <w:tc>
          <w:tcPr>
            <w:tcW w:type="dxa" w:w="720"/>
          </w:tcPr>
          <w:p>
            <w:pPr>
              <w:spacing w:after="0" w:before="0" w:line="240" w:lineRule="auto"/>
              <w:jc w:val="center"/>
            </w:pPr>
            <w:r/>
            <w:r>
              <w:rPr>
                <w:rFonts w:ascii="Calibri" w:hAnsi="Calibri"/>
                <w:b w:val="0"/>
                <w:sz w:val="18"/>
              </w:rPr>
              <w:t>0.55</w:t>
            </w:r>
          </w:p>
        </w:tc>
        <w:tc>
          <w:tcPr>
            <w:tcW w:type="dxa" w:w="6480"/>
          </w:tcPr>
          <w:p>
            <w:pPr>
              <w:spacing w:after="0" w:before="0" w:line="240" w:lineRule="auto"/>
              <w:jc w:val="left"/>
            </w:pPr>
            <w:r/>
            <w:r>
              <w:rPr>
                <w:rFonts w:ascii="Calibri" w:hAnsi="Calibri"/>
                <w:b w:val="0"/>
                <w:sz w:val="18"/>
              </w:rPr>
              <w:t>La fase III está vigente desde el 1 de enero de 2026, pero la carne fresca de un solo ingrediente queda fuera del etiquetado frontal: solo alcanza a la línea empacada al vacío y a los aderezos de la empresa.</w:t>
            </w:r>
          </w:p>
        </w:tc>
      </w:tr>
    </w:tbl>
    <w:p>
      <w:pPr>
        <w:keepNext/>
        <w:spacing w:before="200" w:after="80"/>
      </w:pPr>
      <w:r>
        <w:rPr>
          <w:rFonts w:ascii="Calibri" w:hAnsi="Calibri"/>
          <w:b/>
          <w:sz w:val="24"/>
        </w:rPr>
        <w:t>3. Priorización y decisiones</w:t>
      </w:r>
    </w:p>
    <w:p>
      <w:pPr>
        <w:spacing w:after="120" w:line="276" w:lineRule="auto"/>
        <w:jc w:val="both"/>
      </w:pPr>
      <w:r>
        <w:rPr>
          <w:rFonts w:ascii="Calibri" w:hAnsi="Calibri"/>
          <w:b w:val="0"/>
          <w:sz w:val="20"/>
        </w:rPr>
        <w:t>Los factores se ordenaron por impacto descendente. Los dos únicos impactos altos y el más alto de los medios concentran la presión sobre el costo del insumo, la capacidad de la planta y el abasto, por lo que definen la agenda de la microempresa en 2027-2028.</w:t>
      </w:r>
    </w:p>
    <w:tbl>
      <w:tblPr>
        <w:tblStyle w:val="TableGrid"/>
        <w:tblW w:type="dxa" w:w="9936"/>
        <w:jc w:val="center"/>
        <w:tblLayout w:type="fixed"/>
        <w:tblLook w:firstColumn="1" w:firstRow="1" w:lastColumn="0" w:lastRow="0" w:noHBand="0" w:noVBand="1" w:val="04A0"/>
      </w:tblPr>
      <w:tblGrid>
        <w:gridCol w:w="576"/>
        <w:gridCol w:w="2304"/>
        <w:gridCol w:w="864"/>
        <w:gridCol w:w="6192"/>
      </w:tblGrid>
      <w:tr>
        <w:trPr>
          <w:tblHeader w:val="true"/>
        </w:trPr>
        <w:tc>
          <w:tcPr>
            <w:tcW w:type="dxa" w:w="576"/>
            <w:shd w:val="clear" w:fill="D9E2F3"/>
          </w:tcPr>
          <w:p>
            <w:pPr>
              <w:spacing w:after="0" w:before="0" w:line="240" w:lineRule="auto"/>
              <w:jc w:val="center"/>
            </w:pPr>
            <w:r/>
            <w:r>
              <w:rPr>
                <w:rFonts w:ascii="Calibri" w:hAnsi="Calibri"/>
                <w:b/>
                <w:sz w:val="17"/>
              </w:rPr>
              <w:t>N.º</w:t>
            </w:r>
          </w:p>
        </w:tc>
        <w:tc>
          <w:tcPr>
            <w:tcW w:type="dxa" w:w="2304"/>
            <w:shd w:val="clear" w:fill="D9E2F3"/>
          </w:tcPr>
          <w:p>
            <w:pPr>
              <w:spacing w:after="0" w:before="0" w:line="240" w:lineRule="auto"/>
              <w:jc w:val="left"/>
            </w:pPr>
            <w:r/>
            <w:r>
              <w:rPr>
                <w:rFonts w:ascii="Calibri" w:hAnsi="Calibri"/>
                <w:b/>
                <w:sz w:val="17"/>
              </w:rPr>
              <w:t>Factor</w:t>
            </w:r>
          </w:p>
        </w:tc>
        <w:tc>
          <w:tcPr>
            <w:tcW w:type="dxa" w:w="864"/>
            <w:shd w:val="clear" w:fill="D9E2F3"/>
          </w:tcPr>
          <w:p>
            <w:pPr>
              <w:spacing w:after="0" w:before="0" w:line="240" w:lineRule="auto"/>
              <w:jc w:val="center"/>
            </w:pPr>
            <w:r/>
            <w:r>
              <w:rPr>
                <w:rFonts w:ascii="Calibri" w:hAnsi="Calibri"/>
                <w:b/>
                <w:sz w:val="17"/>
              </w:rPr>
              <w:t>Impacto</w:t>
            </w:r>
          </w:p>
        </w:tc>
        <w:tc>
          <w:tcPr>
            <w:tcW w:type="dxa" w:w="6192"/>
            <w:shd w:val="clear" w:fill="D9E2F3"/>
          </w:tcPr>
          <w:p>
            <w:pPr>
              <w:spacing w:after="0" w:before="0" w:line="240" w:lineRule="auto"/>
              <w:jc w:val="left"/>
            </w:pPr>
            <w:r/>
            <w:r>
              <w:rPr>
                <w:rFonts w:ascii="Calibri" w:hAnsi="Calibri"/>
                <w:b/>
                <w:sz w:val="17"/>
              </w:rPr>
              <w:t>Decisión propuesta</w:t>
            </w:r>
          </w:p>
        </w:tc>
      </w:tr>
      <w:tr>
        <w:trPr>
          <w:cantSplit/>
        </w:trPr>
        <w:tc>
          <w:tcPr>
            <w:tcW w:type="dxa" w:w="576"/>
          </w:tcPr>
          <w:p>
            <w:pPr>
              <w:spacing w:after="0" w:before="0" w:line="240" w:lineRule="auto"/>
              <w:jc w:val="center"/>
            </w:pPr>
            <w:r/>
            <w:r>
              <w:rPr>
                <w:rFonts w:ascii="Calibri" w:hAnsi="Calibri"/>
                <w:b w:val="0"/>
                <w:sz w:val="18"/>
              </w:rPr>
              <w:t>1</w:t>
            </w:r>
          </w:p>
        </w:tc>
        <w:tc>
          <w:tcPr>
            <w:tcW w:type="dxa" w:w="2304"/>
          </w:tcPr>
          <w:p>
            <w:pPr>
              <w:spacing w:after="0" w:before="0" w:line="240" w:lineRule="auto"/>
              <w:jc w:val="left"/>
            </w:pPr>
            <w:r/>
            <w:r>
              <w:rPr>
                <w:rFonts w:ascii="Calibri" w:hAnsi="Calibri"/>
                <w:b w:val="0"/>
                <w:sz w:val="18"/>
              </w:rPr>
              <w:t>Jornada de 46 horas semanales en 2027 (DOF, 2026)</w:t>
            </w:r>
          </w:p>
        </w:tc>
        <w:tc>
          <w:tcPr>
            <w:tcW w:type="dxa" w:w="864"/>
          </w:tcPr>
          <w:p>
            <w:pPr>
              <w:spacing w:after="0" w:before="0" w:line="240" w:lineRule="auto"/>
              <w:jc w:val="center"/>
            </w:pPr>
            <w:r/>
            <w:r>
              <w:rPr>
                <w:rFonts w:ascii="Calibri" w:hAnsi="Calibri"/>
                <w:b w:val="0"/>
                <w:sz w:val="18"/>
              </w:rPr>
              <w:t>2.76</w:t>
            </w:r>
          </w:p>
        </w:tc>
        <w:tc>
          <w:tcPr>
            <w:tcW w:type="dxa" w:w="6192"/>
          </w:tcPr>
          <w:p>
            <w:pPr>
              <w:spacing w:after="0" w:before="0" w:line="240" w:lineRule="auto"/>
              <w:jc w:val="left"/>
            </w:pPr>
            <w:r/>
            <w:r>
              <w:rPr>
                <w:rFonts w:ascii="Calibri" w:hAnsi="Calibri"/>
                <w:b w:val="0"/>
                <w:sz w:val="18"/>
              </w:rPr>
              <w:t>Reprogramar el ASADHOR para mantener los 5,184 kg/mes dentro del tope legal: cuatro jornadas de 8 h de lunes a viernes más un medio turno de 6 h del sábado (46 exactas), con un operario de medio tiempo ($11,000/mes) en lugar de horas extra y anexos de horario firmados. Pilotos en el 4T-2026; operación plena el 1-febrero-2027.</w:t>
            </w:r>
          </w:p>
        </w:tc>
      </w:tr>
      <w:tr>
        <w:trPr>
          <w:cantSplit/>
        </w:trPr>
        <w:tc>
          <w:tcPr>
            <w:tcW w:type="dxa" w:w="576"/>
          </w:tcPr>
          <w:p>
            <w:pPr>
              <w:spacing w:after="0" w:before="0" w:line="240" w:lineRule="auto"/>
              <w:jc w:val="center"/>
            </w:pPr>
            <w:r/>
            <w:r>
              <w:rPr>
                <w:rFonts w:ascii="Calibri" w:hAnsi="Calibri"/>
                <w:b w:val="0"/>
                <w:sz w:val="18"/>
              </w:rPr>
              <w:t>2</w:t>
            </w:r>
          </w:p>
        </w:tc>
        <w:tc>
          <w:tcPr>
            <w:tcW w:type="dxa" w:w="2304"/>
          </w:tcPr>
          <w:p>
            <w:pPr>
              <w:spacing w:after="0" w:before="0" w:line="240" w:lineRule="auto"/>
              <w:jc w:val="left"/>
            </w:pPr>
            <w:r/>
            <w:r>
              <w:rPr>
                <w:rFonts w:ascii="Calibri" w:hAnsi="Calibri"/>
                <w:b w:val="0"/>
                <w:sz w:val="18"/>
              </w:rPr>
              <w:t>Alza del precio de la res: $139 a $167/kg (El Economista, 2026)</w:t>
            </w:r>
          </w:p>
        </w:tc>
        <w:tc>
          <w:tcPr>
            <w:tcW w:type="dxa" w:w="864"/>
          </w:tcPr>
          <w:p>
            <w:pPr>
              <w:spacing w:after="0" w:before="0" w:line="240" w:lineRule="auto"/>
              <w:jc w:val="center"/>
            </w:pPr>
            <w:r/>
            <w:r>
              <w:rPr>
                <w:rFonts w:ascii="Calibri" w:hAnsi="Calibri"/>
                <w:b w:val="0"/>
                <w:sz w:val="18"/>
              </w:rPr>
              <w:t>2.64</w:t>
            </w:r>
          </w:p>
        </w:tc>
        <w:tc>
          <w:tcPr>
            <w:tcW w:type="dxa" w:w="6192"/>
          </w:tcPr>
          <w:p>
            <w:pPr>
              <w:spacing w:after="0" w:before="0" w:line="240" w:lineRule="auto"/>
              <w:jc w:val="left"/>
            </w:pPr>
            <w:r/>
            <w:r>
              <w:rPr>
                <w:rFonts w:ascii="Calibri" w:hAnsi="Calibri"/>
                <w:b w:val="0"/>
                <w:sz w:val="18"/>
              </w:rPr>
              <w:t>Blindar el insumo que es ~75 % del costo: acuerdo trimestral de precio fijo con Núñez Carnes por 3,000 kg/mes con tope de 8 %, homologar a Premium Carnes con 1,500 kg/mes y sustituir la lista anual por tarifa semestral atada al precio medio de COMECARNE (ene/jul), con 60 % de anticipo a restaurantes. Firmar en noviembre-diciembre de 2026.</w:t>
            </w:r>
          </w:p>
        </w:tc>
      </w:tr>
      <w:tr>
        <w:trPr>
          <w:cantSplit/>
        </w:trPr>
        <w:tc>
          <w:tcPr>
            <w:tcW w:type="dxa" w:w="576"/>
          </w:tcPr>
          <w:p>
            <w:pPr>
              <w:spacing w:after="0" w:before="0" w:line="240" w:lineRule="auto"/>
              <w:jc w:val="center"/>
            </w:pPr>
            <w:r/>
            <w:r>
              <w:rPr>
                <w:rFonts w:ascii="Calibri" w:hAnsi="Calibri"/>
                <w:b w:val="0"/>
                <w:sz w:val="18"/>
              </w:rPr>
              <w:t>3</w:t>
            </w:r>
          </w:p>
        </w:tc>
        <w:tc>
          <w:tcPr>
            <w:tcW w:type="dxa" w:w="2304"/>
          </w:tcPr>
          <w:p>
            <w:pPr>
              <w:spacing w:after="0" w:before="0" w:line="240" w:lineRule="auto"/>
              <w:jc w:val="left"/>
            </w:pPr>
            <w:r/>
            <w:r>
              <w:rPr>
                <w:rFonts w:ascii="Calibri" w:hAnsi="Calibri"/>
                <w:b w:val="0"/>
                <w:sz w:val="18"/>
              </w:rPr>
              <w:t>Estrés hídrico de Sonora: presas al 13.2 % (Milenio, 2025)</w:t>
            </w:r>
          </w:p>
        </w:tc>
        <w:tc>
          <w:tcPr>
            <w:tcW w:type="dxa" w:w="864"/>
          </w:tcPr>
          <w:p>
            <w:pPr>
              <w:spacing w:after="0" w:before="0" w:line="240" w:lineRule="auto"/>
              <w:jc w:val="center"/>
            </w:pPr>
            <w:r/>
            <w:r>
              <w:rPr>
                <w:rFonts w:ascii="Calibri" w:hAnsi="Calibri"/>
                <w:b w:val="0"/>
                <w:sz w:val="18"/>
              </w:rPr>
              <w:t>2.25</w:t>
            </w:r>
          </w:p>
        </w:tc>
        <w:tc>
          <w:tcPr>
            <w:tcW w:type="dxa" w:w="6192"/>
          </w:tcPr>
          <w:p>
            <w:pPr>
              <w:spacing w:after="0" w:before="0" w:line="240" w:lineRule="auto"/>
              <w:jc w:val="left"/>
            </w:pPr>
            <w:r/>
            <w:r>
              <w:rPr>
                <w:rFonts w:ascii="Calibri" w:hAnsi="Calibri"/>
                <w:b w:val="0"/>
                <w:sz w:val="18"/>
              </w:rPr>
              <w:t>Calificar un segundo origen de canales fuera de la cuenca del Yaqui (Sinaloa o Chihuahua) por 800 kg/mes y mover 25 % de la mezcla del Rib-Eye hacia cortes económicos (diezmillo, asado de paleta) en paquetes familiares de 400 g. Decidir la compra antes del 30-junio-2027 y relanzar la línea económica en el 3T-2027.</w:t>
            </w:r>
          </w:p>
        </w:tc>
      </w:tr>
    </w:tbl>
    <w:p>
      <w:pPr>
        <w:spacing w:after="160" w:line="276" w:lineRule="auto"/>
        <w:jc w:val="both"/>
      </w:pPr>
      <w:r>
        <w:rPr>
          <w:rFonts w:ascii="Calibri" w:hAnsi="Calibri"/>
          <w:b w:val="0"/>
          <w:sz w:val="17"/>
        </w:rPr>
        <w:t>Tabla 2. Top-3 de factores y decisiones. Las tres son ejecutables con un solo ASADHOR, 5-7 puestos y dos proveedores ya identificados en el plan de negocios; no requieren abrir sucursales ni endeudamiento mayor.</w:t>
      </w:r>
    </w:p>
    <w:p>
      <w:pPr>
        <w:spacing w:after="120" w:line="276" w:lineRule="auto"/>
        <w:jc w:val="both"/>
      </w:pPr>
      <w:r>
        <w:rPr>
          <w:rFonts w:ascii="Calibri" w:hAnsi="Calibri"/>
          <w:b w:val="0"/>
          <w:sz w:val="22"/>
        </w:rPr>
        <w:t>Las tres decisiones comparten un mismo criterio: atacar el factor y no el síntoma. La jornada de 46 horas no se atiende reduciendo producción, sino rediseñando el calendario para conservar los 5,184 kg/mes dentro del tope legal; el precio de la res no se traslada de inmediato al cliente, sino que se cubre con precio fijo, segunda fuente y tarifa indexada; y la sequía no se espera, se anticipa con un origen fuera de la cuenca del Yaqui y una mezcla de producto menos expuesta al corte ancla. El orden no cambia el diagnóstico: los tres factores golpean en 2027, por lo que las acciones se programan entre el cuarto trimestre de 2026 y el tercer trimestre de 2027.</w:t>
      </w:r>
    </w:p>
    <w:p>
      <w:pPr>
        <w:keepNext/>
        <w:spacing w:before="200" w:after="80"/>
      </w:pPr>
      <w:r>
        <w:rPr>
          <w:rFonts w:ascii="Calibri" w:hAnsi="Calibri"/>
          <w:b/>
          <w:sz w:val="24"/>
        </w:rPr>
        <w:t>4. Conclusión</w:t>
      </w:r>
    </w:p>
    <w:p>
      <w:pPr>
        <w:spacing w:after="120" w:line="276" w:lineRule="auto"/>
        <w:jc w:val="both"/>
      </w:pPr>
      <w:r>
        <w:rPr>
          <w:rFonts w:ascii="Calibri" w:hAnsi="Calibri"/>
          <w:b w:val="0"/>
          <w:sz w:val="22"/>
        </w:rPr>
        <w:t>El entorno 2027-2028 es desfavorable para VCV Cortes Finos, con ventanas de oportunidad reales. De los doce factores, seis son amenazas y seis oportunidades, pero el peso se concentra en las amenazas: los dos únicos impactos altos, la jornada de 46 horas desde 2027 (2.76) y el encarecimiento de la res de 139 a 167 pesos por kilo (2.64), junto con los medios de sequía (2.25), gusano barrenador (2.13) y extorsión (2.10), suman 12.71 puntos frente a 8.86 de las oportunidades, ninguna de las cuales supera 2.00. La presión recae de forma simultánea sobre el costo, que es 75 por ciento del producto, sobre la capacidad de 5,184 kilos mensuales y sobre la logística de frío. La implicación estratégica principal es que VCV no debe crecer por volumen: necesita proteger margen y asegurar suministro antes de escalar el canal digital.</w:t>
      </w:r>
    </w:p>
    <w:p>
      <w:pPr>
        <w:spacing w:after="0" w:line="276" w:lineRule="auto"/>
        <w:jc w:val="right"/>
      </w:pPr>
      <w:r>
        <w:rPr>
          <w:rFonts w:ascii="Calibri" w:hAnsi="Calibri"/>
          <w:b w:val="0"/>
          <w:sz w:val="18"/>
        </w:rPr>
        <w:t>(140 palabras)</w:t>
      </w:r>
    </w:p>
    <w:p>
      <w:r>
        <w:br w:type="page"/>
      </w:r>
    </w:p>
    <w:p>
      <w:pPr>
        <w:keepNext/>
        <w:spacing w:before="200" w:after="80"/>
      </w:pPr>
      <w:r>
        <w:rPr>
          <w:rFonts w:ascii="Calibri" w:hAnsi="Calibri"/>
          <w:b/>
          <w:sz w:val="24"/>
        </w:rPr>
        <w:t>5. Fuentes</w:t>
      </w:r>
    </w:p>
    <w:p>
      <w:pPr>
        <w:spacing w:after="80" w:line="276" w:lineRule="auto"/>
        <w:ind w:left="720" w:hanging="720"/>
        <w:jc w:val="left"/>
      </w:pPr>
      <w:r>
        <w:rPr>
          <w:rFonts w:ascii="Calibri" w:hAnsi="Calibri"/>
          <w:b w:val="0"/>
          <w:sz w:val="20"/>
        </w:rPr>
        <w:t>Asociación Mexicana de Ventas Online. (2026). Estudio de Venta Online 2026. https://amvo.org.mx/descarga-evo-2026</w:t>
      </w:r>
    </w:p>
    <w:p>
      <w:pPr>
        <w:spacing w:after="80" w:line="276" w:lineRule="auto"/>
        <w:ind w:left="720" w:hanging="720"/>
        <w:jc w:val="left"/>
      </w:pPr>
      <w:r>
        <w:rPr>
          <w:rFonts w:ascii="Calibri" w:hAnsi="Calibri"/>
          <w:b w:val="0"/>
          <w:sz w:val="20"/>
        </w:rPr>
        <w:t>Banco de México. (2026). Informe trimestral abril-junio 2026. https://www.banxico.org.mx/publicaciones-y-prensa/resumenes-visuales/informe-trimestral-html/informe-trimestral-abr-jun-00005.html</w:t>
      </w:r>
    </w:p>
    <w:p>
      <w:pPr>
        <w:spacing w:after="80" w:line="276" w:lineRule="auto"/>
        <w:ind w:left="720" w:hanging="720"/>
        <w:jc w:val="left"/>
      </w:pPr>
      <w:r>
        <w:rPr>
          <w:rFonts w:ascii="Calibri" w:hAnsi="Calibri"/>
          <w:b w:val="0"/>
          <w:sz w:val="20"/>
        </w:rPr>
        <w:t>BM Editores. (2026). Propuestas del sector cárnico para optimizar el T-MEC. https://bmeditores.mx/entorno-pecuario/propuestas-del-sector-carnico-para-optimizar-el-t-mec/</w:t>
      </w:r>
    </w:p>
    <w:p>
      <w:pPr>
        <w:spacing w:after="80" w:line="276" w:lineRule="auto"/>
        <w:ind w:left="720" w:hanging="720"/>
        <w:jc w:val="left"/>
      </w:pPr>
      <w:r>
        <w:rPr>
          <w:rFonts w:ascii="Calibri" w:hAnsi="Calibri"/>
          <w:b w:val="0"/>
          <w:sz w:val="20"/>
        </w:rPr>
        <w:t>Consejo Mexicano de la Carne. (2026). Compendio estadístico 2026. https://comecarne.org/compendio26</w:t>
      </w:r>
    </w:p>
    <w:p>
      <w:pPr>
        <w:spacing w:after="80" w:line="276" w:lineRule="auto"/>
        <w:ind w:left="720" w:hanging="720"/>
        <w:jc w:val="left"/>
      </w:pPr>
      <w:r>
        <w:rPr>
          <w:rFonts w:ascii="Calibri" w:hAnsi="Calibri"/>
          <w:b w:val="0"/>
          <w:sz w:val="20"/>
        </w:rPr>
        <w:t>Diario Oficial de la Federación. (2026, 1 de mayo). Decreto por el que se reforman los artículos 59, 61, 66, 68, 69 y 71 de la Ley Federal del Trabajo, en materia de reducción de la jornada laboral. https://dof.gob.mx/nota_detalle.php?codigo=5786537&amp;fecha=01/05/2026</w:t>
      </w:r>
    </w:p>
    <w:p>
      <w:pPr>
        <w:spacing w:after="80" w:line="276" w:lineRule="auto"/>
        <w:ind w:left="720" w:hanging="720"/>
        <w:jc w:val="left"/>
      </w:pPr>
      <w:r>
        <w:rPr>
          <w:rFonts w:ascii="Calibri" w:hAnsi="Calibri"/>
          <w:b w:val="0"/>
          <w:sz w:val="20"/>
        </w:rPr>
        <w:t>El Economista. (2026, 19 de febrero). Precio de la carne se dispara 16.5 % en enero; seguirá afectando el bolsillo del consumidor. https://www.eleconomista.com.mx/empresas/precio-carne-dispara-16-5-enero-seguira-afectando-bolsillo-consumidor-20260219-800697.html</w:t>
      </w:r>
    </w:p>
    <w:p>
      <w:pPr>
        <w:spacing w:after="80" w:line="276" w:lineRule="auto"/>
        <w:ind w:left="720" w:hanging="720"/>
        <w:jc w:val="left"/>
      </w:pPr>
      <w:r>
        <w:rPr>
          <w:rFonts w:ascii="Calibri" w:hAnsi="Calibri"/>
          <w:b w:val="0"/>
          <w:sz w:val="20"/>
        </w:rPr>
        <w:t>El Economista. (2026, 24 de septiembre). Pagos digitales: nuevo impulso a CoDi, cuentas de mayor monto desde diciembre. https://www.eleconomista.com.mx/sectorfinanciero/pagos-digitales-nuevo-impulso-codi-cuentas-mayor-monto-diciembre-20260924-835183.html</w:t>
      </w:r>
    </w:p>
    <w:p>
      <w:pPr>
        <w:spacing w:after="80" w:line="276" w:lineRule="auto"/>
        <w:ind w:left="720" w:hanging="720"/>
        <w:jc w:val="left"/>
      </w:pPr>
      <w:r>
        <w:rPr>
          <w:rFonts w:ascii="Calibri" w:hAnsi="Calibri"/>
          <w:b w:val="0"/>
          <w:sz w:val="20"/>
        </w:rPr>
        <w:t>El Financiero. (2026, 9 de enero). Inflación en México se desacelera a 3.69 % al cierre de 2025. https://www.elfinanciero.com.mx/economia/2026/01/09/inflacion-en-mexico-se-desacelera-a-369-al-cierre-de-2025/</w:t>
      </w:r>
    </w:p>
    <w:p>
      <w:pPr>
        <w:spacing w:after="80" w:line="276" w:lineRule="auto"/>
        <w:ind w:left="720" w:hanging="720"/>
        <w:jc w:val="left"/>
      </w:pPr>
      <w:r>
        <w:rPr>
          <w:rFonts w:ascii="Calibri" w:hAnsi="Calibri"/>
          <w:b w:val="0"/>
          <w:sz w:val="20"/>
        </w:rPr>
        <w:t>El Imparcial. (2026, 23 de enero). México acumula más de 14 mil casos de gusano barrenador del ganado y 870 focos activos. https://www.elimparcial.com/mexico/2026/01/23/mexico-acumula-mas-de-14-mil-casos-de-gusano-barrenador-del-ganado-y-870-focos-activos-senasica-acelera-una-planta-de-moscas-esteriles-en-chiapas-mientras-el-cierre-con-estados-unidos-impacta-al-sector/</w:t>
      </w:r>
    </w:p>
    <w:p>
      <w:pPr>
        <w:spacing w:after="80" w:line="276" w:lineRule="auto"/>
        <w:ind w:left="720" w:hanging="720"/>
        <w:jc w:val="left"/>
      </w:pPr>
      <w:r>
        <w:rPr>
          <w:rFonts w:ascii="Calibri" w:hAnsi="Calibri"/>
          <w:b w:val="0"/>
          <w:sz w:val="20"/>
        </w:rPr>
        <w:t>El País México. (2026, 1 de julio). México se juega su ventaja comercial en la revisión del T-MEC ante la renovada ofensiva de Trump. https://elpais.com/mexico/2026-07-01/mexico-se-juega-su-ventaja-comercial-en-la-revision-del-tmec-ante-la-renovada-ofensiva-de-trump.html</w:t>
      </w:r>
    </w:p>
    <w:p>
      <w:pPr>
        <w:spacing w:after="80" w:line="276" w:lineRule="auto"/>
        <w:ind w:left="720" w:hanging="720"/>
        <w:jc w:val="left"/>
      </w:pPr>
      <w:r>
        <w:rPr>
          <w:rFonts w:ascii="Calibri" w:hAnsi="Calibri"/>
          <w:b w:val="0"/>
          <w:sz w:val="20"/>
        </w:rPr>
        <w:t>Expreso. (2026). Sonora supera 3 millones de habitantes y envejece su población. https://www.expreso.com.mx/noticias/sonora/sonora-supera-3-millones-de-habitantes-y-envejece-su-poblacion/264995</w:t>
      </w:r>
    </w:p>
    <w:p>
      <w:pPr>
        <w:spacing w:after="80" w:line="276" w:lineRule="auto"/>
        <w:ind w:left="720" w:hanging="720"/>
        <w:jc w:val="left"/>
      </w:pPr>
      <w:r>
        <w:rPr>
          <w:rFonts w:ascii="Calibri" w:hAnsi="Calibri"/>
          <w:b w:val="0"/>
          <w:sz w:val="20"/>
        </w:rPr>
        <w:t>Forbes México. (2025). Precio de la carne de res ha subido más que el salario mínimo. https://forbes.com.mx/precio-de-la-carne-de-res-ha-subido-mas-que-el-salario-minimo-empresas/</w:t>
      </w:r>
    </w:p>
    <w:p>
      <w:pPr>
        <w:spacing w:after="80" w:line="276" w:lineRule="auto"/>
        <w:ind w:left="720" w:hanging="720"/>
        <w:jc w:val="left"/>
      </w:pPr>
      <w:r>
        <w:rPr>
          <w:rFonts w:ascii="Calibri" w:hAnsi="Calibri"/>
          <w:b w:val="0"/>
          <w:sz w:val="20"/>
        </w:rPr>
        <w:t>Infobae. (2026, 23 de septiembre). La extorsión ya condiciona decisiones de empresas: Coparmex reporta máximo de casos en 2026. https://www.infobae.com/mexico/2026/09/23/la-extorsion-ya-condiciona-decisiones-de-empresas-coparmex-reporta-record-de-casos-en-2026/</w:t>
      </w:r>
    </w:p>
    <w:p>
      <w:pPr>
        <w:spacing w:after="80" w:line="276" w:lineRule="auto"/>
        <w:ind w:left="720" w:hanging="720"/>
        <w:jc w:val="left"/>
      </w:pPr>
      <w:r>
        <w:rPr>
          <w:rFonts w:ascii="Calibri" w:hAnsi="Calibri"/>
          <w:b w:val="0"/>
          <w:sz w:val="20"/>
        </w:rPr>
        <w:t>Instituto Nacional de Estadística y Geografía. (2026). Encuesta Intercensal 2025: principales resultados por entidad (Boletín EIC2025). https://www.inegi.org.mx/contenidos/saladeprensa/boletines/2026/ei/EIC2025-def_RR.pdf</w:t>
      </w:r>
    </w:p>
    <w:p>
      <w:pPr>
        <w:spacing w:after="80" w:line="276" w:lineRule="auto"/>
        <w:ind w:left="720" w:hanging="720"/>
        <w:jc w:val="left"/>
      </w:pPr>
      <w:r>
        <w:rPr>
          <w:rFonts w:ascii="Calibri" w:hAnsi="Calibri"/>
          <w:b w:val="0"/>
          <w:sz w:val="20"/>
        </w:rPr>
        <w:t>López, A. (2025). Sequía y cierre fronterizo golpea a sector ganadero en Sonora. Milenio. https://www.milenio.com/estados/sequia-cierre-fronterizo-golpea-sector-ganadero-sonora</w:t>
      </w:r>
    </w:p>
    <w:p>
      <w:pPr>
        <w:spacing w:after="80" w:line="276" w:lineRule="auto"/>
        <w:ind w:left="720" w:hanging="720"/>
        <w:jc w:val="left"/>
      </w:pPr>
      <w:r>
        <w:rPr>
          <w:rFonts w:ascii="Calibri" w:hAnsi="Calibri"/>
          <w:b w:val="0"/>
          <w:sz w:val="20"/>
        </w:rPr>
        <w:t>Secretaría de Economía y Secretaría de Salud. (2025, 9 de mayo). Amplían plazo de implementación sobre etiquetado nutrimental (NOM-051). https://www.gob.mx/se/prensa/secretaria-de-economia-y-la-secretaria-de-salud-amplian-plazo-de-implementacion-sobre-etiquetado-nutrimental?idiom=es-MX</w:t>
      </w:r>
    </w:p>
    <w:sectPr w:rsidR="00FC693F" w:rsidRPr="0006063C" w:rsidSect="00034616">
      <w:footerReference w:type="default" r:id="rId9"/>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