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21352" w:rsidRDefault="00A96A25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21352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21352" w:rsidRDefault="00C7093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21352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F35D23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9319" w:history="1">
            <w:r w:rsidR="00F35D23" w:rsidRPr="001119D1">
              <w:rPr>
                <w:rStyle w:val="Hipervnculo"/>
                <w:noProof/>
              </w:rPr>
              <w:t>Descripción de empresa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_Toc241259319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2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0" w:history="1">
            <w:r w:rsidR="00F35D23" w:rsidRPr="001119D1">
              <w:rPr>
                <w:rStyle w:val="Hipervnculo"/>
                <w:noProof/>
              </w:rPr>
              <w:t>Presentación del logotipo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_Toc241259320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3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1" w:history="1">
            <w:r w:rsidR="00F35D23" w:rsidRPr="001119D1">
              <w:rPr>
                <w:rStyle w:val="Hipervnculo"/>
                <w:noProof/>
              </w:rPr>
              <w:t>Logotipo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_Toc241259321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3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2" w:history="1">
            <w:r w:rsidR="00F35D23" w:rsidRPr="001119D1">
              <w:rPr>
                <w:rStyle w:val="Hipervnculo"/>
                <w:noProof/>
              </w:rPr>
              <w:t>Isotipo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_Toc241259322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3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3" w:history="1">
            <w:r w:rsidR="00F35D23" w:rsidRPr="001119D1">
              <w:rPr>
                <w:rStyle w:val="Hipervnculo"/>
                <w:noProof/>
              </w:rPr>
              <w:t>Imagotipo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_Toc241259323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4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4" w:history="1">
            <w:r w:rsidR="00F35D23" w:rsidRPr="001119D1">
              <w:rPr>
                <w:rStyle w:val="Hipervnculo"/>
                <w:noProof/>
              </w:rPr>
              <w:t>Isologotipo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_Toc241259324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4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5" w:history="1">
            <w:r w:rsidR="00F35D23" w:rsidRPr="001119D1">
              <w:rPr>
                <w:rStyle w:val="Hipervnculo"/>
                <w:noProof/>
              </w:rPr>
              <w:t>Teoría de color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_Toc241259325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5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6" w:history="1">
            <w:r w:rsidR="00F35D23" w:rsidRPr="001119D1">
              <w:rPr>
                <w:rStyle w:val="Hipervnculo"/>
                <w:noProof/>
              </w:rPr>
              <w:t>Estructura y composición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_Toc241259326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7" w:history="1">
            <w:r w:rsidR="00F35D23" w:rsidRPr="001119D1">
              <w:rPr>
                <w:rStyle w:val="Hipervnculo"/>
                <w:noProof/>
              </w:rPr>
              <w:t>Área de protección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_Toc241259327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8" w:history="1">
            <w:r w:rsidR="00F35D23" w:rsidRPr="001119D1">
              <w:rPr>
                <w:rStyle w:val="Hipervnculo"/>
                <w:noProof/>
              </w:rPr>
              <w:t>Tipografías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_Toc241259328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9" w:history="1">
            <w:r w:rsidR="00F35D23" w:rsidRPr="001119D1">
              <w:rPr>
                <w:rStyle w:val="Hipervnculo"/>
                <w:noProof/>
              </w:rPr>
              <w:t>Principales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_Toc241259329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0" w:history="1">
            <w:r w:rsidR="00F35D23" w:rsidRPr="001119D1">
              <w:rPr>
                <w:rStyle w:val="Hipervnculo"/>
                <w:noProof/>
              </w:rPr>
              <w:t>Secundarias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_Toc241259330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1" w:history="1">
            <w:r w:rsidR="00F35D23" w:rsidRPr="001119D1">
              <w:rPr>
                <w:rStyle w:val="Hipervnculo"/>
                <w:noProof/>
              </w:rPr>
              <w:t>Colores institucionales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_Toc241259331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2" w:history="1">
            <w:r w:rsidR="00F35D23" w:rsidRPr="001119D1">
              <w:rPr>
                <w:rStyle w:val="Hipervnculo"/>
                <w:noProof/>
              </w:rPr>
              <w:t>Colores secundarios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_Toc241259332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3" w:history="1">
            <w:r w:rsidR="00F35D23" w:rsidRPr="001119D1">
              <w:rPr>
                <w:rStyle w:val="Hipervnculo"/>
                <w:noProof/>
              </w:rPr>
              <w:t>Colores complementarios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_Toc241259333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6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4" w:history="1">
            <w:r w:rsidR="00F35D23" w:rsidRPr="001119D1">
              <w:rPr>
                <w:rStyle w:val="Hipervnculo"/>
                <w:noProof/>
              </w:rPr>
              <w:t>Positivos y negativos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_Toc241259334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7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5" w:history="1">
            <w:r w:rsidR="00F35D23" w:rsidRPr="001119D1">
              <w:rPr>
                <w:rStyle w:val="Hipervnculo"/>
                <w:noProof/>
              </w:rPr>
              <w:t>B/N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_Toc241259335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7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6" w:history="1">
            <w:r w:rsidR="00F35D23" w:rsidRPr="001119D1">
              <w:rPr>
                <w:rStyle w:val="Hipervnculo"/>
                <w:noProof/>
              </w:rPr>
              <w:t>Color positivo/Color negativo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_Toc241259336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7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7" w:history="1">
            <w:r w:rsidR="00F35D23" w:rsidRPr="001119D1">
              <w:rPr>
                <w:rStyle w:val="Hipervnculo"/>
                <w:noProof/>
              </w:rPr>
              <w:t>Otra tonalidad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_Toc241259337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7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A96A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8" w:history="1">
            <w:r w:rsidR="00F35D23" w:rsidRPr="001119D1">
              <w:rPr>
                <w:rStyle w:val="Hipervnculo"/>
                <w:noProof/>
              </w:rPr>
              <w:t>Bibliografía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_Toc241259338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8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259319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4DE7CAAF" wp14:editId="50578BAB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259320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259321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4995EEC5" wp14:editId="17F5D8A1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259322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4D8462E4" wp14:editId="6AD2ACD4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259323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3E0ACC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259324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2F3D1F5A" wp14:editId="56E88D8B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5D411B" w:rsidRDefault="005D411B" w:rsidP="00BC2C04">
      <w:pPr>
        <w:pStyle w:val="Ttulo2"/>
      </w:pPr>
      <w:bookmarkStart w:id="6" w:name="_Toc241259325"/>
      <w:r>
        <w:lastRenderedPageBreak/>
        <w:t>Teoría de color</w:t>
      </w:r>
      <w:bookmarkEnd w:id="6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5D411B">
      <w:r w:rsidRPr="007C6AA1">
        <w:rPr>
          <w:noProof/>
          <w:lang w:eastAsia="es-ES"/>
        </w:rPr>
        <w:drawing>
          <wp:inline distT="0" distB="0" distL="0" distR="0" wp14:anchorId="328B0322" wp14:editId="1A040FF0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 w:rsidP="005D411B"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>
      <w:r>
        <w:br w:type="page"/>
      </w:r>
    </w:p>
    <w:p w:rsidR="00BC2C04" w:rsidRDefault="00BC2C04" w:rsidP="00BC2C04">
      <w:pPr>
        <w:pStyle w:val="Ttulo1"/>
      </w:pPr>
      <w:bookmarkStart w:id="7" w:name="_Toc241259326"/>
      <w:r>
        <w:lastRenderedPageBreak/>
        <w:t>Estructura y composición</w:t>
      </w:r>
      <w:bookmarkEnd w:id="7"/>
    </w:p>
    <w:p w:rsidR="00BC2C04" w:rsidRDefault="00BC2C04" w:rsidP="00BC2C04">
      <w:pPr>
        <w:pStyle w:val="Ttulo1"/>
      </w:pPr>
      <w:bookmarkStart w:id="8" w:name="_Toc241259327"/>
      <w:r>
        <w:t>Área de protección</w:t>
      </w:r>
      <w:bookmarkEnd w:id="8"/>
    </w:p>
    <w:p w:rsidR="00BC2C04" w:rsidRDefault="00BC2C04" w:rsidP="00BC2C04">
      <w:pPr>
        <w:pStyle w:val="Ttulo1"/>
      </w:pPr>
      <w:bookmarkStart w:id="9" w:name="_Toc241259328"/>
      <w:r>
        <w:t>Tipografías</w:t>
      </w:r>
      <w:bookmarkEnd w:id="9"/>
    </w:p>
    <w:p w:rsidR="00A01B3C" w:rsidRDefault="00A01B3C" w:rsidP="00A01B3C">
      <w:bookmarkStart w:id="10" w:name="_Toc241259329"/>
      <w:r>
        <w:t>Mostrar mayúsculas: normal, negrita, cursiva, cursiva + negrita</w:t>
      </w:r>
    </w:p>
    <w:p w:rsidR="00A01B3C" w:rsidRPr="00A01B3C" w:rsidRDefault="00A01B3C" w:rsidP="00A01B3C">
      <w:r>
        <w:t>Mostrar m</w:t>
      </w:r>
      <w:r>
        <w:t>in</w:t>
      </w:r>
      <w:bookmarkStart w:id="11" w:name="_GoBack"/>
      <w:bookmarkEnd w:id="11"/>
      <w:r>
        <w:t>úsculas: normal, negrita, cursiva, cursiva + negrita</w:t>
      </w:r>
    </w:p>
    <w:p w:rsidR="00BC2C04" w:rsidRDefault="00BC2C04" w:rsidP="00BC2C04">
      <w:pPr>
        <w:pStyle w:val="Ttulo2"/>
      </w:pPr>
      <w:r>
        <w:t>Principales</w:t>
      </w:r>
      <w:bookmarkEnd w:id="10"/>
    </w:p>
    <w:p w:rsidR="00BC2C04" w:rsidRPr="00BC2C04" w:rsidRDefault="00BC2C04" w:rsidP="00BC2C04">
      <w:pPr>
        <w:pStyle w:val="Ttulo2"/>
      </w:pPr>
      <w:bookmarkStart w:id="12" w:name="_Toc241259330"/>
      <w:r>
        <w:t>Secundarias</w:t>
      </w:r>
      <w:bookmarkEnd w:id="12"/>
    </w:p>
    <w:p w:rsidR="00BC2C04" w:rsidRDefault="00BC2C04" w:rsidP="00BC2C04">
      <w:pPr>
        <w:pStyle w:val="Ttulo1"/>
      </w:pPr>
      <w:bookmarkStart w:id="13" w:name="_Toc241259331"/>
      <w:r>
        <w:t>Colores institucionales</w:t>
      </w:r>
      <w:bookmarkEnd w:id="13"/>
    </w:p>
    <w:p w:rsidR="00BC2C04" w:rsidRDefault="00BC2C04" w:rsidP="00BC2C04">
      <w:r>
        <w:t>Al menos 3 colores</w:t>
      </w:r>
    </w:p>
    <w:p w:rsidR="00BC2C04" w:rsidRDefault="00BC2C04" w:rsidP="00BC2C04">
      <w:pPr>
        <w:pStyle w:val="Ttulo1"/>
      </w:pPr>
      <w:bookmarkStart w:id="14" w:name="_Toc241259332"/>
      <w:r>
        <w:t>Colores secundarios</w:t>
      </w:r>
      <w:bookmarkEnd w:id="14"/>
    </w:p>
    <w:p w:rsidR="00BC2C04" w:rsidRDefault="00A01B3C" w:rsidP="00BC2C04">
      <w:r w:rsidRPr="00A01B3C">
        <w:drawing>
          <wp:inline distT="0" distB="0" distL="0" distR="0" wp14:anchorId="5079039B" wp14:editId="1669E7F2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5" w:name="_Toc241259333"/>
      <w:r>
        <w:t>Colores complementarios</w:t>
      </w:r>
      <w:bookmarkEnd w:id="15"/>
    </w:p>
    <w:p w:rsidR="00BC2C04" w:rsidRDefault="00A01B3C" w:rsidP="00BC2C04">
      <w:r w:rsidRPr="00A01B3C">
        <w:drawing>
          <wp:inline distT="0" distB="0" distL="0" distR="0" wp14:anchorId="6CB715E4" wp14:editId="4BE2CE2E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07C" w:rsidRDefault="0049407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BC2C04" w:rsidRDefault="00BC2C04" w:rsidP="00BC2C04">
      <w:pPr>
        <w:pStyle w:val="Ttulo1"/>
      </w:pPr>
      <w:bookmarkStart w:id="16" w:name="_Toc241259334"/>
      <w:r>
        <w:lastRenderedPageBreak/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1259335"/>
      <w:r>
        <w:t>B/N</w:t>
      </w:r>
      <w:bookmarkEnd w:id="17"/>
    </w:p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8E422D6" wp14:editId="53192B81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07A6E3CF" wp14:editId="287E3DEA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1259336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0117897C" wp14:editId="0C54E4CA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drawing>
          <wp:inline distT="0" distB="0" distL="0" distR="0" wp14:anchorId="7B37BAF9" wp14:editId="1B40F7A9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455E30E2" wp14:editId="3A07C21D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1259337"/>
      <w:r>
        <w:t>Otra tonalidad</w:t>
      </w:r>
      <w:bookmarkEnd w:id="19"/>
    </w:p>
    <w:p w:rsidR="00EA18A2" w:rsidRDefault="00BC2C04" w:rsidP="00BC2C04">
      <w:r>
        <w:t>Colores secundarios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0" w:name="_Toc240646882"/>
      <w:bookmarkStart w:id="21" w:name="_Toc241259338"/>
      <w:r>
        <w:lastRenderedPageBreak/>
        <w:t>Bibliografía</w:t>
      </w:r>
      <w:bookmarkEnd w:id="20"/>
      <w:bookmarkEnd w:id="21"/>
    </w:p>
    <w:p w:rsidR="0057115F" w:rsidRDefault="00E25D95" w:rsidP="0057115F">
      <w:pPr>
        <w:spacing w:after="240"/>
      </w:pPr>
      <w:r>
        <w:t xml:space="preserve">Design.com para el concepto inicial del </w:t>
      </w:r>
      <w:proofErr w:type="spellStart"/>
      <w:r>
        <w:t>imagotipo</w:t>
      </w:r>
      <w:proofErr w:type="spellEnd"/>
      <w:r>
        <w:t xml:space="preserve">: </w:t>
      </w:r>
      <w:hyperlink r:id="rId23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proofErr w:type="spellStart"/>
      <w:r>
        <w:t>Gemini</w:t>
      </w:r>
      <w:proofErr w:type="spellEnd"/>
      <w:r>
        <w:t xml:space="preserve"> para las variantes del Imagotipo y el anuncio: </w:t>
      </w:r>
      <w:hyperlink r:id="rId24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proofErr w:type="spellStart"/>
      <w:r>
        <w:t>Coolors</w:t>
      </w:r>
      <w:proofErr w:type="spellEnd"/>
      <w:r>
        <w:t xml:space="preserve"> para las referencias de las paletas de colores: </w:t>
      </w:r>
      <w:hyperlink r:id="rId25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26"/>
      <w:footerReference w:type="default" r:id="rId27"/>
      <w:headerReference w:type="first" r:id="rId28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6A25" w:rsidRDefault="00A96A25" w:rsidP="00EA18A2">
      <w:pPr>
        <w:spacing w:after="0" w:line="240" w:lineRule="auto"/>
      </w:pPr>
      <w:r>
        <w:separator/>
      </w:r>
    </w:p>
  </w:endnote>
  <w:endnote w:type="continuationSeparator" w:id="0">
    <w:p w:rsidR="00A96A25" w:rsidRDefault="00A96A25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21352" w:rsidRDefault="00E2135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1B3C">
          <w:rPr>
            <w:noProof/>
          </w:rPr>
          <w:t>6</w:t>
        </w:r>
        <w:r>
          <w:fldChar w:fldCharType="end"/>
        </w:r>
      </w:p>
    </w:sdtContent>
  </w:sdt>
  <w:p w:rsidR="00E21352" w:rsidRDefault="00E213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6A25" w:rsidRDefault="00A96A25" w:rsidP="00EA18A2">
      <w:pPr>
        <w:spacing w:after="0" w:line="240" w:lineRule="auto"/>
      </w:pPr>
      <w:r>
        <w:separator/>
      </w:r>
    </w:p>
  </w:footnote>
  <w:footnote w:type="continuationSeparator" w:id="0">
    <w:p w:rsidR="00A96A25" w:rsidRDefault="00A96A25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1A099B"/>
    <w:rsid w:val="00201CD3"/>
    <w:rsid w:val="00332407"/>
    <w:rsid w:val="003E0ACC"/>
    <w:rsid w:val="00447D56"/>
    <w:rsid w:val="0049407C"/>
    <w:rsid w:val="0057115F"/>
    <w:rsid w:val="00585CCA"/>
    <w:rsid w:val="005D411B"/>
    <w:rsid w:val="006F79D9"/>
    <w:rsid w:val="00760CB9"/>
    <w:rsid w:val="007C6AA1"/>
    <w:rsid w:val="007D4CF9"/>
    <w:rsid w:val="008F4D2D"/>
    <w:rsid w:val="009A2296"/>
    <w:rsid w:val="00A01B3C"/>
    <w:rsid w:val="00A96A25"/>
    <w:rsid w:val="00BC2C04"/>
    <w:rsid w:val="00C37066"/>
    <w:rsid w:val="00C70937"/>
    <w:rsid w:val="00CF2FFD"/>
    <w:rsid w:val="00D20D31"/>
    <w:rsid w:val="00E21352"/>
    <w:rsid w:val="00E25D95"/>
    <w:rsid w:val="00E40287"/>
    <w:rsid w:val="00EA18A2"/>
    <w:rsid w:val="00EA7A47"/>
    <w:rsid w:val="00F35D23"/>
    <w:rsid w:val="00FA5D38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B8561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11B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coolors.c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gemini.google.com/app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design.com/" TargetMode="External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BF143C0-CCEB-4406-8059-A0102FF03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9</Pages>
  <Words>661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13</cp:revision>
  <cp:lastPrinted>2026-09-18T18:23:00Z</cp:lastPrinted>
  <dcterms:created xsi:type="dcterms:W3CDTF">2026-09-18T15:43:00Z</dcterms:created>
  <dcterms:modified xsi:type="dcterms:W3CDTF">2026-09-29T15:50:00Z</dcterms:modified>
</cp:coreProperties>
</file>