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F4E" w:rsidRPr="00BF7F4E" w:rsidRDefault="00BF7F4E" w:rsidP="00BF7F4E"/>
    <w:p w:rsidR="000C797A" w:rsidRDefault="00F55A4F" w:rsidP="000C797A">
      <w:pPr>
        <w:pStyle w:val="Title"/>
      </w:pPr>
      <w:r w:rsidRPr="00F55A4F">
        <w:t>Microsoft EDW Architecture, Guidance and Deployment Best Practices</w:t>
      </w:r>
      <w:r w:rsidR="00E93E66">
        <w:t xml:space="preserve"> </w:t>
      </w:r>
    </w:p>
    <w:p w:rsidR="00323DD4" w:rsidRDefault="000C797A" w:rsidP="00AA1224">
      <w:pPr>
        <w:pStyle w:val="Heading1"/>
      </w:pPr>
      <w:bookmarkStart w:id="0" w:name="_Toc274371183"/>
      <w:r>
        <w:t>Chapter One: Overview</w:t>
      </w:r>
      <w:bookmarkEnd w:id="0"/>
    </w:p>
    <w:p w:rsidR="00E93E66" w:rsidRDefault="00E93E66" w:rsidP="00E93E66">
      <w:pPr>
        <w:rPr>
          <w:b/>
          <w:bCs/>
          <w:color w:val="1F497D"/>
        </w:rPr>
      </w:pPr>
      <w:r>
        <w:rPr>
          <w:b/>
          <w:bCs/>
          <w:color w:val="1F497D"/>
        </w:rPr>
        <w:t>By Microsoft Corporation</w:t>
      </w:r>
    </w:p>
    <w:p w:rsidR="00E93E66" w:rsidRDefault="00E93E66" w:rsidP="00E93E66">
      <w:pPr>
        <w:rPr>
          <w:b/>
          <w:bCs/>
          <w:color w:val="1F497D"/>
        </w:rPr>
      </w:pPr>
      <w:r>
        <w:rPr>
          <w:b/>
          <w:bCs/>
          <w:color w:val="1F497D"/>
        </w:rPr>
        <w:t xml:space="preserve">Acknowledgements: </w:t>
      </w:r>
    </w:p>
    <w:p w:rsidR="00E93E66" w:rsidRDefault="00E93E66" w:rsidP="00E93E66">
      <w:pPr>
        <w:rPr>
          <w:color w:val="1F497D"/>
        </w:rPr>
      </w:pPr>
      <w:r>
        <w:rPr>
          <w:b/>
          <w:bCs/>
          <w:color w:val="1F497D"/>
        </w:rPr>
        <w:t>Contributing writers from Solid Quality Mentors</w:t>
      </w:r>
      <w:r>
        <w:rPr>
          <w:color w:val="1F497D"/>
        </w:rPr>
        <w:t>: Larry Barnes</w:t>
      </w:r>
    </w:p>
    <w:p w:rsidR="00E93E66" w:rsidRPr="003042E5" w:rsidRDefault="00E93E66" w:rsidP="00E93E66">
      <w:pPr>
        <w:rPr>
          <w:color w:val="1F497D" w:themeColor="text2"/>
        </w:rPr>
      </w:pPr>
      <w:r>
        <w:rPr>
          <w:b/>
          <w:bCs/>
          <w:color w:val="1F497D"/>
        </w:rPr>
        <w:t>Technical reviewers from Microsoft</w:t>
      </w:r>
      <w:r>
        <w:rPr>
          <w:color w:val="1F497D"/>
        </w:rPr>
        <w:t xml:space="preserve">: </w:t>
      </w:r>
      <w:r w:rsidRPr="003042E5">
        <w:rPr>
          <w:color w:val="1F497D" w:themeColor="text2"/>
        </w:rPr>
        <w:t>Benjamin Wright-Jones</w:t>
      </w:r>
    </w:p>
    <w:p w:rsidR="00E93E66" w:rsidRDefault="00E93E66" w:rsidP="00E93E66">
      <w:pPr>
        <w:rPr>
          <w:color w:val="1F497D"/>
        </w:rPr>
      </w:pPr>
      <w:r>
        <w:rPr>
          <w:b/>
          <w:bCs/>
          <w:color w:val="1F497D"/>
        </w:rPr>
        <w:t>Contributing editors from Solid Quality Mentors</w:t>
      </w:r>
      <w:r>
        <w:rPr>
          <w:color w:val="1F497D"/>
        </w:rPr>
        <w:t>: Kathy Blomstrom</w:t>
      </w:r>
    </w:p>
    <w:p w:rsidR="00E93E66" w:rsidRPr="00C65C94" w:rsidRDefault="00E93E66" w:rsidP="00E93E66">
      <w:pPr>
        <w:rPr>
          <w:b/>
        </w:rPr>
      </w:pPr>
      <w:r>
        <w:rPr>
          <w:b/>
        </w:rPr>
        <w:t>Published</w:t>
      </w:r>
      <w:r w:rsidRPr="00C65C94">
        <w:rPr>
          <w:b/>
        </w:rPr>
        <w:t>:</w:t>
      </w:r>
      <w:r w:rsidR="000C797A">
        <w:t xml:space="preserve"> </w:t>
      </w:r>
    </w:p>
    <w:p w:rsidR="00E93E66" w:rsidRDefault="00E93E66" w:rsidP="00E93E66">
      <w:r w:rsidRPr="00C65C94">
        <w:rPr>
          <w:b/>
        </w:rPr>
        <w:t>Applies to:</w:t>
      </w:r>
      <w:r>
        <w:t xml:space="preserve"> SQL Server 2008 R2</w:t>
      </w:r>
    </w:p>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816CB4" w:rsidRDefault="00816CB4"/>
    <w:p w:rsidR="000C797A" w:rsidRDefault="000C797A">
      <w:r>
        <w:br w:type="page"/>
      </w:r>
    </w:p>
    <w:p w:rsidR="000C797A" w:rsidRDefault="005467B3">
      <w:pPr>
        <w:pStyle w:val="TOC1"/>
        <w:tabs>
          <w:tab w:val="right" w:leader="dot" w:pos="9350"/>
        </w:tabs>
        <w:rPr>
          <w:noProof/>
        </w:rPr>
      </w:pPr>
      <w:r>
        <w:lastRenderedPageBreak/>
        <w:fldChar w:fldCharType="begin"/>
      </w:r>
      <w:r>
        <w:instrText xml:space="preserve"> TOC \o "1-3" \h \z \u </w:instrText>
      </w:r>
      <w:r>
        <w:fldChar w:fldCharType="separate"/>
      </w:r>
      <w:hyperlink w:anchor="_Toc274371183" w:history="1">
        <w:r w:rsidR="000C797A" w:rsidRPr="00FB0449">
          <w:rPr>
            <w:rStyle w:val="Hyperlink"/>
            <w:noProof/>
          </w:rPr>
          <w:t>Chapter One: Overview</w:t>
        </w:r>
        <w:r w:rsidR="000C797A">
          <w:rPr>
            <w:noProof/>
            <w:webHidden/>
          </w:rPr>
          <w:tab/>
        </w:r>
        <w:r w:rsidR="000C797A">
          <w:rPr>
            <w:noProof/>
            <w:webHidden/>
          </w:rPr>
          <w:fldChar w:fldCharType="begin"/>
        </w:r>
        <w:r w:rsidR="000C797A">
          <w:rPr>
            <w:noProof/>
            <w:webHidden/>
          </w:rPr>
          <w:instrText xml:space="preserve"> PAGEREF _Toc274371183 \h </w:instrText>
        </w:r>
        <w:r w:rsidR="000C797A">
          <w:rPr>
            <w:noProof/>
            <w:webHidden/>
          </w:rPr>
        </w:r>
        <w:r w:rsidR="000C797A">
          <w:rPr>
            <w:noProof/>
            <w:webHidden/>
          </w:rPr>
          <w:fldChar w:fldCharType="separate"/>
        </w:r>
        <w:r w:rsidR="000C797A">
          <w:rPr>
            <w:noProof/>
            <w:webHidden/>
          </w:rPr>
          <w:t>1</w:t>
        </w:r>
        <w:r w:rsidR="000C797A">
          <w:rPr>
            <w:noProof/>
            <w:webHidden/>
          </w:rPr>
          <w:fldChar w:fldCharType="end"/>
        </w:r>
      </w:hyperlink>
    </w:p>
    <w:p w:rsidR="000C797A" w:rsidRDefault="0030638F">
      <w:pPr>
        <w:pStyle w:val="TOC2"/>
        <w:tabs>
          <w:tab w:val="right" w:leader="dot" w:pos="9350"/>
        </w:tabs>
        <w:rPr>
          <w:noProof/>
        </w:rPr>
      </w:pPr>
      <w:hyperlink w:anchor="_Toc274371184" w:history="1">
        <w:r w:rsidR="000C797A" w:rsidRPr="00FB0449">
          <w:rPr>
            <w:rStyle w:val="Hyperlink"/>
            <w:noProof/>
          </w:rPr>
          <w:t>Introduction</w:t>
        </w:r>
        <w:r w:rsidR="000C797A">
          <w:rPr>
            <w:noProof/>
            <w:webHidden/>
          </w:rPr>
          <w:tab/>
        </w:r>
        <w:r w:rsidR="000C797A">
          <w:rPr>
            <w:noProof/>
            <w:webHidden/>
          </w:rPr>
          <w:fldChar w:fldCharType="begin"/>
        </w:r>
        <w:r w:rsidR="000C797A">
          <w:rPr>
            <w:noProof/>
            <w:webHidden/>
          </w:rPr>
          <w:instrText xml:space="preserve"> PAGEREF _Toc274371184 \h </w:instrText>
        </w:r>
        <w:r w:rsidR="000C797A">
          <w:rPr>
            <w:noProof/>
            <w:webHidden/>
          </w:rPr>
        </w:r>
        <w:r w:rsidR="000C797A">
          <w:rPr>
            <w:noProof/>
            <w:webHidden/>
          </w:rPr>
          <w:fldChar w:fldCharType="separate"/>
        </w:r>
        <w:r w:rsidR="000C797A">
          <w:rPr>
            <w:noProof/>
            <w:webHidden/>
          </w:rPr>
          <w:t>3</w:t>
        </w:r>
        <w:r w:rsidR="000C797A">
          <w:rPr>
            <w:noProof/>
            <w:webHidden/>
          </w:rPr>
          <w:fldChar w:fldCharType="end"/>
        </w:r>
      </w:hyperlink>
    </w:p>
    <w:p w:rsidR="000C797A" w:rsidRDefault="0030638F">
      <w:pPr>
        <w:pStyle w:val="TOC2"/>
        <w:tabs>
          <w:tab w:val="right" w:leader="dot" w:pos="9350"/>
        </w:tabs>
        <w:rPr>
          <w:noProof/>
        </w:rPr>
      </w:pPr>
      <w:hyperlink w:anchor="_Toc274371185" w:history="1">
        <w:r w:rsidR="000C797A" w:rsidRPr="00FB0449">
          <w:rPr>
            <w:rStyle w:val="Hyperlink"/>
            <w:noProof/>
          </w:rPr>
          <w:t>Why a Data Warehouse?</w:t>
        </w:r>
        <w:r w:rsidR="000C797A">
          <w:rPr>
            <w:noProof/>
            <w:webHidden/>
          </w:rPr>
          <w:tab/>
        </w:r>
        <w:r w:rsidR="000C797A">
          <w:rPr>
            <w:noProof/>
            <w:webHidden/>
          </w:rPr>
          <w:fldChar w:fldCharType="begin"/>
        </w:r>
        <w:r w:rsidR="000C797A">
          <w:rPr>
            <w:noProof/>
            <w:webHidden/>
          </w:rPr>
          <w:instrText xml:space="preserve"> PAGEREF _Toc274371185 \h </w:instrText>
        </w:r>
        <w:r w:rsidR="000C797A">
          <w:rPr>
            <w:noProof/>
            <w:webHidden/>
          </w:rPr>
        </w:r>
        <w:r w:rsidR="000C797A">
          <w:rPr>
            <w:noProof/>
            <w:webHidden/>
          </w:rPr>
          <w:fldChar w:fldCharType="separate"/>
        </w:r>
        <w:r w:rsidR="000C797A">
          <w:rPr>
            <w:noProof/>
            <w:webHidden/>
          </w:rPr>
          <w:t>3</w:t>
        </w:r>
        <w:r w:rsidR="000C797A">
          <w:rPr>
            <w:noProof/>
            <w:webHidden/>
          </w:rPr>
          <w:fldChar w:fldCharType="end"/>
        </w:r>
      </w:hyperlink>
    </w:p>
    <w:p w:rsidR="000C797A" w:rsidRDefault="0030638F">
      <w:pPr>
        <w:pStyle w:val="TOC3"/>
        <w:tabs>
          <w:tab w:val="right" w:leader="dot" w:pos="9350"/>
        </w:tabs>
        <w:rPr>
          <w:noProof/>
        </w:rPr>
      </w:pPr>
      <w:hyperlink w:anchor="_Toc274371186" w:history="1">
        <w:r w:rsidR="000C797A" w:rsidRPr="00FB0449">
          <w:rPr>
            <w:rStyle w:val="Hyperlink"/>
            <w:noProof/>
          </w:rPr>
          <w:t>Data Warehouse Access Patterns</w:t>
        </w:r>
        <w:r w:rsidR="000C797A">
          <w:rPr>
            <w:noProof/>
            <w:webHidden/>
          </w:rPr>
          <w:tab/>
        </w:r>
        <w:r w:rsidR="000C797A">
          <w:rPr>
            <w:noProof/>
            <w:webHidden/>
          </w:rPr>
          <w:fldChar w:fldCharType="begin"/>
        </w:r>
        <w:r w:rsidR="000C797A">
          <w:rPr>
            <w:noProof/>
            <w:webHidden/>
          </w:rPr>
          <w:instrText xml:space="preserve"> PAGEREF _Toc274371186 \h </w:instrText>
        </w:r>
        <w:r w:rsidR="000C797A">
          <w:rPr>
            <w:noProof/>
            <w:webHidden/>
          </w:rPr>
        </w:r>
        <w:r w:rsidR="000C797A">
          <w:rPr>
            <w:noProof/>
            <w:webHidden/>
          </w:rPr>
          <w:fldChar w:fldCharType="separate"/>
        </w:r>
        <w:r w:rsidR="000C797A">
          <w:rPr>
            <w:noProof/>
            <w:webHidden/>
          </w:rPr>
          <w:t>5</w:t>
        </w:r>
        <w:r w:rsidR="000C797A">
          <w:rPr>
            <w:noProof/>
            <w:webHidden/>
          </w:rPr>
          <w:fldChar w:fldCharType="end"/>
        </w:r>
      </w:hyperlink>
    </w:p>
    <w:p w:rsidR="000C797A" w:rsidRDefault="0030638F">
      <w:pPr>
        <w:pStyle w:val="TOC2"/>
        <w:tabs>
          <w:tab w:val="right" w:leader="dot" w:pos="9350"/>
        </w:tabs>
        <w:rPr>
          <w:noProof/>
        </w:rPr>
      </w:pPr>
      <w:hyperlink w:anchor="_Toc274371187" w:history="1">
        <w:r w:rsidR="000C797A" w:rsidRPr="00FB0449">
          <w:rPr>
            <w:rStyle w:val="Hyperlink"/>
            <w:noProof/>
          </w:rPr>
          <w:t>Data Warehouse Components</w:t>
        </w:r>
        <w:r w:rsidR="000C797A">
          <w:rPr>
            <w:noProof/>
            <w:webHidden/>
          </w:rPr>
          <w:tab/>
        </w:r>
        <w:r w:rsidR="000C797A">
          <w:rPr>
            <w:noProof/>
            <w:webHidden/>
          </w:rPr>
          <w:fldChar w:fldCharType="begin"/>
        </w:r>
        <w:r w:rsidR="000C797A">
          <w:rPr>
            <w:noProof/>
            <w:webHidden/>
          </w:rPr>
          <w:instrText xml:space="preserve"> PAGEREF _Toc274371187 \h </w:instrText>
        </w:r>
        <w:r w:rsidR="000C797A">
          <w:rPr>
            <w:noProof/>
            <w:webHidden/>
          </w:rPr>
        </w:r>
        <w:r w:rsidR="000C797A">
          <w:rPr>
            <w:noProof/>
            <w:webHidden/>
          </w:rPr>
          <w:fldChar w:fldCharType="separate"/>
        </w:r>
        <w:r w:rsidR="000C797A">
          <w:rPr>
            <w:noProof/>
            <w:webHidden/>
          </w:rPr>
          <w:t>6</w:t>
        </w:r>
        <w:r w:rsidR="000C797A">
          <w:rPr>
            <w:noProof/>
            <w:webHidden/>
          </w:rPr>
          <w:fldChar w:fldCharType="end"/>
        </w:r>
      </w:hyperlink>
    </w:p>
    <w:p w:rsidR="000C797A" w:rsidRDefault="0030638F">
      <w:pPr>
        <w:pStyle w:val="TOC2"/>
        <w:tabs>
          <w:tab w:val="right" w:leader="dot" w:pos="9350"/>
        </w:tabs>
        <w:rPr>
          <w:noProof/>
        </w:rPr>
      </w:pPr>
      <w:hyperlink w:anchor="_Toc274371188" w:history="1">
        <w:r w:rsidR="000C797A" w:rsidRPr="00FB0449">
          <w:rPr>
            <w:rStyle w:val="Hyperlink"/>
            <w:noProof/>
          </w:rPr>
          <w:t>Data Warehouse Life Cycle and Team Model</w:t>
        </w:r>
        <w:r w:rsidR="000C797A">
          <w:rPr>
            <w:noProof/>
            <w:webHidden/>
          </w:rPr>
          <w:tab/>
        </w:r>
        <w:r w:rsidR="000C797A">
          <w:rPr>
            <w:noProof/>
            <w:webHidden/>
          </w:rPr>
          <w:fldChar w:fldCharType="begin"/>
        </w:r>
        <w:r w:rsidR="000C797A">
          <w:rPr>
            <w:noProof/>
            <w:webHidden/>
          </w:rPr>
          <w:instrText xml:space="preserve"> PAGEREF _Toc274371188 \h </w:instrText>
        </w:r>
        <w:r w:rsidR="000C797A">
          <w:rPr>
            <w:noProof/>
            <w:webHidden/>
          </w:rPr>
        </w:r>
        <w:r w:rsidR="000C797A">
          <w:rPr>
            <w:noProof/>
            <w:webHidden/>
          </w:rPr>
          <w:fldChar w:fldCharType="separate"/>
        </w:r>
        <w:r w:rsidR="000C797A">
          <w:rPr>
            <w:noProof/>
            <w:webHidden/>
          </w:rPr>
          <w:t>7</w:t>
        </w:r>
        <w:r w:rsidR="000C797A">
          <w:rPr>
            <w:noProof/>
            <w:webHidden/>
          </w:rPr>
          <w:fldChar w:fldCharType="end"/>
        </w:r>
      </w:hyperlink>
    </w:p>
    <w:p w:rsidR="000C797A" w:rsidRDefault="0030638F">
      <w:pPr>
        <w:pStyle w:val="TOC3"/>
        <w:tabs>
          <w:tab w:val="right" w:leader="dot" w:pos="9350"/>
        </w:tabs>
        <w:rPr>
          <w:noProof/>
        </w:rPr>
      </w:pPr>
      <w:hyperlink w:anchor="_Toc274371189" w:history="1">
        <w:r w:rsidR="000C797A" w:rsidRPr="00FB0449">
          <w:rPr>
            <w:rStyle w:val="Hyperlink"/>
            <w:noProof/>
          </w:rPr>
          <w:t>Data Warehouse Life Cycle</w:t>
        </w:r>
        <w:r w:rsidR="000C797A">
          <w:rPr>
            <w:noProof/>
            <w:webHidden/>
          </w:rPr>
          <w:tab/>
        </w:r>
        <w:r w:rsidR="000C797A">
          <w:rPr>
            <w:noProof/>
            <w:webHidden/>
          </w:rPr>
          <w:fldChar w:fldCharType="begin"/>
        </w:r>
        <w:r w:rsidR="000C797A">
          <w:rPr>
            <w:noProof/>
            <w:webHidden/>
          </w:rPr>
          <w:instrText xml:space="preserve"> PAGEREF _Toc274371189 \h </w:instrText>
        </w:r>
        <w:r w:rsidR="000C797A">
          <w:rPr>
            <w:noProof/>
            <w:webHidden/>
          </w:rPr>
        </w:r>
        <w:r w:rsidR="000C797A">
          <w:rPr>
            <w:noProof/>
            <w:webHidden/>
          </w:rPr>
          <w:fldChar w:fldCharType="separate"/>
        </w:r>
        <w:r w:rsidR="000C797A">
          <w:rPr>
            <w:noProof/>
            <w:webHidden/>
          </w:rPr>
          <w:t>7</w:t>
        </w:r>
        <w:r w:rsidR="000C797A">
          <w:rPr>
            <w:noProof/>
            <w:webHidden/>
          </w:rPr>
          <w:fldChar w:fldCharType="end"/>
        </w:r>
      </w:hyperlink>
    </w:p>
    <w:p w:rsidR="000C797A" w:rsidRDefault="0030638F">
      <w:pPr>
        <w:pStyle w:val="TOC3"/>
        <w:tabs>
          <w:tab w:val="right" w:leader="dot" w:pos="9350"/>
        </w:tabs>
        <w:rPr>
          <w:noProof/>
        </w:rPr>
      </w:pPr>
      <w:hyperlink w:anchor="_Toc274371190" w:history="1">
        <w:r w:rsidR="000C797A" w:rsidRPr="00FB0449">
          <w:rPr>
            <w:rStyle w:val="Hyperlink"/>
            <w:noProof/>
          </w:rPr>
          <w:t>Data Warehouse Team Model</w:t>
        </w:r>
        <w:r w:rsidR="000C797A">
          <w:rPr>
            <w:noProof/>
            <w:webHidden/>
          </w:rPr>
          <w:tab/>
        </w:r>
        <w:r w:rsidR="000C797A">
          <w:rPr>
            <w:noProof/>
            <w:webHidden/>
          </w:rPr>
          <w:fldChar w:fldCharType="begin"/>
        </w:r>
        <w:r w:rsidR="000C797A">
          <w:rPr>
            <w:noProof/>
            <w:webHidden/>
          </w:rPr>
          <w:instrText xml:space="preserve"> PAGEREF _Toc274371190 \h </w:instrText>
        </w:r>
        <w:r w:rsidR="000C797A">
          <w:rPr>
            <w:noProof/>
            <w:webHidden/>
          </w:rPr>
        </w:r>
        <w:r w:rsidR="000C797A">
          <w:rPr>
            <w:noProof/>
            <w:webHidden/>
          </w:rPr>
          <w:fldChar w:fldCharType="separate"/>
        </w:r>
        <w:r w:rsidR="000C797A">
          <w:rPr>
            <w:noProof/>
            <w:webHidden/>
          </w:rPr>
          <w:t>8</w:t>
        </w:r>
        <w:r w:rsidR="000C797A">
          <w:rPr>
            <w:noProof/>
            <w:webHidden/>
          </w:rPr>
          <w:fldChar w:fldCharType="end"/>
        </w:r>
      </w:hyperlink>
    </w:p>
    <w:p w:rsidR="000C797A" w:rsidRDefault="0030638F">
      <w:pPr>
        <w:pStyle w:val="TOC3"/>
        <w:tabs>
          <w:tab w:val="right" w:leader="dot" w:pos="9350"/>
        </w:tabs>
        <w:rPr>
          <w:noProof/>
        </w:rPr>
      </w:pPr>
      <w:hyperlink w:anchor="_Toc274371191" w:history="1">
        <w:r w:rsidR="000C797A" w:rsidRPr="00FB0449">
          <w:rPr>
            <w:rStyle w:val="Hyperlink"/>
            <w:noProof/>
          </w:rPr>
          <w:t>Data Stewardship</w:t>
        </w:r>
        <w:r w:rsidR="000C797A">
          <w:rPr>
            <w:noProof/>
            <w:webHidden/>
          </w:rPr>
          <w:tab/>
        </w:r>
        <w:r w:rsidR="000C797A">
          <w:rPr>
            <w:noProof/>
            <w:webHidden/>
          </w:rPr>
          <w:fldChar w:fldCharType="begin"/>
        </w:r>
        <w:r w:rsidR="000C797A">
          <w:rPr>
            <w:noProof/>
            <w:webHidden/>
          </w:rPr>
          <w:instrText xml:space="preserve"> PAGEREF _Toc274371191 \h </w:instrText>
        </w:r>
        <w:r w:rsidR="000C797A">
          <w:rPr>
            <w:noProof/>
            <w:webHidden/>
          </w:rPr>
        </w:r>
        <w:r w:rsidR="000C797A">
          <w:rPr>
            <w:noProof/>
            <w:webHidden/>
          </w:rPr>
          <w:fldChar w:fldCharType="separate"/>
        </w:r>
        <w:r w:rsidR="000C797A">
          <w:rPr>
            <w:noProof/>
            <w:webHidden/>
          </w:rPr>
          <w:t>10</w:t>
        </w:r>
        <w:r w:rsidR="000C797A">
          <w:rPr>
            <w:noProof/>
            <w:webHidden/>
          </w:rPr>
          <w:fldChar w:fldCharType="end"/>
        </w:r>
      </w:hyperlink>
    </w:p>
    <w:p w:rsidR="000C797A" w:rsidRDefault="0030638F">
      <w:pPr>
        <w:pStyle w:val="TOC3"/>
        <w:tabs>
          <w:tab w:val="right" w:leader="dot" w:pos="9350"/>
        </w:tabs>
        <w:rPr>
          <w:noProof/>
        </w:rPr>
      </w:pPr>
      <w:hyperlink w:anchor="_Toc274371192" w:history="1">
        <w:r w:rsidR="000C797A" w:rsidRPr="00FB0449">
          <w:rPr>
            <w:rStyle w:val="Hyperlink"/>
            <w:noProof/>
          </w:rPr>
          <w:t>Data Warehouse Projects</w:t>
        </w:r>
        <w:r w:rsidR="000C797A">
          <w:rPr>
            <w:noProof/>
            <w:webHidden/>
          </w:rPr>
          <w:tab/>
        </w:r>
        <w:r w:rsidR="000C797A">
          <w:rPr>
            <w:noProof/>
            <w:webHidden/>
          </w:rPr>
          <w:fldChar w:fldCharType="begin"/>
        </w:r>
        <w:r w:rsidR="000C797A">
          <w:rPr>
            <w:noProof/>
            <w:webHidden/>
          </w:rPr>
          <w:instrText xml:space="preserve"> PAGEREF _Toc274371192 \h </w:instrText>
        </w:r>
        <w:r w:rsidR="000C797A">
          <w:rPr>
            <w:noProof/>
            <w:webHidden/>
          </w:rPr>
        </w:r>
        <w:r w:rsidR="000C797A">
          <w:rPr>
            <w:noProof/>
            <w:webHidden/>
          </w:rPr>
          <w:fldChar w:fldCharType="separate"/>
        </w:r>
        <w:r w:rsidR="000C797A">
          <w:rPr>
            <w:noProof/>
            <w:webHidden/>
          </w:rPr>
          <w:t>10</w:t>
        </w:r>
        <w:r w:rsidR="000C797A">
          <w:rPr>
            <w:noProof/>
            <w:webHidden/>
          </w:rPr>
          <w:fldChar w:fldCharType="end"/>
        </w:r>
      </w:hyperlink>
    </w:p>
    <w:p w:rsidR="000C797A" w:rsidRDefault="0030638F">
      <w:pPr>
        <w:pStyle w:val="TOC3"/>
        <w:tabs>
          <w:tab w:val="right" w:leader="dot" w:pos="9350"/>
        </w:tabs>
        <w:rPr>
          <w:noProof/>
        </w:rPr>
      </w:pPr>
      <w:hyperlink w:anchor="_Toc274371193" w:history="1">
        <w:r w:rsidR="000C797A" w:rsidRPr="00FB0449">
          <w:rPr>
            <w:rStyle w:val="Hyperlink"/>
            <w:noProof/>
          </w:rPr>
          <w:t>Managing a Data Warehouse</w:t>
        </w:r>
        <w:r w:rsidR="000C797A">
          <w:rPr>
            <w:noProof/>
            <w:webHidden/>
          </w:rPr>
          <w:tab/>
        </w:r>
        <w:r w:rsidR="000C797A">
          <w:rPr>
            <w:noProof/>
            <w:webHidden/>
          </w:rPr>
          <w:fldChar w:fldCharType="begin"/>
        </w:r>
        <w:r w:rsidR="000C797A">
          <w:rPr>
            <w:noProof/>
            <w:webHidden/>
          </w:rPr>
          <w:instrText xml:space="preserve"> PAGEREF _Toc274371193 \h </w:instrText>
        </w:r>
        <w:r w:rsidR="000C797A">
          <w:rPr>
            <w:noProof/>
            <w:webHidden/>
          </w:rPr>
        </w:r>
        <w:r w:rsidR="000C797A">
          <w:rPr>
            <w:noProof/>
            <w:webHidden/>
          </w:rPr>
          <w:fldChar w:fldCharType="separate"/>
        </w:r>
        <w:r w:rsidR="000C797A">
          <w:rPr>
            <w:noProof/>
            <w:webHidden/>
          </w:rPr>
          <w:t>11</w:t>
        </w:r>
        <w:r w:rsidR="000C797A">
          <w:rPr>
            <w:noProof/>
            <w:webHidden/>
          </w:rPr>
          <w:fldChar w:fldCharType="end"/>
        </w:r>
      </w:hyperlink>
    </w:p>
    <w:p w:rsidR="000C797A" w:rsidRDefault="0030638F">
      <w:pPr>
        <w:pStyle w:val="TOC2"/>
        <w:tabs>
          <w:tab w:val="right" w:leader="dot" w:pos="9350"/>
        </w:tabs>
        <w:rPr>
          <w:noProof/>
        </w:rPr>
      </w:pPr>
      <w:hyperlink w:anchor="_Toc274371194" w:history="1">
        <w:r w:rsidR="000C797A" w:rsidRPr="00FB0449">
          <w:rPr>
            <w:rStyle w:val="Hyperlink"/>
            <w:noProof/>
          </w:rPr>
          <w:t>Chapter Roadmap</w:t>
        </w:r>
        <w:r w:rsidR="000C797A">
          <w:rPr>
            <w:noProof/>
            <w:webHidden/>
          </w:rPr>
          <w:tab/>
        </w:r>
        <w:r w:rsidR="000C797A">
          <w:rPr>
            <w:noProof/>
            <w:webHidden/>
          </w:rPr>
          <w:fldChar w:fldCharType="begin"/>
        </w:r>
        <w:r w:rsidR="000C797A">
          <w:rPr>
            <w:noProof/>
            <w:webHidden/>
          </w:rPr>
          <w:instrText xml:space="preserve"> PAGEREF _Toc274371194 \h </w:instrText>
        </w:r>
        <w:r w:rsidR="000C797A">
          <w:rPr>
            <w:noProof/>
            <w:webHidden/>
          </w:rPr>
        </w:r>
        <w:r w:rsidR="000C797A">
          <w:rPr>
            <w:noProof/>
            <w:webHidden/>
          </w:rPr>
          <w:fldChar w:fldCharType="separate"/>
        </w:r>
        <w:r w:rsidR="000C797A">
          <w:rPr>
            <w:noProof/>
            <w:webHidden/>
          </w:rPr>
          <w:t>12</w:t>
        </w:r>
        <w:r w:rsidR="000C797A">
          <w:rPr>
            <w:noProof/>
            <w:webHidden/>
          </w:rPr>
          <w:fldChar w:fldCharType="end"/>
        </w:r>
      </w:hyperlink>
    </w:p>
    <w:p w:rsidR="000C797A" w:rsidRDefault="0030638F">
      <w:pPr>
        <w:pStyle w:val="TOC3"/>
        <w:tabs>
          <w:tab w:val="right" w:leader="dot" w:pos="9350"/>
        </w:tabs>
        <w:rPr>
          <w:noProof/>
        </w:rPr>
      </w:pPr>
      <w:hyperlink w:anchor="_Toc274371195" w:history="1">
        <w:r w:rsidR="000C797A" w:rsidRPr="00FB0449">
          <w:rPr>
            <w:rStyle w:val="Hyperlink"/>
            <w:noProof/>
          </w:rPr>
          <w:t>Chapter 2 – Data Architecture</w:t>
        </w:r>
        <w:r w:rsidR="000C797A">
          <w:rPr>
            <w:noProof/>
            <w:webHidden/>
          </w:rPr>
          <w:tab/>
        </w:r>
        <w:r w:rsidR="000C797A">
          <w:rPr>
            <w:noProof/>
            <w:webHidden/>
          </w:rPr>
          <w:fldChar w:fldCharType="begin"/>
        </w:r>
        <w:r w:rsidR="000C797A">
          <w:rPr>
            <w:noProof/>
            <w:webHidden/>
          </w:rPr>
          <w:instrText xml:space="preserve"> PAGEREF _Toc274371195 \h </w:instrText>
        </w:r>
        <w:r w:rsidR="000C797A">
          <w:rPr>
            <w:noProof/>
            <w:webHidden/>
          </w:rPr>
        </w:r>
        <w:r w:rsidR="000C797A">
          <w:rPr>
            <w:noProof/>
            <w:webHidden/>
          </w:rPr>
          <w:fldChar w:fldCharType="separate"/>
        </w:r>
        <w:r w:rsidR="000C797A">
          <w:rPr>
            <w:noProof/>
            <w:webHidden/>
          </w:rPr>
          <w:t>12</w:t>
        </w:r>
        <w:r w:rsidR="000C797A">
          <w:rPr>
            <w:noProof/>
            <w:webHidden/>
          </w:rPr>
          <w:fldChar w:fldCharType="end"/>
        </w:r>
      </w:hyperlink>
    </w:p>
    <w:p w:rsidR="000C797A" w:rsidRDefault="0030638F">
      <w:pPr>
        <w:pStyle w:val="TOC3"/>
        <w:tabs>
          <w:tab w:val="right" w:leader="dot" w:pos="9350"/>
        </w:tabs>
        <w:rPr>
          <w:noProof/>
        </w:rPr>
      </w:pPr>
      <w:hyperlink w:anchor="_Toc274371196" w:history="1">
        <w:r w:rsidR="000C797A" w:rsidRPr="00FB0449">
          <w:rPr>
            <w:rStyle w:val="Hyperlink"/>
            <w:noProof/>
          </w:rPr>
          <w:t>Chapter 3 – Data Integration</w:t>
        </w:r>
        <w:r w:rsidR="000C797A">
          <w:rPr>
            <w:noProof/>
            <w:webHidden/>
          </w:rPr>
          <w:tab/>
        </w:r>
        <w:r w:rsidR="000C797A">
          <w:rPr>
            <w:noProof/>
            <w:webHidden/>
          </w:rPr>
          <w:fldChar w:fldCharType="begin"/>
        </w:r>
        <w:r w:rsidR="000C797A">
          <w:rPr>
            <w:noProof/>
            <w:webHidden/>
          </w:rPr>
          <w:instrText xml:space="preserve"> PAGEREF _Toc274371196 \h </w:instrText>
        </w:r>
        <w:r w:rsidR="000C797A">
          <w:rPr>
            <w:noProof/>
            <w:webHidden/>
          </w:rPr>
        </w:r>
        <w:r w:rsidR="000C797A">
          <w:rPr>
            <w:noProof/>
            <w:webHidden/>
          </w:rPr>
          <w:fldChar w:fldCharType="separate"/>
        </w:r>
        <w:r w:rsidR="000C797A">
          <w:rPr>
            <w:noProof/>
            <w:webHidden/>
          </w:rPr>
          <w:t>12</w:t>
        </w:r>
        <w:r w:rsidR="000C797A">
          <w:rPr>
            <w:noProof/>
            <w:webHidden/>
          </w:rPr>
          <w:fldChar w:fldCharType="end"/>
        </w:r>
      </w:hyperlink>
    </w:p>
    <w:p w:rsidR="000C797A" w:rsidRDefault="0030638F">
      <w:pPr>
        <w:pStyle w:val="TOC3"/>
        <w:tabs>
          <w:tab w:val="right" w:leader="dot" w:pos="9350"/>
        </w:tabs>
        <w:rPr>
          <w:noProof/>
        </w:rPr>
      </w:pPr>
      <w:hyperlink w:anchor="_Toc274371197" w:history="1">
        <w:r w:rsidR="000C797A" w:rsidRPr="00FB0449">
          <w:rPr>
            <w:rStyle w:val="Hyperlink"/>
            <w:noProof/>
          </w:rPr>
          <w:t>Chapter 4 – Operations Management and Security</w:t>
        </w:r>
        <w:r w:rsidR="000C797A">
          <w:rPr>
            <w:noProof/>
            <w:webHidden/>
          </w:rPr>
          <w:tab/>
        </w:r>
        <w:r w:rsidR="000C797A">
          <w:rPr>
            <w:noProof/>
            <w:webHidden/>
          </w:rPr>
          <w:fldChar w:fldCharType="begin"/>
        </w:r>
        <w:r w:rsidR="000C797A">
          <w:rPr>
            <w:noProof/>
            <w:webHidden/>
          </w:rPr>
          <w:instrText xml:space="preserve"> PAGEREF _Toc274371197 \h </w:instrText>
        </w:r>
        <w:r w:rsidR="000C797A">
          <w:rPr>
            <w:noProof/>
            <w:webHidden/>
          </w:rPr>
        </w:r>
        <w:r w:rsidR="000C797A">
          <w:rPr>
            <w:noProof/>
            <w:webHidden/>
          </w:rPr>
          <w:fldChar w:fldCharType="separate"/>
        </w:r>
        <w:r w:rsidR="000C797A">
          <w:rPr>
            <w:noProof/>
            <w:webHidden/>
          </w:rPr>
          <w:t>12</w:t>
        </w:r>
        <w:r w:rsidR="000C797A">
          <w:rPr>
            <w:noProof/>
            <w:webHidden/>
          </w:rPr>
          <w:fldChar w:fldCharType="end"/>
        </w:r>
      </w:hyperlink>
    </w:p>
    <w:p w:rsidR="000C797A" w:rsidRDefault="0030638F">
      <w:pPr>
        <w:pStyle w:val="TOC3"/>
        <w:tabs>
          <w:tab w:val="right" w:leader="dot" w:pos="9350"/>
        </w:tabs>
        <w:rPr>
          <w:noProof/>
        </w:rPr>
      </w:pPr>
      <w:hyperlink w:anchor="_Toc274371198" w:history="1">
        <w:r w:rsidR="000C797A" w:rsidRPr="00FB0449">
          <w:rPr>
            <w:rStyle w:val="Hyperlink"/>
            <w:noProof/>
          </w:rPr>
          <w:t>Chapter 5 – Querying, Performance Monitoring, and Tuning</w:t>
        </w:r>
        <w:r w:rsidR="000C797A">
          <w:rPr>
            <w:noProof/>
            <w:webHidden/>
          </w:rPr>
          <w:tab/>
        </w:r>
        <w:r w:rsidR="000C797A">
          <w:rPr>
            <w:noProof/>
            <w:webHidden/>
          </w:rPr>
          <w:fldChar w:fldCharType="begin"/>
        </w:r>
        <w:r w:rsidR="000C797A">
          <w:rPr>
            <w:noProof/>
            <w:webHidden/>
          </w:rPr>
          <w:instrText xml:space="preserve"> PAGEREF _Toc274371198 \h </w:instrText>
        </w:r>
        <w:r w:rsidR="000C797A">
          <w:rPr>
            <w:noProof/>
            <w:webHidden/>
          </w:rPr>
        </w:r>
        <w:r w:rsidR="000C797A">
          <w:rPr>
            <w:noProof/>
            <w:webHidden/>
          </w:rPr>
          <w:fldChar w:fldCharType="separate"/>
        </w:r>
        <w:r w:rsidR="000C797A">
          <w:rPr>
            <w:noProof/>
            <w:webHidden/>
          </w:rPr>
          <w:t>13</w:t>
        </w:r>
        <w:r w:rsidR="000C797A">
          <w:rPr>
            <w:noProof/>
            <w:webHidden/>
          </w:rPr>
          <w:fldChar w:fldCharType="end"/>
        </w:r>
      </w:hyperlink>
    </w:p>
    <w:p w:rsidR="000C797A" w:rsidRDefault="0030638F">
      <w:pPr>
        <w:pStyle w:val="TOC3"/>
        <w:tabs>
          <w:tab w:val="right" w:leader="dot" w:pos="9350"/>
        </w:tabs>
        <w:rPr>
          <w:noProof/>
        </w:rPr>
      </w:pPr>
      <w:hyperlink w:anchor="_Toc274371199" w:history="1">
        <w:r w:rsidR="000C797A" w:rsidRPr="00FB0449">
          <w:rPr>
            <w:rStyle w:val="Hyperlink"/>
            <w:noProof/>
          </w:rPr>
          <w:t>Getting Started</w:t>
        </w:r>
        <w:r w:rsidR="000C797A">
          <w:rPr>
            <w:noProof/>
            <w:webHidden/>
          </w:rPr>
          <w:tab/>
        </w:r>
        <w:r w:rsidR="000C797A">
          <w:rPr>
            <w:noProof/>
            <w:webHidden/>
          </w:rPr>
          <w:fldChar w:fldCharType="begin"/>
        </w:r>
        <w:r w:rsidR="000C797A">
          <w:rPr>
            <w:noProof/>
            <w:webHidden/>
          </w:rPr>
          <w:instrText xml:space="preserve"> PAGEREF _Toc274371199 \h </w:instrText>
        </w:r>
        <w:r w:rsidR="000C797A">
          <w:rPr>
            <w:noProof/>
            <w:webHidden/>
          </w:rPr>
        </w:r>
        <w:r w:rsidR="000C797A">
          <w:rPr>
            <w:noProof/>
            <w:webHidden/>
          </w:rPr>
          <w:fldChar w:fldCharType="separate"/>
        </w:r>
        <w:r w:rsidR="000C797A">
          <w:rPr>
            <w:noProof/>
            <w:webHidden/>
          </w:rPr>
          <w:t>13</w:t>
        </w:r>
        <w:r w:rsidR="000C797A">
          <w:rPr>
            <w:noProof/>
            <w:webHidden/>
          </w:rPr>
          <w:fldChar w:fldCharType="end"/>
        </w:r>
      </w:hyperlink>
    </w:p>
    <w:p w:rsidR="00E93E66" w:rsidRDefault="005467B3">
      <w:r>
        <w:fldChar w:fldCharType="end"/>
      </w:r>
      <w:r w:rsidR="00E93E66">
        <w:br w:type="page"/>
      </w:r>
    </w:p>
    <w:p w:rsidR="00F72C1D" w:rsidRDefault="00F72C1D" w:rsidP="00AA1224">
      <w:pPr>
        <w:pStyle w:val="Heading2"/>
      </w:pPr>
      <w:bookmarkStart w:id="1" w:name="_Toc274371184"/>
      <w:r>
        <w:lastRenderedPageBreak/>
        <w:t>Introduction</w:t>
      </w:r>
      <w:bookmarkEnd w:id="1"/>
    </w:p>
    <w:p w:rsidR="00445C6C" w:rsidRDefault="00445C6C" w:rsidP="00445C6C">
      <w:r>
        <w:t>A</w:t>
      </w:r>
      <w:r w:rsidR="00200686">
        <w:t>n</w:t>
      </w:r>
      <w:r>
        <w:t xml:space="preserve"> </w:t>
      </w:r>
      <w:r w:rsidR="00200686">
        <w:t>Enterprise Data W</w:t>
      </w:r>
      <w:r>
        <w:t xml:space="preserve">arehouse </w:t>
      </w:r>
      <w:r w:rsidR="00200686">
        <w:t xml:space="preserve">(EDW) </w:t>
      </w:r>
      <w:r>
        <w:t xml:space="preserve">has long been considered a strategic asset for </w:t>
      </w:r>
      <w:r w:rsidR="00200686">
        <w:t>organizations</w:t>
      </w:r>
      <w:r>
        <w:t>. A</w:t>
      </w:r>
      <w:r w:rsidR="00200686">
        <w:t>n</w:t>
      </w:r>
      <w:r>
        <w:t xml:space="preserve"> </w:t>
      </w:r>
      <w:r w:rsidR="00200686">
        <w:t xml:space="preserve">EDW has </w:t>
      </w:r>
      <w:r>
        <w:t xml:space="preserve">multiple business subject areas </w:t>
      </w:r>
      <w:r w:rsidR="00200686">
        <w:t xml:space="preserve">which reside in </w:t>
      </w:r>
      <w:r>
        <w:t xml:space="preserve">multiple </w:t>
      </w:r>
      <w:r w:rsidR="00200686">
        <w:t>databases</w:t>
      </w:r>
      <w:r w:rsidR="00C012FB">
        <w:t>.</w:t>
      </w:r>
      <w:r w:rsidR="00200686">
        <w:t xml:space="preserve"> </w:t>
      </w:r>
    </w:p>
    <w:p w:rsidR="00DC7B04" w:rsidRDefault="009D6A68" w:rsidP="00C012FB">
      <w:r>
        <w:t xml:space="preserve">The success of a </w:t>
      </w:r>
      <w:r w:rsidR="008E1005">
        <w:t>d</w:t>
      </w:r>
      <w:r>
        <w:t xml:space="preserve">ata </w:t>
      </w:r>
      <w:r w:rsidR="008E1005">
        <w:t>w</w:t>
      </w:r>
      <w:r>
        <w:t xml:space="preserve">arehouse requires more than the underlying hardware platform and software products. It also </w:t>
      </w:r>
      <w:r w:rsidR="001A1E35">
        <w:t>requires executive</w:t>
      </w:r>
      <w:r w:rsidR="008E1005">
        <w:t>-</w:t>
      </w:r>
      <w:r w:rsidR="001A1E35">
        <w:t>level sponsorship and governance programs, a solid team structure, strong project management</w:t>
      </w:r>
      <w:r w:rsidR="008E1005">
        <w:t>,</w:t>
      </w:r>
      <w:r w:rsidR="001A1E35">
        <w:t xml:space="preserve"> and good communications.</w:t>
      </w:r>
    </w:p>
    <w:p w:rsidR="001A1E35" w:rsidRDefault="008E6451" w:rsidP="00C012FB">
      <w:r>
        <w:t>This document does not focus on th</w:t>
      </w:r>
      <w:r w:rsidR="008E1005">
        <w:t>os</w:t>
      </w:r>
      <w:r>
        <w:t xml:space="preserve">e </w:t>
      </w:r>
      <w:r w:rsidR="00DC7B04">
        <w:t>subjects. Instead</w:t>
      </w:r>
      <w:r w:rsidR="008E1005">
        <w:t>,</w:t>
      </w:r>
      <w:r w:rsidR="00DC7B04">
        <w:t xml:space="preserve"> the </w:t>
      </w:r>
      <w:r w:rsidR="00AB5266">
        <w:t xml:space="preserve">focus </w:t>
      </w:r>
      <w:r w:rsidR="00DC7B04">
        <w:t xml:space="preserve">is </w:t>
      </w:r>
      <w:r w:rsidR="00AB5266">
        <w:t xml:space="preserve">on </w:t>
      </w:r>
      <w:r w:rsidR="001A1E35">
        <w:t xml:space="preserve">the best practices and repeatable patterns for developing and maintaining large </w:t>
      </w:r>
      <w:r w:rsidR="008E1005">
        <w:t>data warehouses</w:t>
      </w:r>
      <w:r w:rsidR="001A1E35">
        <w:t xml:space="preserve"> on the Microsoft </w:t>
      </w:r>
      <w:r w:rsidR="0045537A">
        <w:t xml:space="preserve">SQL Server </w:t>
      </w:r>
      <w:r w:rsidR="001A1E35">
        <w:t>platform</w:t>
      </w:r>
      <w:r w:rsidR="00777FD0">
        <w:t xml:space="preserve"> (</w:t>
      </w:r>
      <w:r w:rsidR="00BF7F4E">
        <w:t>SQL Server</w:t>
      </w:r>
      <w:r w:rsidR="00777FD0">
        <w:t>)</w:t>
      </w:r>
      <w:r w:rsidR="008E1005">
        <w:t>,</w:t>
      </w:r>
      <w:r w:rsidR="0045537A">
        <w:t xml:space="preserve"> </w:t>
      </w:r>
      <w:r w:rsidR="001A1E35">
        <w:t xml:space="preserve">as </w:t>
      </w:r>
      <w:r w:rsidR="008E1005">
        <w:t>the focus areas diagram in Figure 1</w:t>
      </w:r>
      <w:r w:rsidR="00A72E76">
        <w:t>-1</w:t>
      </w:r>
      <w:r w:rsidR="008E1005">
        <w:t xml:space="preserve"> </w:t>
      </w:r>
      <w:r w:rsidR="001A1E35">
        <w:t>show</w:t>
      </w:r>
      <w:r w:rsidR="008E1005">
        <w:t>s</w:t>
      </w:r>
      <w:r w:rsidR="001A1E35">
        <w:t>.</w:t>
      </w:r>
    </w:p>
    <w:p w:rsidR="00C012FB" w:rsidRDefault="00FA4718" w:rsidP="00445C6C">
      <w:r>
        <w:rPr>
          <w:noProof/>
        </w:rPr>
        <w:drawing>
          <wp:inline distT="0" distB="0" distL="0" distR="0">
            <wp:extent cx="2286000" cy="1792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1 - Figure 1.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1792224"/>
                    </a:xfrm>
                    <a:prstGeom prst="rect">
                      <a:avLst/>
                    </a:prstGeom>
                  </pic:spPr>
                </pic:pic>
              </a:graphicData>
            </a:graphic>
          </wp:inline>
        </w:drawing>
      </w:r>
    </w:p>
    <w:p w:rsidR="001A1E35" w:rsidRDefault="00C012FB" w:rsidP="00445C6C">
      <w:r w:rsidRPr="009D6A68">
        <w:rPr>
          <w:b/>
        </w:rPr>
        <w:t xml:space="preserve">Figure </w:t>
      </w:r>
      <w:r w:rsidR="00A72E76">
        <w:rPr>
          <w:b/>
        </w:rPr>
        <w:t>1-</w:t>
      </w:r>
      <w:r w:rsidRPr="009D6A68">
        <w:rPr>
          <w:b/>
        </w:rPr>
        <w:t>1</w:t>
      </w:r>
      <w:r>
        <w:t xml:space="preserve">: </w:t>
      </w:r>
      <w:r w:rsidR="00777FD0">
        <w:t>Microsoft EDW Architecture, Guidance and Deployment Best Practices</w:t>
      </w:r>
      <w:r>
        <w:t xml:space="preserve"> </w:t>
      </w:r>
      <w:r w:rsidR="008E1005">
        <w:t>f</w:t>
      </w:r>
      <w:r>
        <w:t>ocus areas</w:t>
      </w:r>
    </w:p>
    <w:p w:rsidR="007B01B7" w:rsidRDefault="007B01B7" w:rsidP="007B01B7">
      <w:r>
        <w:t>Note that migrating data warehouses to SQL Server from other platforms is an important topic, but it is also out of scope for this document.</w:t>
      </w:r>
    </w:p>
    <w:p w:rsidR="007B01B7" w:rsidRDefault="009D6A68" w:rsidP="007B01B7">
      <w:r>
        <w:t xml:space="preserve">The audience for this document is the project team </w:t>
      </w:r>
      <w:r w:rsidR="008E1005">
        <w:t>tasked with</w:t>
      </w:r>
      <w:r>
        <w:t xml:space="preserve"> designing, building, deploying, maintaining</w:t>
      </w:r>
      <w:r w:rsidR="008E1005">
        <w:t>,</w:t>
      </w:r>
      <w:r>
        <w:t xml:space="preserve"> and enhancing components </w:t>
      </w:r>
      <w:r w:rsidR="00FA4718">
        <w:t xml:space="preserve">for a </w:t>
      </w:r>
      <w:r w:rsidR="008E1005">
        <w:t>d</w:t>
      </w:r>
      <w:r>
        <w:t xml:space="preserve">ata </w:t>
      </w:r>
      <w:r w:rsidR="008E1005">
        <w:t>w</w:t>
      </w:r>
      <w:r>
        <w:t>arehouse</w:t>
      </w:r>
      <w:r w:rsidR="00BC3E64">
        <w:t xml:space="preserve"> </w:t>
      </w:r>
      <w:r w:rsidR="00FA4718">
        <w:t xml:space="preserve">built on top of the </w:t>
      </w:r>
      <w:r w:rsidR="00BF7F4E">
        <w:t>SQL Server</w:t>
      </w:r>
      <w:r w:rsidR="007B01B7">
        <w:t xml:space="preserve"> platform and contains the following chapters:</w:t>
      </w:r>
    </w:p>
    <w:p w:rsidR="00982734" w:rsidRDefault="00982734" w:rsidP="00587DB2">
      <w:pPr>
        <w:pStyle w:val="ListParagraph"/>
        <w:numPr>
          <w:ilvl w:val="0"/>
          <w:numId w:val="3"/>
        </w:numPr>
        <w:spacing w:after="120"/>
      </w:pPr>
      <w:r>
        <w:t xml:space="preserve">Introduction – </w:t>
      </w:r>
      <w:r w:rsidR="008E1005">
        <w:t>Providing an overview of the toolkit</w:t>
      </w:r>
      <w:r w:rsidR="006D6E51">
        <w:t>, key data warehouse phases and roles,</w:t>
      </w:r>
      <w:r w:rsidR="008E1005">
        <w:t xml:space="preserve"> and an</w:t>
      </w:r>
      <w:r>
        <w:t xml:space="preserve"> introduction </w:t>
      </w:r>
      <w:r w:rsidR="008E1005">
        <w:t>of</w:t>
      </w:r>
      <w:r>
        <w:t xml:space="preserve"> the remaining chapters</w:t>
      </w:r>
    </w:p>
    <w:p w:rsidR="00BC3E64" w:rsidRDefault="00BC3E64" w:rsidP="00587DB2">
      <w:pPr>
        <w:pStyle w:val="ListParagraph"/>
        <w:numPr>
          <w:ilvl w:val="0"/>
          <w:numId w:val="3"/>
        </w:numPr>
        <w:spacing w:after="120"/>
      </w:pPr>
      <w:r>
        <w:t xml:space="preserve">Data Architecture – </w:t>
      </w:r>
      <w:r w:rsidR="008E1005">
        <w:t>Covering design of the d</w:t>
      </w:r>
      <w:r>
        <w:t>atabase architecture and data models</w:t>
      </w:r>
    </w:p>
    <w:p w:rsidR="00BC3E64" w:rsidRDefault="00BC3E64" w:rsidP="00587DB2">
      <w:pPr>
        <w:pStyle w:val="ListParagraph"/>
        <w:numPr>
          <w:ilvl w:val="0"/>
          <w:numId w:val="3"/>
        </w:numPr>
        <w:spacing w:after="120"/>
      </w:pPr>
      <w:r>
        <w:t xml:space="preserve">Data Integration – </w:t>
      </w:r>
      <w:r w:rsidR="008E1005">
        <w:t>Addressing d</w:t>
      </w:r>
      <w:r>
        <w:t xml:space="preserve">ata movement to and </w:t>
      </w:r>
      <w:r w:rsidR="008E1005">
        <w:t>f</w:t>
      </w:r>
      <w:r>
        <w:t xml:space="preserve">rom the </w:t>
      </w:r>
      <w:r w:rsidR="008E1005">
        <w:t>d</w:t>
      </w:r>
      <w:r>
        <w:t xml:space="preserve">ata </w:t>
      </w:r>
      <w:r w:rsidR="008E1005">
        <w:t>w</w:t>
      </w:r>
      <w:r>
        <w:t>arehouse</w:t>
      </w:r>
    </w:p>
    <w:p w:rsidR="00BC3E64" w:rsidRDefault="00777FD0" w:rsidP="00587DB2">
      <w:pPr>
        <w:pStyle w:val="ListParagraph"/>
        <w:numPr>
          <w:ilvl w:val="0"/>
          <w:numId w:val="3"/>
        </w:numPr>
        <w:spacing w:after="120"/>
      </w:pPr>
      <w:r>
        <w:t xml:space="preserve">Database Administration </w:t>
      </w:r>
      <w:r w:rsidR="00BC3E64">
        <w:t xml:space="preserve">– </w:t>
      </w:r>
      <w:r w:rsidR="008E1005">
        <w:t>Explaining how to m</w:t>
      </w:r>
      <w:r w:rsidR="00BC3E64">
        <w:t>anag</w:t>
      </w:r>
      <w:r w:rsidR="008E1005">
        <w:t>e</w:t>
      </w:r>
      <w:r w:rsidR="00BC3E64">
        <w:t xml:space="preserve"> and </w:t>
      </w:r>
      <w:r w:rsidR="008E1005">
        <w:t>m</w:t>
      </w:r>
      <w:r w:rsidR="00BC3E64">
        <w:t xml:space="preserve">aintain the </w:t>
      </w:r>
      <w:r w:rsidR="008E1005">
        <w:t>d</w:t>
      </w:r>
      <w:r w:rsidR="00BC3E64">
        <w:t xml:space="preserve">ata </w:t>
      </w:r>
      <w:r w:rsidR="008E1005">
        <w:t>w</w:t>
      </w:r>
      <w:r w:rsidR="00BC3E64">
        <w:t>arehouse</w:t>
      </w:r>
    </w:p>
    <w:p w:rsidR="00BC3E64" w:rsidRDefault="002E2A56" w:rsidP="00587DB2">
      <w:pPr>
        <w:pStyle w:val="ListParagraph"/>
        <w:numPr>
          <w:ilvl w:val="0"/>
          <w:numId w:val="3"/>
        </w:numPr>
        <w:spacing w:after="120"/>
      </w:pPr>
      <w:r>
        <w:t>Querying, Performance Monitoring</w:t>
      </w:r>
      <w:r w:rsidR="006D6E51">
        <w:t xml:space="preserve">, </w:t>
      </w:r>
      <w:r>
        <w:t>and Tuning</w:t>
      </w:r>
      <w:r w:rsidR="00BC3E64">
        <w:t xml:space="preserve"> – </w:t>
      </w:r>
      <w:r w:rsidR="000241F8">
        <w:t>Covering optimization and m</w:t>
      </w:r>
      <w:r w:rsidR="00BC3E64">
        <w:t xml:space="preserve">onitoring </w:t>
      </w:r>
      <w:r w:rsidR="000241F8">
        <w:t>of q</w:t>
      </w:r>
      <w:r w:rsidR="00BC3E64">
        <w:t>uery and load performance</w:t>
      </w:r>
    </w:p>
    <w:p w:rsidR="00C40588" w:rsidRDefault="007B01B7">
      <w:r>
        <w:t>Although t</w:t>
      </w:r>
      <w:r w:rsidR="000241F8">
        <w:t xml:space="preserve">his document is </w:t>
      </w:r>
      <w:r>
        <w:t xml:space="preserve">primarily </w:t>
      </w:r>
      <w:r w:rsidR="000241F8">
        <w:t xml:space="preserve">written for </w:t>
      </w:r>
      <w:r w:rsidR="008C4B8F">
        <w:t xml:space="preserve">the </w:t>
      </w:r>
      <w:r>
        <w:t xml:space="preserve">data warehouse team’s </w:t>
      </w:r>
      <w:r w:rsidR="008C4B8F">
        <w:t>data architects, data developers</w:t>
      </w:r>
      <w:r w:rsidR="000241F8">
        <w:t>,</w:t>
      </w:r>
      <w:r w:rsidR="008C4B8F">
        <w:t xml:space="preserve"> and database administrators</w:t>
      </w:r>
      <w:r w:rsidR="00135921">
        <w:t xml:space="preserve"> (DBAs)</w:t>
      </w:r>
      <w:r>
        <w:t>, other team members involved in the development and maintenance of a data warehouse may also find this document useful.</w:t>
      </w:r>
    </w:p>
    <w:p w:rsidR="00592AA0" w:rsidRDefault="00592AA0" w:rsidP="00592AA0">
      <w:pPr>
        <w:pStyle w:val="Heading2"/>
      </w:pPr>
      <w:bookmarkStart w:id="2" w:name="_Toc274371185"/>
      <w:r>
        <w:lastRenderedPageBreak/>
        <w:t xml:space="preserve">Why </w:t>
      </w:r>
      <w:r w:rsidR="00C36C48">
        <w:t xml:space="preserve">a </w:t>
      </w:r>
      <w:r>
        <w:t>Data Warehouse?</w:t>
      </w:r>
      <w:bookmarkEnd w:id="2"/>
    </w:p>
    <w:p w:rsidR="00880FCE" w:rsidRDefault="00FF7517" w:rsidP="00592AA0">
      <w:r>
        <w:t xml:space="preserve">What’s the benefit of implementing a data warehouse? </w:t>
      </w:r>
      <w:r w:rsidR="0022220B">
        <w:t>Al</w:t>
      </w:r>
      <w:r>
        <w:t>though the answer is probably already clear</w:t>
      </w:r>
      <w:r w:rsidRPr="00014FAD">
        <w:t xml:space="preserve"> </w:t>
      </w:r>
      <w:r>
        <w:t>if you’re reading this paper, it’s worth revisiting the challenges that data warehouses</w:t>
      </w:r>
      <w:r w:rsidR="0022220B">
        <w:t xml:space="preserve"> address</w:t>
      </w:r>
      <w:r w:rsidR="00E2238E">
        <w:t>.</w:t>
      </w:r>
    </w:p>
    <w:p w:rsidR="00592AA0" w:rsidRDefault="00592AA0" w:rsidP="00592AA0">
      <w:r>
        <w:t>Relational databases have traditionally been the data store for Line of Business (LOB) applications. These applications require a “write-optimized” database t</w:t>
      </w:r>
      <w:r w:rsidR="0022220B">
        <w:t>hat</w:t>
      </w:r>
      <w:r>
        <w:t xml:space="preserve"> support</w:t>
      </w:r>
      <w:r w:rsidR="0022220B">
        <w:t>s</w:t>
      </w:r>
      <w:r>
        <w:t xml:space="preserve"> </w:t>
      </w:r>
      <w:r w:rsidR="0022220B">
        <w:t>thousands</w:t>
      </w:r>
      <w:r w:rsidR="0045537A">
        <w:t xml:space="preserve"> of concurrent users. Figure </w:t>
      </w:r>
      <w:r w:rsidR="00A72E76">
        <w:t>1-</w:t>
      </w:r>
      <w:r w:rsidR="0045537A">
        <w:t>2</w:t>
      </w:r>
      <w:r>
        <w:t xml:space="preserve"> shows the characteristics of a LOB application.</w:t>
      </w:r>
      <w:r w:rsidR="007E2F6E">
        <w:t xml:space="preserve"> </w:t>
      </w:r>
      <w:r w:rsidR="00FA4718">
        <w:rPr>
          <w:noProof/>
        </w:rPr>
        <w:drawing>
          <wp:inline distT="0" distB="0" distL="0" distR="0">
            <wp:extent cx="4315966" cy="1663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1 - Figure 2 - LOB.jpg"/>
                    <pic:cNvPicPr/>
                  </pic:nvPicPr>
                  <pic:blipFill>
                    <a:blip r:embed="rId13">
                      <a:extLst>
                        <a:ext uri="{28A0092B-C50C-407E-A947-70E740481C1C}">
                          <a14:useLocalDpi xmlns:a14="http://schemas.microsoft.com/office/drawing/2010/main" val="0"/>
                        </a:ext>
                      </a:extLst>
                    </a:blip>
                    <a:stretch>
                      <a:fillRect/>
                    </a:stretch>
                  </pic:blipFill>
                  <pic:spPr>
                    <a:xfrm>
                      <a:off x="0" y="0"/>
                      <a:ext cx="4315966" cy="1663159"/>
                    </a:xfrm>
                    <a:prstGeom prst="rect">
                      <a:avLst/>
                    </a:prstGeom>
                  </pic:spPr>
                </pic:pic>
              </a:graphicData>
            </a:graphic>
          </wp:inline>
        </w:drawing>
      </w:r>
    </w:p>
    <w:p w:rsidR="00592AA0" w:rsidRDefault="00592AA0" w:rsidP="00592AA0">
      <w:r w:rsidRPr="009D6A68">
        <w:rPr>
          <w:b/>
        </w:rPr>
        <w:t>Figure</w:t>
      </w:r>
      <w:r w:rsidR="00A72E76">
        <w:rPr>
          <w:b/>
        </w:rPr>
        <w:t>1-</w:t>
      </w:r>
      <w:r w:rsidR="00982734">
        <w:rPr>
          <w:b/>
        </w:rPr>
        <w:t>2</w:t>
      </w:r>
      <w:r>
        <w:t>: Line of Business application</w:t>
      </w:r>
      <w:r w:rsidR="0022220B">
        <w:t xml:space="preserve"> characteristics</w:t>
      </w:r>
    </w:p>
    <w:p w:rsidR="007E2F6E" w:rsidRDefault="007E2F6E" w:rsidP="00592AA0">
      <w:r>
        <w:t xml:space="preserve">Table 1 lists some characteristics of an </w:t>
      </w:r>
      <w:r w:rsidR="00AF7B33">
        <w:t xml:space="preserve">LOB </w:t>
      </w:r>
      <w:r>
        <w:t>workload</w:t>
      </w:r>
      <w:r w:rsidR="00AF7B33">
        <w:t>, which is also often referred to as On Line Transaction Processing or OLTP.</w:t>
      </w:r>
    </w:p>
    <w:tbl>
      <w:tblPr>
        <w:tblStyle w:val="TableGrid"/>
        <w:tblW w:w="0" w:type="auto"/>
        <w:tblLook w:val="04A0" w:firstRow="1" w:lastRow="0" w:firstColumn="1" w:lastColumn="0" w:noHBand="0" w:noVBand="1"/>
      </w:tblPr>
      <w:tblGrid>
        <w:gridCol w:w="2538"/>
        <w:gridCol w:w="4770"/>
      </w:tblGrid>
      <w:tr w:rsidR="00592AA0" w:rsidTr="007E2F6E">
        <w:tc>
          <w:tcPr>
            <w:tcW w:w="2538" w:type="dxa"/>
            <w:shd w:val="clear" w:color="auto" w:fill="D9D9D9" w:themeFill="background1" w:themeFillShade="D9"/>
          </w:tcPr>
          <w:p w:rsidR="00592AA0" w:rsidRPr="0022220B" w:rsidRDefault="00592AA0" w:rsidP="0022220B">
            <w:pPr>
              <w:spacing w:line="276" w:lineRule="auto"/>
              <w:rPr>
                <w:b/>
              </w:rPr>
            </w:pPr>
            <w:r w:rsidRPr="0022220B">
              <w:rPr>
                <w:b/>
              </w:rPr>
              <w:t>Characteristic</w:t>
            </w:r>
          </w:p>
        </w:tc>
        <w:tc>
          <w:tcPr>
            <w:tcW w:w="4770" w:type="dxa"/>
            <w:shd w:val="clear" w:color="auto" w:fill="D9D9D9" w:themeFill="background1" w:themeFillShade="D9"/>
          </w:tcPr>
          <w:p w:rsidR="00592AA0" w:rsidRPr="0022220B" w:rsidRDefault="00592AA0" w:rsidP="0022220B">
            <w:pPr>
              <w:spacing w:line="276" w:lineRule="auto"/>
              <w:rPr>
                <w:b/>
              </w:rPr>
            </w:pPr>
            <w:r w:rsidRPr="0022220B">
              <w:rPr>
                <w:b/>
              </w:rPr>
              <w:t>Line of Business (OLTP)</w:t>
            </w:r>
          </w:p>
        </w:tc>
      </w:tr>
      <w:tr w:rsidR="00592AA0" w:rsidTr="007E2F6E">
        <w:tc>
          <w:tcPr>
            <w:tcW w:w="2538" w:type="dxa"/>
          </w:tcPr>
          <w:p w:rsidR="00592AA0" w:rsidRDefault="00592AA0" w:rsidP="0022220B">
            <w:pPr>
              <w:spacing w:line="276" w:lineRule="auto"/>
            </w:pPr>
            <w:r>
              <w:t>Concurrent Users</w:t>
            </w:r>
          </w:p>
        </w:tc>
        <w:tc>
          <w:tcPr>
            <w:tcW w:w="4770" w:type="dxa"/>
          </w:tcPr>
          <w:p w:rsidR="00592AA0" w:rsidRDefault="00592AA0" w:rsidP="0022220B">
            <w:pPr>
              <w:spacing w:line="276" w:lineRule="auto"/>
            </w:pPr>
            <w:r>
              <w:t>Many (100</w:t>
            </w:r>
            <w:r w:rsidR="00FA4718">
              <w:t>s</w:t>
            </w:r>
            <w:r>
              <w:t xml:space="preserve"> - 10,000+)</w:t>
            </w:r>
          </w:p>
        </w:tc>
      </w:tr>
      <w:tr w:rsidR="00592AA0" w:rsidTr="007E2F6E">
        <w:tc>
          <w:tcPr>
            <w:tcW w:w="2538" w:type="dxa"/>
          </w:tcPr>
          <w:p w:rsidR="00592AA0" w:rsidRDefault="00592AA0" w:rsidP="0022220B">
            <w:pPr>
              <w:spacing w:line="276" w:lineRule="auto"/>
            </w:pPr>
            <w:r>
              <w:t>Database Access</w:t>
            </w:r>
          </w:p>
        </w:tc>
        <w:tc>
          <w:tcPr>
            <w:tcW w:w="4770" w:type="dxa"/>
          </w:tcPr>
          <w:p w:rsidR="00592AA0" w:rsidRDefault="00592AA0" w:rsidP="0022220B">
            <w:pPr>
              <w:spacing w:line="276" w:lineRule="auto"/>
            </w:pPr>
            <w:r>
              <w:t>Stored Procedures</w:t>
            </w:r>
            <w:r w:rsidR="00D42AFE">
              <w:t xml:space="preserve"> (Stored </w:t>
            </w:r>
            <w:proofErr w:type="spellStart"/>
            <w:r w:rsidR="00D42AFE">
              <w:t>Procs</w:t>
            </w:r>
            <w:proofErr w:type="spellEnd"/>
            <w:r w:rsidR="00D42AFE">
              <w:t>.)</w:t>
            </w:r>
            <w:r w:rsidR="0045537A">
              <w:t>, SQL</w:t>
            </w:r>
          </w:p>
        </w:tc>
      </w:tr>
      <w:tr w:rsidR="00592AA0" w:rsidTr="007E2F6E">
        <w:tc>
          <w:tcPr>
            <w:tcW w:w="2538" w:type="dxa"/>
          </w:tcPr>
          <w:p w:rsidR="00592AA0" w:rsidRDefault="00592AA0" w:rsidP="00694BB2">
            <w:pPr>
              <w:spacing w:line="276" w:lineRule="auto"/>
            </w:pPr>
            <w:r>
              <w:t xml:space="preserve">Transaction Scope </w:t>
            </w:r>
          </w:p>
        </w:tc>
        <w:tc>
          <w:tcPr>
            <w:tcW w:w="4770" w:type="dxa"/>
          </w:tcPr>
          <w:p w:rsidR="00592AA0" w:rsidRDefault="00FA4718" w:rsidP="0022220B">
            <w:pPr>
              <w:spacing w:line="276" w:lineRule="auto"/>
            </w:pPr>
            <w:r>
              <w:t xml:space="preserve">Short: One record – several </w:t>
            </w:r>
            <w:r w:rsidR="00592AA0">
              <w:t>records</w:t>
            </w:r>
          </w:p>
        </w:tc>
      </w:tr>
      <w:tr w:rsidR="00592AA0" w:rsidTr="007E2F6E">
        <w:tc>
          <w:tcPr>
            <w:tcW w:w="2538" w:type="dxa"/>
          </w:tcPr>
          <w:p w:rsidR="00592AA0" w:rsidRDefault="00592AA0" w:rsidP="0022220B">
            <w:pPr>
              <w:spacing w:line="276" w:lineRule="auto"/>
            </w:pPr>
            <w:r>
              <w:t>Database Operations</w:t>
            </w:r>
          </w:p>
        </w:tc>
        <w:tc>
          <w:tcPr>
            <w:tcW w:w="4770" w:type="dxa"/>
          </w:tcPr>
          <w:p w:rsidR="00592AA0" w:rsidRDefault="00592AA0" w:rsidP="0022220B">
            <w:pPr>
              <w:spacing w:line="276" w:lineRule="auto"/>
            </w:pPr>
            <w:r>
              <w:t>Singleton Selects, Inserts, Updates, Deletes</w:t>
            </w:r>
          </w:p>
        </w:tc>
      </w:tr>
      <w:tr w:rsidR="00592AA0" w:rsidTr="007E2F6E">
        <w:tc>
          <w:tcPr>
            <w:tcW w:w="2538" w:type="dxa"/>
          </w:tcPr>
          <w:p w:rsidR="00592AA0" w:rsidRDefault="00592AA0" w:rsidP="0022220B">
            <w:pPr>
              <w:spacing w:line="276" w:lineRule="auto"/>
            </w:pPr>
            <w:r>
              <w:t>Data Volatility</w:t>
            </w:r>
          </w:p>
        </w:tc>
        <w:tc>
          <w:tcPr>
            <w:tcW w:w="4770" w:type="dxa"/>
          </w:tcPr>
          <w:p w:rsidR="00592AA0" w:rsidRDefault="00592AA0" w:rsidP="0022220B">
            <w:pPr>
              <w:spacing w:line="276" w:lineRule="auto"/>
            </w:pPr>
            <w:r>
              <w:t>Volatile, Current Data</w:t>
            </w:r>
          </w:p>
        </w:tc>
      </w:tr>
    </w:tbl>
    <w:p w:rsidR="00592AA0" w:rsidRPr="007E2F6E" w:rsidRDefault="0022220B" w:rsidP="00592AA0">
      <w:r w:rsidRPr="0022220B">
        <w:rPr>
          <w:b/>
        </w:rPr>
        <w:t xml:space="preserve">Table </w:t>
      </w:r>
      <w:r w:rsidR="00A72E76">
        <w:rPr>
          <w:b/>
        </w:rPr>
        <w:t>1-</w:t>
      </w:r>
      <w:r w:rsidRPr="0022220B">
        <w:rPr>
          <w:b/>
        </w:rPr>
        <w:t xml:space="preserve">1: </w:t>
      </w:r>
      <w:r w:rsidR="007E2F6E">
        <w:t>LOB workload characteristics</w:t>
      </w:r>
    </w:p>
    <w:p w:rsidR="00592AA0" w:rsidRDefault="00592AA0" w:rsidP="00592AA0">
      <w:r>
        <w:t xml:space="preserve">Everything </w:t>
      </w:r>
      <w:r w:rsidR="0022220B">
        <w:t>works</w:t>
      </w:r>
      <w:r>
        <w:t xml:space="preserve"> well until the business starts running </w:t>
      </w:r>
      <w:r w:rsidR="0045537A">
        <w:t xml:space="preserve">large </w:t>
      </w:r>
      <w:r>
        <w:t xml:space="preserve">reports against the </w:t>
      </w:r>
      <w:r w:rsidR="00FA4718">
        <w:t>database</w:t>
      </w:r>
      <w:r w:rsidR="0022220B">
        <w:t>,</w:t>
      </w:r>
      <w:r w:rsidR="00FA4718">
        <w:t xml:space="preserve"> as shown in F</w:t>
      </w:r>
      <w:r w:rsidR="0045537A">
        <w:t xml:space="preserve">igure </w:t>
      </w:r>
      <w:r w:rsidR="00A72E76">
        <w:t>1-</w:t>
      </w:r>
      <w:r w:rsidR="0045537A">
        <w:t>3</w:t>
      </w:r>
      <w:r>
        <w:t>.</w:t>
      </w:r>
    </w:p>
    <w:p w:rsidR="00592AA0" w:rsidRDefault="00FA4718" w:rsidP="00592AA0">
      <w:r>
        <w:rPr>
          <w:noProof/>
        </w:rPr>
        <w:drawing>
          <wp:inline distT="0" distB="0" distL="0" distR="0">
            <wp:extent cx="5376670" cy="1676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1 - Figure 3 - LOB reporting.jpg"/>
                    <pic:cNvPicPr/>
                  </pic:nvPicPr>
                  <pic:blipFill>
                    <a:blip r:embed="rId14">
                      <a:extLst>
                        <a:ext uri="{28A0092B-C50C-407E-A947-70E740481C1C}">
                          <a14:useLocalDpi xmlns:a14="http://schemas.microsoft.com/office/drawing/2010/main" val="0"/>
                        </a:ext>
                      </a:extLst>
                    </a:blip>
                    <a:stretch>
                      <a:fillRect/>
                    </a:stretch>
                  </pic:blipFill>
                  <pic:spPr>
                    <a:xfrm>
                      <a:off x="0" y="0"/>
                      <a:ext cx="5376670" cy="1676792"/>
                    </a:xfrm>
                    <a:prstGeom prst="rect">
                      <a:avLst/>
                    </a:prstGeom>
                  </pic:spPr>
                </pic:pic>
              </a:graphicData>
            </a:graphic>
          </wp:inline>
        </w:drawing>
      </w:r>
    </w:p>
    <w:p w:rsidR="00592AA0" w:rsidRDefault="00592AA0" w:rsidP="00592AA0">
      <w:r w:rsidRPr="009D6A68">
        <w:rPr>
          <w:b/>
        </w:rPr>
        <w:t xml:space="preserve">Figure </w:t>
      </w:r>
      <w:r w:rsidR="00A72E76">
        <w:rPr>
          <w:b/>
        </w:rPr>
        <w:t>1-</w:t>
      </w:r>
      <w:r>
        <w:rPr>
          <w:b/>
        </w:rPr>
        <w:t>3</w:t>
      </w:r>
      <w:r>
        <w:t>: Reporting against a L</w:t>
      </w:r>
      <w:r w:rsidR="0022220B">
        <w:t>OB</w:t>
      </w:r>
      <w:r>
        <w:t xml:space="preserve"> database</w:t>
      </w:r>
    </w:p>
    <w:p w:rsidR="00592AA0" w:rsidRDefault="00B40701" w:rsidP="00592AA0">
      <w:r>
        <w:lastRenderedPageBreak/>
        <w:t xml:space="preserve">In such scenarios, you’ll start seeing </w:t>
      </w:r>
      <w:r w:rsidR="0045537A">
        <w:t>L</w:t>
      </w:r>
      <w:r w:rsidR="0022220B">
        <w:t>OB</w:t>
      </w:r>
      <w:r w:rsidR="0045537A">
        <w:t xml:space="preserve"> database </w:t>
      </w:r>
      <w:r w:rsidR="00592AA0">
        <w:t>reporting issues</w:t>
      </w:r>
      <w:r>
        <w:t>, including</w:t>
      </w:r>
      <w:r w:rsidR="00592AA0">
        <w:t>:</w:t>
      </w:r>
    </w:p>
    <w:p w:rsidR="00592AA0" w:rsidRDefault="00592AA0" w:rsidP="00587DB2">
      <w:pPr>
        <w:pStyle w:val="ListParagraph"/>
        <w:numPr>
          <w:ilvl w:val="0"/>
          <w:numId w:val="4"/>
        </w:numPr>
      </w:pPr>
      <w:r w:rsidRPr="0022220B">
        <w:rPr>
          <w:b/>
        </w:rPr>
        <w:t>Blocking and locking</w:t>
      </w:r>
      <w:r>
        <w:t xml:space="preserve"> </w:t>
      </w:r>
      <w:r w:rsidR="00880FCE">
        <w:t>- Reports</w:t>
      </w:r>
      <w:r>
        <w:t xml:space="preserve"> of any size will request many rows from many tables joined together in one Select statement. This results in the report blocking LOB application activity.</w:t>
      </w:r>
    </w:p>
    <w:p w:rsidR="00880FCE" w:rsidRPr="00880FCE" w:rsidRDefault="00880FCE" w:rsidP="00587DB2">
      <w:pPr>
        <w:pStyle w:val="ListParagraph"/>
        <w:numPr>
          <w:ilvl w:val="0"/>
          <w:numId w:val="4"/>
        </w:numPr>
      </w:pPr>
      <w:r w:rsidRPr="00B40701">
        <w:rPr>
          <w:b/>
        </w:rPr>
        <w:t>Poor performance</w:t>
      </w:r>
      <w:r>
        <w:t xml:space="preserve"> – Report performance is </w:t>
      </w:r>
      <w:r w:rsidR="00B40701">
        <w:t>often</w:t>
      </w:r>
      <w:r>
        <w:t xml:space="preserve"> sub</w:t>
      </w:r>
      <w:r w:rsidR="00B40701">
        <w:t>-</w:t>
      </w:r>
      <w:r>
        <w:t xml:space="preserve">optimal even if there’s no blocking </w:t>
      </w:r>
      <w:r w:rsidR="00B40701">
        <w:t>simply because of</w:t>
      </w:r>
      <w:r>
        <w:t xml:space="preserve"> the amount of joins required to produce the results.</w:t>
      </w:r>
    </w:p>
    <w:p w:rsidR="00592AA0" w:rsidRDefault="00592AA0" w:rsidP="00587DB2">
      <w:pPr>
        <w:pStyle w:val="ListParagraph"/>
        <w:numPr>
          <w:ilvl w:val="0"/>
          <w:numId w:val="4"/>
        </w:numPr>
      </w:pPr>
      <w:r w:rsidRPr="00B40701">
        <w:rPr>
          <w:b/>
        </w:rPr>
        <w:t xml:space="preserve">Lack of </w:t>
      </w:r>
      <w:r w:rsidR="00B40701">
        <w:rPr>
          <w:b/>
        </w:rPr>
        <w:t>h</w:t>
      </w:r>
      <w:r w:rsidRPr="00B40701">
        <w:rPr>
          <w:b/>
        </w:rPr>
        <w:t>istory</w:t>
      </w:r>
      <w:r>
        <w:t xml:space="preserve"> –</w:t>
      </w:r>
      <w:r w:rsidR="00880FCE">
        <w:t xml:space="preserve"> Many reports, </w:t>
      </w:r>
      <w:r w:rsidR="00B40701">
        <w:t xml:space="preserve">such as </w:t>
      </w:r>
      <w:r w:rsidR="00880FCE">
        <w:t>trend analysis</w:t>
      </w:r>
      <w:r w:rsidR="00B40701">
        <w:t>,</w:t>
      </w:r>
      <w:r w:rsidR="00880FCE">
        <w:t xml:space="preserve"> require historical data to report trends</w:t>
      </w:r>
      <w:r w:rsidR="00B40701">
        <w:t xml:space="preserve"> over</w:t>
      </w:r>
      <w:r w:rsidR="00880FCE">
        <w:t>. LOB systems overwrite historical data with current data</w:t>
      </w:r>
      <w:r w:rsidR="00B40701">
        <w:t>,</w:t>
      </w:r>
      <w:r w:rsidR="00880FCE">
        <w:t xml:space="preserve"> making it impossible to report on historical data.</w:t>
      </w:r>
    </w:p>
    <w:p w:rsidR="00C36C48" w:rsidRDefault="00C36C48" w:rsidP="00587DB2">
      <w:pPr>
        <w:pStyle w:val="ListParagraph"/>
        <w:numPr>
          <w:ilvl w:val="0"/>
          <w:numId w:val="4"/>
        </w:numPr>
      </w:pPr>
      <w:r w:rsidRPr="00B40701">
        <w:rPr>
          <w:b/>
        </w:rPr>
        <w:t>Scope</w:t>
      </w:r>
      <w:r w:rsidRPr="00B40701">
        <w:t xml:space="preserve"> </w:t>
      </w:r>
      <w:r>
        <w:t xml:space="preserve">– </w:t>
      </w:r>
      <w:r w:rsidR="00B40701">
        <w:t xml:space="preserve">Organizations frequently need to </w:t>
      </w:r>
      <w:r>
        <w:t>report on enterprise level information. This requires information from multiple subject areas</w:t>
      </w:r>
      <w:r w:rsidR="00B40701">
        <w:t>,</w:t>
      </w:r>
      <w:r>
        <w:t xml:space="preserve"> which can span multiple LOB systems.</w:t>
      </w:r>
    </w:p>
    <w:p w:rsidR="00C36C48" w:rsidRDefault="00C36C48" w:rsidP="00C36C48">
      <w:r>
        <w:t xml:space="preserve">These LOB reporting limitations then become requirements for a </w:t>
      </w:r>
      <w:r w:rsidR="00B40701">
        <w:t>d</w:t>
      </w:r>
      <w:r>
        <w:t>ata warehouse</w:t>
      </w:r>
      <w:r w:rsidR="00B40701">
        <w:t>:</w:t>
      </w:r>
    </w:p>
    <w:p w:rsidR="00C36C48" w:rsidRDefault="00C36C48" w:rsidP="00587DB2">
      <w:pPr>
        <w:pStyle w:val="ListParagraph"/>
        <w:numPr>
          <w:ilvl w:val="0"/>
          <w:numId w:val="5"/>
        </w:numPr>
      </w:pPr>
      <w:r w:rsidRPr="00B40701">
        <w:rPr>
          <w:b/>
        </w:rPr>
        <w:t>Scope</w:t>
      </w:r>
      <w:r>
        <w:t xml:space="preserve"> – The ability to report on the “</w:t>
      </w:r>
      <w:r w:rsidR="00B40701">
        <w:t>b</w:t>
      </w:r>
      <w:r>
        <w:t>ig picture”</w:t>
      </w:r>
    </w:p>
    <w:p w:rsidR="00C36C48" w:rsidRDefault="00694BB2" w:rsidP="00587DB2">
      <w:pPr>
        <w:pStyle w:val="ListParagraph"/>
        <w:numPr>
          <w:ilvl w:val="0"/>
          <w:numId w:val="5"/>
        </w:numPr>
      </w:pPr>
      <w:r>
        <w:rPr>
          <w:b/>
        </w:rPr>
        <w:t>History</w:t>
      </w:r>
      <w:r w:rsidR="00C36C48" w:rsidRPr="00B40701">
        <w:t xml:space="preserve"> </w:t>
      </w:r>
      <w:r w:rsidR="00C36C48">
        <w:t>– The ability to report on historical information</w:t>
      </w:r>
    </w:p>
    <w:p w:rsidR="00C36C48" w:rsidRDefault="00C36C48" w:rsidP="00587DB2">
      <w:pPr>
        <w:pStyle w:val="ListParagraph"/>
        <w:numPr>
          <w:ilvl w:val="0"/>
          <w:numId w:val="5"/>
        </w:numPr>
      </w:pPr>
      <w:r w:rsidRPr="00B40701">
        <w:rPr>
          <w:b/>
        </w:rPr>
        <w:t>Read optimized</w:t>
      </w:r>
      <w:r w:rsidRPr="00B40701">
        <w:t xml:space="preserve"> </w:t>
      </w:r>
      <w:r>
        <w:t xml:space="preserve">– Data models that are tuned </w:t>
      </w:r>
      <w:r w:rsidR="00694BB2">
        <w:t>in</w:t>
      </w:r>
      <w:r>
        <w:t xml:space="preserve"> support </w:t>
      </w:r>
      <w:r w:rsidR="00694BB2">
        <w:t xml:space="preserve">of </w:t>
      </w:r>
      <w:r>
        <w:t>large queries</w:t>
      </w:r>
    </w:p>
    <w:p w:rsidR="0028507A" w:rsidRDefault="0028507A" w:rsidP="0028507A">
      <w:r>
        <w:t xml:space="preserve">These requirements in turn feed into </w:t>
      </w:r>
      <w:r w:rsidR="00B40701">
        <w:t>the following challenges for properly designing and implementing the data warehouse</w:t>
      </w:r>
      <w:r>
        <w:t>:</w:t>
      </w:r>
    </w:p>
    <w:p w:rsidR="0028507A" w:rsidRDefault="0028507A" w:rsidP="00587DB2">
      <w:pPr>
        <w:pStyle w:val="ListParagraph"/>
        <w:numPr>
          <w:ilvl w:val="0"/>
          <w:numId w:val="6"/>
        </w:numPr>
      </w:pPr>
      <w:r w:rsidRPr="00B40701">
        <w:rPr>
          <w:b/>
        </w:rPr>
        <w:t>Scope</w:t>
      </w:r>
      <w:r>
        <w:t xml:space="preserve"> – The scope</w:t>
      </w:r>
      <w:r w:rsidR="004053EA">
        <w:t xml:space="preserve"> of a </w:t>
      </w:r>
      <w:r w:rsidR="00B40701">
        <w:t>d</w:t>
      </w:r>
      <w:r w:rsidR="004053EA">
        <w:t xml:space="preserve">ata warehouse </w:t>
      </w:r>
      <w:r w:rsidR="00694BB2">
        <w:t xml:space="preserve">often crosses organizational boundaries and </w:t>
      </w:r>
      <w:r w:rsidR="004053EA">
        <w:t xml:space="preserve">requires </w:t>
      </w:r>
      <w:r w:rsidR="00444FAB">
        <w:t xml:space="preserve">strong </w:t>
      </w:r>
      <w:r w:rsidR="00694BB2">
        <w:t xml:space="preserve">communication and </w:t>
      </w:r>
      <w:r>
        <w:t xml:space="preserve">governance at </w:t>
      </w:r>
      <w:r w:rsidR="00444FAB">
        <w:t xml:space="preserve">the </w:t>
      </w:r>
      <w:r w:rsidR="00B40701">
        <w:t>e</w:t>
      </w:r>
      <w:r>
        <w:t>nterprise level</w:t>
      </w:r>
      <w:r w:rsidR="004053EA">
        <w:t>.</w:t>
      </w:r>
      <w:r w:rsidR="00694BB2">
        <w:t xml:space="preserve"> </w:t>
      </w:r>
    </w:p>
    <w:p w:rsidR="0028507A" w:rsidRDefault="0028507A" w:rsidP="00587DB2">
      <w:pPr>
        <w:pStyle w:val="ListParagraph"/>
        <w:numPr>
          <w:ilvl w:val="0"/>
          <w:numId w:val="6"/>
        </w:numPr>
      </w:pPr>
      <w:r w:rsidRPr="00B40701">
        <w:rPr>
          <w:b/>
        </w:rPr>
        <w:t>Scale</w:t>
      </w:r>
      <w:r w:rsidRPr="00B40701">
        <w:t xml:space="preserve"> </w:t>
      </w:r>
      <w:r>
        <w:t xml:space="preserve">– The large volumes of data </w:t>
      </w:r>
      <w:r w:rsidR="004E60FE">
        <w:t>involved require an appropriate database configuration, a scalable software platform</w:t>
      </w:r>
      <w:r w:rsidR="00B40701">
        <w:t>,</w:t>
      </w:r>
      <w:r w:rsidR="004E60FE">
        <w:t xml:space="preserve"> and correctly configured</w:t>
      </w:r>
      <w:r w:rsidR="00B40701">
        <w:t>,</w:t>
      </w:r>
      <w:r w:rsidR="004E60FE">
        <w:t xml:space="preserve"> scalable hardware.</w:t>
      </w:r>
    </w:p>
    <w:p w:rsidR="004E60FE" w:rsidRDefault="004E60FE" w:rsidP="00587DB2">
      <w:pPr>
        <w:pStyle w:val="ListParagraph"/>
        <w:numPr>
          <w:ilvl w:val="0"/>
          <w:numId w:val="6"/>
        </w:numPr>
      </w:pPr>
      <w:r w:rsidRPr="00B40701">
        <w:rPr>
          <w:b/>
        </w:rPr>
        <w:t xml:space="preserve">Read </w:t>
      </w:r>
      <w:r w:rsidR="00B40701">
        <w:rPr>
          <w:b/>
        </w:rPr>
        <w:t>p</w:t>
      </w:r>
      <w:r w:rsidRPr="00B40701">
        <w:rPr>
          <w:b/>
        </w:rPr>
        <w:t>erformance</w:t>
      </w:r>
      <w:r w:rsidRPr="00B40701">
        <w:t xml:space="preserve"> </w:t>
      </w:r>
      <w:r>
        <w:t>– Read</w:t>
      </w:r>
      <w:r w:rsidR="00B40701">
        <w:t>-</w:t>
      </w:r>
      <w:r>
        <w:t>optimizing large volumes of data requires a solid data model and</w:t>
      </w:r>
      <w:r w:rsidR="00B40701">
        <w:t>,</w:t>
      </w:r>
      <w:r>
        <w:t xml:space="preserve"> often</w:t>
      </w:r>
      <w:r w:rsidR="00B40701">
        <w:t>,</w:t>
      </w:r>
      <w:r>
        <w:t xml:space="preserve"> physical partitioning schemes to meet the performance needs of the business.</w:t>
      </w:r>
    </w:p>
    <w:p w:rsidR="004E60FE" w:rsidRDefault="004E60FE" w:rsidP="00587DB2">
      <w:pPr>
        <w:pStyle w:val="ListParagraph"/>
        <w:numPr>
          <w:ilvl w:val="0"/>
          <w:numId w:val="6"/>
        </w:numPr>
      </w:pPr>
      <w:r w:rsidRPr="00B40701">
        <w:rPr>
          <w:b/>
        </w:rPr>
        <w:t xml:space="preserve">Load </w:t>
      </w:r>
      <w:r w:rsidR="00B40701">
        <w:rPr>
          <w:b/>
        </w:rPr>
        <w:t>p</w:t>
      </w:r>
      <w:r w:rsidRPr="00B40701">
        <w:rPr>
          <w:b/>
        </w:rPr>
        <w:t>erformance</w:t>
      </w:r>
      <w:r w:rsidRPr="00B40701">
        <w:t xml:space="preserve"> </w:t>
      </w:r>
      <w:r>
        <w:t>– Loading large amounts of data into a read-optimized data model within decreasing windows of time requires efficient load procedures.</w:t>
      </w:r>
    </w:p>
    <w:p w:rsidR="00E1380E" w:rsidRDefault="00E1380E" w:rsidP="004E60FE">
      <w:pPr>
        <w:pStyle w:val="ListParagraph"/>
        <w:ind w:left="0"/>
      </w:pPr>
    </w:p>
    <w:p w:rsidR="004E60FE" w:rsidRDefault="00474B15" w:rsidP="004E60FE">
      <w:pPr>
        <w:pStyle w:val="ListParagraph"/>
        <w:ind w:left="0"/>
      </w:pPr>
      <w:r>
        <w:t>Data warehouses have traditionally addressed the above challenges by serializing different classes of activities</w:t>
      </w:r>
      <w:r w:rsidR="00B40701">
        <w:t>,</w:t>
      </w:r>
      <w:r>
        <w:t xml:space="preserve"> as </w:t>
      </w:r>
      <w:r w:rsidR="00B40701">
        <w:t xml:space="preserve">we’ll see in the </w:t>
      </w:r>
      <w:r>
        <w:t>next section.</w:t>
      </w:r>
    </w:p>
    <w:p w:rsidR="00AB5266" w:rsidRDefault="005053DE" w:rsidP="00E1380E">
      <w:pPr>
        <w:pStyle w:val="Heading3"/>
      </w:pPr>
      <w:bookmarkStart w:id="3" w:name="_Toc274371186"/>
      <w:r>
        <w:t xml:space="preserve">Data </w:t>
      </w:r>
      <w:r w:rsidRPr="00FA3E85">
        <w:t>Warehouse</w:t>
      </w:r>
      <w:r>
        <w:t xml:space="preserve"> </w:t>
      </w:r>
      <w:r w:rsidR="00E1380E">
        <w:t>Access Patterns</w:t>
      </w:r>
      <w:bookmarkEnd w:id="3"/>
    </w:p>
    <w:p w:rsidR="000029CF" w:rsidRDefault="000029CF" w:rsidP="005053DE">
      <w:r>
        <w:t xml:space="preserve">As Data warehouses mature over time, the emphasis shifts from making data available to consumers to the production of data. Many times this translates into the Data warehouse having a </w:t>
      </w:r>
      <w:r w:rsidRPr="00200686">
        <w:rPr>
          <w:b/>
        </w:rPr>
        <w:t>Production data area</w:t>
      </w:r>
      <w:r>
        <w:t xml:space="preserve"> and a </w:t>
      </w:r>
      <w:r w:rsidRPr="00200686">
        <w:rPr>
          <w:b/>
        </w:rPr>
        <w:t>Consumption data area</w:t>
      </w:r>
      <w:r>
        <w:t xml:space="preserve">. Data production processes typically run at night </w:t>
      </w:r>
      <w:r w:rsidR="00EA413F">
        <w:t xml:space="preserve">as shown in Figure 1-4. </w:t>
      </w:r>
      <w:r w:rsidR="007F6273">
        <w:t xml:space="preserve">The start time traditionally has depended upon </w:t>
      </w:r>
      <w:r>
        <w:t>when Source syst</w:t>
      </w:r>
      <w:r w:rsidR="00037F9E">
        <w:t>em</w:t>
      </w:r>
      <w:r w:rsidR="007F6273">
        <w:t>s</w:t>
      </w:r>
      <w:r w:rsidR="00037F9E">
        <w:t xml:space="preserve"> </w:t>
      </w:r>
      <w:r w:rsidR="007F6273">
        <w:t>have completed their daily processing and post-processing</w:t>
      </w:r>
      <w:r w:rsidR="00037F9E">
        <w:t>.</w:t>
      </w:r>
    </w:p>
    <w:p w:rsidR="00E2238E" w:rsidRDefault="00FA4718" w:rsidP="005053DE">
      <w:r>
        <w:rPr>
          <w:noProof/>
        </w:rPr>
        <w:lastRenderedPageBreak/>
        <w:drawing>
          <wp:inline distT="0" distB="0" distL="0" distR="0">
            <wp:extent cx="5806440" cy="1179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1 - Figure 4 - DW access patterns.jpg"/>
                    <pic:cNvPicPr/>
                  </pic:nvPicPr>
                  <pic:blipFill>
                    <a:blip r:embed="rId15">
                      <a:extLst>
                        <a:ext uri="{28A0092B-C50C-407E-A947-70E740481C1C}">
                          <a14:useLocalDpi xmlns:a14="http://schemas.microsoft.com/office/drawing/2010/main" val="0"/>
                        </a:ext>
                      </a:extLst>
                    </a:blip>
                    <a:stretch>
                      <a:fillRect/>
                    </a:stretch>
                  </pic:blipFill>
                  <pic:spPr>
                    <a:xfrm>
                      <a:off x="0" y="0"/>
                      <a:ext cx="5806440" cy="1179576"/>
                    </a:xfrm>
                    <a:prstGeom prst="rect">
                      <a:avLst/>
                    </a:prstGeom>
                  </pic:spPr>
                </pic:pic>
              </a:graphicData>
            </a:graphic>
          </wp:inline>
        </w:drawing>
      </w:r>
    </w:p>
    <w:p w:rsidR="00532710" w:rsidRDefault="00532710" w:rsidP="00532710">
      <w:r w:rsidRPr="009D6A68">
        <w:rPr>
          <w:b/>
        </w:rPr>
        <w:t xml:space="preserve">Figure </w:t>
      </w:r>
      <w:r w:rsidR="00A72E76">
        <w:rPr>
          <w:b/>
        </w:rPr>
        <w:t>1-</w:t>
      </w:r>
      <w:r w:rsidR="00D216D1">
        <w:rPr>
          <w:b/>
        </w:rPr>
        <w:t>4</w:t>
      </w:r>
      <w:r>
        <w:t xml:space="preserve">: Data </w:t>
      </w:r>
      <w:r w:rsidR="001952B3">
        <w:t>w</w:t>
      </w:r>
      <w:r>
        <w:t xml:space="preserve">arehouse </w:t>
      </w:r>
      <w:r w:rsidR="00474B15">
        <w:t>access patterns</w:t>
      </w:r>
    </w:p>
    <w:p w:rsidR="00037F9E" w:rsidRDefault="00037F9E" w:rsidP="005053DE">
      <w:r>
        <w:t xml:space="preserve">Note that the </w:t>
      </w:r>
      <w:r w:rsidR="00200686">
        <w:t>C</w:t>
      </w:r>
      <w:r>
        <w:t xml:space="preserve">onsumption area is unavailable to consumers during a certain period of time each day; </w:t>
      </w:r>
      <w:r w:rsidR="007F6273">
        <w:t xml:space="preserve">usually this </w:t>
      </w:r>
      <w:r>
        <w:t>is in the early morning hours when usage is at its lowest. This is due to the fact that load and maintenance activities are write intensive and perform best when they have exclusive access to the database. Also note that the Production area also has backup and maintenance activities, but these can be scheduled throughout the day and are less dependent upon consumer activity.</w:t>
      </w:r>
    </w:p>
    <w:p w:rsidR="00E2238E" w:rsidRDefault="001952B3" w:rsidP="005053DE">
      <w:r>
        <w:t>However, t</w:t>
      </w:r>
      <w:r w:rsidR="00E2238E">
        <w:t>here is increas</w:t>
      </w:r>
      <w:r w:rsidR="009A6F1E">
        <w:t>ing</w:t>
      </w:r>
      <w:r w:rsidR="00E2238E">
        <w:t xml:space="preserve"> pressure to compress the period of time that </w:t>
      </w:r>
      <w:r w:rsidR="009A6F1E">
        <w:t>d</w:t>
      </w:r>
      <w:r w:rsidR="00E2238E">
        <w:t>ata warehouse</w:t>
      </w:r>
      <w:r w:rsidR="00037F9E">
        <w:t xml:space="preserve"> consumption area is </w:t>
      </w:r>
      <w:r w:rsidR="00E2238E">
        <w:t>closed to consumers</w:t>
      </w:r>
      <w:r w:rsidR="009A6F1E">
        <w:t>,</w:t>
      </w:r>
      <w:r w:rsidR="00E2238E">
        <w:t xml:space="preserve"> including:</w:t>
      </w:r>
    </w:p>
    <w:p w:rsidR="00532710" w:rsidRDefault="00386D06" w:rsidP="00587DB2">
      <w:pPr>
        <w:pStyle w:val="ListParagraph"/>
        <w:numPr>
          <w:ilvl w:val="0"/>
          <w:numId w:val="7"/>
        </w:numPr>
      </w:pPr>
      <w:r>
        <w:t>Requirements to keep the</w:t>
      </w:r>
      <w:r w:rsidR="00E2238E">
        <w:t xml:space="preserve"> </w:t>
      </w:r>
      <w:r>
        <w:t>d</w:t>
      </w:r>
      <w:r w:rsidR="00E2238E">
        <w:t>ata warehouse</w:t>
      </w:r>
      <w:r>
        <w:t>s available for longer periods.</w:t>
      </w:r>
      <w:r w:rsidR="00E2238E">
        <w:t xml:space="preserve"> </w:t>
      </w:r>
      <w:r w:rsidR="00C62568">
        <w:t>Picture a global Fortune 1000 company with business consumers in all time zones. In these cases</w:t>
      </w:r>
      <w:r>
        <w:t>,</w:t>
      </w:r>
      <w:r w:rsidR="00C62568">
        <w:t xml:space="preserve"> </w:t>
      </w:r>
      <w:r w:rsidR="00EA413F">
        <w:t>the argument can be made that the Data warehouse should always be open for business</w:t>
      </w:r>
      <w:r w:rsidR="00C62568">
        <w:t>.</w:t>
      </w:r>
    </w:p>
    <w:p w:rsidR="00532710" w:rsidRDefault="00DA3D95" w:rsidP="005053DE">
      <w:r>
        <w:t>Combine th</w:t>
      </w:r>
      <w:r w:rsidR="00386D06">
        <w:t>ese demands</w:t>
      </w:r>
      <w:r>
        <w:t xml:space="preserve"> with </w:t>
      </w:r>
      <w:r w:rsidR="00EA413F">
        <w:t xml:space="preserve">increased volumes of data plus the </w:t>
      </w:r>
      <w:r>
        <w:t>desire for more current data</w:t>
      </w:r>
      <w:r w:rsidR="00386D06">
        <w:t>,</w:t>
      </w:r>
      <w:r>
        <w:t xml:space="preserve"> and you can see </w:t>
      </w:r>
      <w:r w:rsidR="00386D06">
        <w:t>the challenges</w:t>
      </w:r>
      <w:r>
        <w:t xml:space="preserve"> </w:t>
      </w:r>
      <w:r w:rsidR="00386D06">
        <w:t>d</w:t>
      </w:r>
      <w:r>
        <w:t>ata warehouse team</w:t>
      </w:r>
      <w:r w:rsidR="00386D06">
        <w:t>s face as they try to</w:t>
      </w:r>
      <w:r>
        <w:t xml:space="preserve"> meet all business requirements while maintaining good performance</w:t>
      </w:r>
      <w:r w:rsidR="002E3350">
        <w:t xml:space="preserve"> and producing high quality data. Data quality is foundational to business trusting the data within the Data warehouse and is a core requirement for the Data production processes.</w:t>
      </w:r>
    </w:p>
    <w:p w:rsidR="00E1380E" w:rsidRDefault="00E1380E" w:rsidP="00E1380E">
      <w:pPr>
        <w:pStyle w:val="Heading2"/>
      </w:pPr>
      <w:bookmarkStart w:id="4" w:name="_Toc274371187"/>
      <w:r>
        <w:t>Data Warehouse Components</w:t>
      </w:r>
      <w:bookmarkEnd w:id="4"/>
    </w:p>
    <w:p w:rsidR="007009F0" w:rsidRDefault="001306FF" w:rsidP="00EA413F">
      <w:pPr>
        <w:pStyle w:val="ListParagraph"/>
        <w:spacing w:after="120"/>
        <w:ind w:left="0"/>
      </w:pPr>
      <w:r>
        <w:t>Let’s look more closely at the data warehouse, beginning with a</w:t>
      </w:r>
      <w:r w:rsidR="00386D06">
        <w:t xml:space="preserve">n overview of </w:t>
      </w:r>
      <w:r w:rsidR="000F4625">
        <w:t>its</w:t>
      </w:r>
      <w:r w:rsidR="00386D06">
        <w:t xml:space="preserve"> components. </w:t>
      </w:r>
      <w:r w:rsidR="00E1380E">
        <w:t>The Corporate Information Factory</w:t>
      </w:r>
      <w:r w:rsidR="007009F0">
        <w:t xml:space="preserve"> (CIF)</w:t>
      </w:r>
      <w:r w:rsidR="00E1380E">
        <w:t>, a well-known architecture in the industry</w:t>
      </w:r>
      <w:r w:rsidR="000F4625">
        <w:t>,</w:t>
      </w:r>
      <w:r w:rsidR="00E1380E">
        <w:t xml:space="preserve"> defines a </w:t>
      </w:r>
      <w:r w:rsidR="000F4625">
        <w:t>d</w:t>
      </w:r>
      <w:r w:rsidR="007009F0">
        <w:t>ata warehouse as:</w:t>
      </w:r>
    </w:p>
    <w:p w:rsidR="000F4625" w:rsidRDefault="007009F0" w:rsidP="00EA413F">
      <w:pPr>
        <w:pStyle w:val="ListParagraph"/>
        <w:spacing w:after="120"/>
        <w:rPr>
          <w:i/>
        </w:rPr>
      </w:pPr>
      <w:r>
        <w:rPr>
          <w:i/>
        </w:rPr>
        <w:t>A</w:t>
      </w:r>
      <w:r w:rsidR="00E1380E" w:rsidRPr="007009F0">
        <w:rPr>
          <w:i/>
        </w:rPr>
        <w:t xml:space="preserve"> subject-oriented, integrated, time variant and non-volatile collection of data used to support the strategic decisions making process for the enterprise</w:t>
      </w:r>
      <w:r w:rsidR="000F4625" w:rsidRPr="007009F0">
        <w:rPr>
          <w:i/>
        </w:rPr>
        <w:t>.</w:t>
      </w:r>
    </w:p>
    <w:p w:rsidR="00EA413F" w:rsidRDefault="00EA413F" w:rsidP="00EA413F">
      <w:pPr>
        <w:pStyle w:val="ListParagraph"/>
        <w:spacing w:before="120" w:after="120"/>
        <w:ind w:left="0"/>
      </w:pPr>
    </w:p>
    <w:p w:rsidR="007009F0" w:rsidRDefault="007009F0" w:rsidP="00EA413F">
      <w:pPr>
        <w:pStyle w:val="ListParagraph"/>
        <w:spacing w:before="120" w:after="120"/>
        <w:ind w:left="0"/>
        <w:rPr>
          <w:rStyle w:val="Hyperlink"/>
        </w:rPr>
      </w:pPr>
      <w:r>
        <w:t xml:space="preserve">For more information on CIF visit Bill </w:t>
      </w:r>
      <w:proofErr w:type="spellStart"/>
      <w:r>
        <w:t>Inmon’s</w:t>
      </w:r>
      <w:proofErr w:type="spellEnd"/>
      <w:r>
        <w:t xml:space="preserve"> web site: </w:t>
      </w:r>
      <w:hyperlink r:id="rId16" w:history="1">
        <w:r w:rsidRPr="00600869">
          <w:rPr>
            <w:rStyle w:val="Hyperlink"/>
          </w:rPr>
          <w:t>http://www.inmoncif.com</w:t>
        </w:r>
      </w:hyperlink>
    </w:p>
    <w:p w:rsidR="00EA413F" w:rsidRDefault="00EA413F" w:rsidP="00EA413F">
      <w:pPr>
        <w:pStyle w:val="ListParagraph"/>
        <w:spacing w:before="120" w:after="120"/>
        <w:ind w:left="0"/>
      </w:pPr>
    </w:p>
    <w:p w:rsidR="00E1380E" w:rsidRDefault="00E1380E" w:rsidP="00EA413F">
      <w:pPr>
        <w:pStyle w:val="ListParagraph"/>
        <w:spacing w:after="120"/>
        <w:ind w:left="0"/>
      </w:pPr>
      <w:r>
        <w:t xml:space="preserve">A </w:t>
      </w:r>
      <w:r w:rsidR="000F4625">
        <w:t>d</w:t>
      </w:r>
      <w:r>
        <w:t xml:space="preserve">ata </w:t>
      </w:r>
      <w:r w:rsidR="000F4625">
        <w:t>w</w:t>
      </w:r>
      <w:r>
        <w:t xml:space="preserve">arehouse is fed by one or more </w:t>
      </w:r>
      <w:r w:rsidR="000F4625">
        <w:t>s</w:t>
      </w:r>
      <w:r>
        <w:t>ources and</w:t>
      </w:r>
      <w:r w:rsidR="000F4625">
        <w:t>,</w:t>
      </w:r>
      <w:r>
        <w:t xml:space="preserve"> in turn</w:t>
      </w:r>
      <w:r w:rsidR="000F4625">
        <w:t>,</w:t>
      </w:r>
      <w:r>
        <w:t xml:space="preserve"> is accessed by multipl</w:t>
      </w:r>
      <w:r w:rsidR="00D216D1">
        <w:t>e consumers</w:t>
      </w:r>
      <w:r w:rsidR="000F4625">
        <w:t>,</w:t>
      </w:r>
      <w:r w:rsidR="00D216D1">
        <w:t xml:space="preserve"> as </w:t>
      </w:r>
      <w:r w:rsidR="000F4625">
        <w:t xml:space="preserve">Figure </w:t>
      </w:r>
      <w:r w:rsidR="00A72E76">
        <w:t>1-</w:t>
      </w:r>
      <w:r w:rsidR="000F4625">
        <w:t xml:space="preserve">5 </w:t>
      </w:r>
      <w:r w:rsidR="00D216D1">
        <w:t>show</w:t>
      </w:r>
      <w:r w:rsidR="000F4625">
        <w:t>s</w:t>
      </w:r>
      <w:r>
        <w:t>.</w:t>
      </w:r>
    </w:p>
    <w:p w:rsidR="00E1380E" w:rsidRDefault="000B7E2D" w:rsidP="00E1380E">
      <w:r>
        <w:rPr>
          <w:noProof/>
        </w:rPr>
        <w:lastRenderedPageBreak/>
        <w:drawing>
          <wp:inline distT="0" distB="0" distL="0" distR="0">
            <wp:extent cx="4142232" cy="1935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1 - Figure 5 - DW Overview.jpg"/>
                    <pic:cNvPicPr/>
                  </pic:nvPicPr>
                  <pic:blipFill>
                    <a:blip r:embed="rId17">
                      <a:extLst>
                        <a:ext uri="{28A0092B-C50C-407E-A947-70E740481C1C}">
                          <a14:useLocalDpi xmlns:a14="http://schemas.microsoft.com/office/drawing/2010/main" val="0"/>
                        </a:ext>
                      </a:extLst>
                    </a:blip>
                    <a:stretch>
                      <a:fillRect/>
                    </a:stretch>
                  </pic:blipFill>
                  <pic:spPr>
                    <a:xfrm>
                      <a:off x="0" y="0"/>
                      <a:ext cx="4142232" cy="1935793"/>
                    </a:xfrm>
                    <a:prstGeom prst="rect">
                      <a:avLst/>
                    </a:prstGeom>
                  </pic:spPr>
                </pic:pic>
              </a:graphicData>
            </a:graphic>
          </wp:inline>
        </w:drawing>
      </w:r>
    </w:p>
    <w:p w:rsidR="00E1380E" w:rsidRDefault="00E1380E" w:rsidP="00E1380E">
      <w:r w:rsidRPr="009D6A68">
        <w:rPr>
          <w:b/>
        </w:rPr>
        <w:t xml:space="preserve">Figure </w:t>
      </w:r>
      <w:r w:rsidR="00A72E76">
        <w:rPr>
          <w:b/>
        </w:rPr>
        <w:t>1-</w:t>
      </w:r>
      <w:r w:rsidR="00D216D1">
        <w:rPr>
          <w:b/>
        </w:rPr>
        <w:t>5</w:t>
      </w:r>
      <w:r>
        <w:t xml:space="preserve">: Data </w:t>
      </w:r>
      <w:r w:rsidR="000F4625">
        <w:t>w</w:t>
      </w:r>
      <w:r>
        <w:t>arehouse components</w:t>
      </w:r>
    </w:p>
    <w:p w:rsidR="00E1380E" w:rsidRDefault="00035BBD" w:rsidP="00E1380E">
      <w:r>
        <w:t>A d</w:t>
      </w:r>
      <w:r w:rsidR="00E1380E">
        <w:t xml:space="preserve">ata </w:t>
      </w:r>
      <w:r>
        <w:t>w</w:t>
      </w:r>
      <w:r w:rsidR="00E1380E">
        <w:t xml:space="preserve">arehouse </w:t>
      </w:r>
      <w:r>
        <w:t>consists of the following c</w:t>
      </w:r>
      <w:r w:rsidR="00E1380E">
        <w:t>omponents:</w:t>
      </w:r>
    </w:p>
    <w:p w:rsidR="007F6273" w:rsidRDefault="007F6273" w:rsidP="00587DB2">
      <w:pPr>
        <w:pStyle w:val="ListParagraph"/>
        <w:numPr>
          <w:ilvl w:val="0"/>
          <w:numId w:val="2"/>
        </w:numPr>
        <w:spacing w:after="120"/>
      </w:pPr>
      <w:r>
        <w:t xml:space="preserve">The </w:t>
      </w:r>
      <w:r w:rsidRPr="007F6273">
        <w:rPr>
          <w:b/>
        </w:rPr>
        <w:t>Production area</w:t>
      </w:r>
      <w:r>
        <w:rPr>
          <w:b/>
        </w:rPr>
        <w:t xml:space="preserve"> </w:t>
      </w:r>
      <w:r>
        <w:t>is where source data is cleansed, reconciled and consolidated. This is the where a majority of a Data warehouse team’s time and resources are spent.</w:t>
      </w:r>
    </w:p>
    <w:p w:rsidR="007F6273" w:rsidRPr="007F6273" w:rsidRDefault="007F6273" w:rsidP="00587DB2">
      <w:pPr>
        <w:pStyle w:val="ListParagraph"/>
        <w:numPr>
          <w:ilvl w:val="0"/>
          <w:numId w:val="2"/>
        </w:numPr>
        <w:spacing w:after="120"/>
      </w:pPr>
      <w:r>
        <w:t xml:space="preserve">The </w:t>
      </w:r>
      <w:r w:rsidRPr="007F6273">
        <w:rPr>
          <w:b/>
        </w:rPr>
        <w:t>Consumption area</w:t>
      </w:r>
      <w:r>
        <w:t xml:space="preserve"> is where data is </w:t>
      </w:r>
      <w:r w:rsidR="00E53704">
        <w:t>transformed for consumption. Reporting rules are applied and the data is normalized and in some cases aggregated. Consumers then use SQL to access the data.</w:t>
      </w:r>
    </w:p>
    <w:p w:rsidR="00E53704" w:rsidRPr="00E53704" w:rsidRDefault="00E53704" w:rsidP="00587DB2">
      <w:pPr>
        <w:pStyle w:val="ListParagraph"/>
        <w:numPr>
          <w:ilvl w:val="0"/>
          <w:numId w:val="2"/>
        </w:numPr>
        <w:spacing w:after="120"/>
      </w:pPr>
      <w:r>
        <w:t xml:space="preserve">The </w:t>
      </w:r>
      <w:r w:rsidRPr="00E53704">
        <w:rPr>
          <w:b/>
        </w:rPr>
        <w:t>Platform</w:t>
      </w:r>
      <w:r>
        <w:t xml:space="preserve"> is the hardware and software products, including network and SAN, which the data warehouse is implemented on.</w:t>
      </w:r>
    </w:p>
    <w:p w:rsidR="00E1380E" w:rsidRPr="007F090E" w:rsidRDefault="00325291" w:rsidP="00587DB2">
      <w:pPr>
        <w:pStyle w:val="ListParagraph"/>
        <w:numPr>
          <w:ilvl w:val="0"/>
          <w:numId w:val="2"/>
        </w:numPr>
        <w:spacing w:after="120"/>
      </w:pPr>
      <w:r w:rsidRPr="00035BBD">
        <w:rPr>
          <w:b/>
        </w:rPr>
        <w:t xml:space="preserve">Data </w:t>
      </w:r>
      <w:r w:rsidR="00035BBD">
        <w:rPr>
          <w:b/>
        </w:rPr>
        <w:t>i</w:t>
      </w:r>
      <w:r w:rsidR="00E1380E" w:rsidRPr="00035BBD">
        <w:rPr>
          <w:b/>
        </w:rPr>
        <w:t xml:space="preserve">ntegration </w:t>
      </w:r>
      <w:r w:rsidR="00E53704">
        <w:t xml:space="preserve">processes area </w:t>
      </w:r>
      <w:r w:rsidR="00E1380E">
        <w:t xml:space="preserve">responsible for </w:t>
      </w:r>
      <w:r w:rsidR="00E53704">
        <w:t xml:space="preserve">the </w:t>
      </w:r>
      <w:r w:rsidR="00E1380E">
        <w:t xml:space="preserve">data </w:t>
      </w:r>
      <w:r w:rsidR="00E53704">
        <w:t xml:space="preserve">movement and transformation as it makes it way from </w:t>
      </w:r>
      <w:r w:rsidR="00035BBD">
        <w:t>s</w:t>
      </w:r>
      <w:r w:rsidR="00E1380E">
        <w:t xml:space="preserve">ources </w:t>
      </w:r>
      <w:r w:rsidR="00E53704">
        <w:t>through the Production data area to the Consumption data area.</w:t>
      </w:r>
    </w:p>
    <w:p w:rsidR="00E53704" w:rsidRDefault="002E3350" w:rsidP="00E1380E">
      <w:r>
        <w:t xml:space="preserve">For more information on these components, read </w:t>
      </w:r>
      <w:r w:rsidR="00E53704">
        <w:t>Chapter 2 – Data architecture.</w:t>
      </w:r>
    </w:p>
    <w:p w:rsidR="00E1380E" w:rsidRDefault="004D5580" w:rsidP="00E1380E">
      <w:r>
        <w:t xml:space="preserve">A </w:t>
      </w:r>
      <w:r w:rsidR="00F762FE">
        <w:t>d</w:t>
      </w:r>
      <w:r>
        <w:t xml:space="preserve">ata warehouse has a long life span and is </w:t>
      </w:r>
      <w:r w:rsidR="00A122CC">
        <w:t>rarely implemented all at once. This is due to a variety of factors including mergers and acquisitio</w:t>
      </w:r>
      <w:r w:rsidR="00E64C18">
        <w:t xml:space="preserve">n, changing business landscape, the request for new subject areas and new questions asked by the business. </w:t>
      </w:r>
      <w:r>
        <w:t xml:space="preserve">This translates into ongoing activities in support of a data warehouse as well as </w:t>
      </w:r>
      <w:r w:rsidR="00515883">
        <w:t xml:space="preserve">ongoing </w:t>
      </w:r>
      <w:r>
        <w:t xml:space="preserve">projects </w:t>
      </w:r>
      <w:r w:rsidR="00515883">
        <w:t xml:space="preserve">to </w:t>
      </w:r>
      <w:r>
        <w:t>implement</w:t>
      </w:r>
      <w:r w:rsidR="00515883">
        <w:t xml:space="preserve"> new features and functionality</w:t>
      </w:r>
      <w:r>
        <w:t xml:space="preserve">. </w:t>
      </w:r>
      <w:r w:rsidR="009D4D86">
        <w:t>Let’s look at an</w:t>
      </w:r>
      <w:r w:rsidR="00515883">
        <w:t xml:space="preserve"> overview of the </w:t>
      </w:r>
      <w:r w:rsidR="009D4D86">
        <w:t xml:space="preserve">common activities in a </w:t>
      </w:r>
      <w:r w:rsidR="00515883">
        <w:t>data warehouse life cycle</w:t>
      </w:r>
      <w:r w:rsidR="00A62626">
        <w:t xml:space="preserve"> and the team responsible for each </w:t>
      </w:r>
      <w:r w:rsidR="00515883">
        <w:t>activity</w:t>
      </w:r>
      <w:r w:rsidR="00A62626">
        <w:t>.</w:t>
      </w:r>
    </w:p>
    <w:p w:rsidR="00AB5266" w:rsidRDefault="005053DE" w:rsidP="00AA1224">
      <w:pPr>
        <w:pStyle w:val="Heading2"/>
      </w:pPr>
      <w:bookmarkStart w:id="5" w:name="_Toc274371188"/>
      <w:r>
        <w:t xml:space="preserve">Data Warehouse </w:t>
      </w:r>
      <w:r w:rsidR="00D02FF4">
        <w:t>Life Cycle</w:t>
      </w:r>
      <w:r w:rsidR="00FA3E85">
        <w:t xml:space="preserve"> </w:t>
      </w:r>
      <w:r w:rsidR="004D5580">
        <w:t>and Team Model</w:t>
      </w:r>
      <w:bookmarkEnd w:id="5"/>
    </w:p>
    <w:p w:rsidR="000755AA" w:rsidRDefault="000755AA" w:rsidP="00210F15">
      <w:r>
        <w:t>Key factors for any successful data warehouse include:</w:t>
      </w:r>
    </w:p>
    <w:p w:rsidR="000755AA" w:rsidRDefault="000755AA" w:rsidP="00587DB2">
      <w:pPr>
        <w:pStyle w:val="ListParagraph"/>
        <w:numPr>
          <w:ilvl w:val="0"/>
          <w:numId w:val="13"/>
        </w:numPr>
      </w:pPr>
      <w:r>
        <w:t xml:space="preserve">The team responsible for developing and maintaining </w:t>
      </w:r>
      <w:r w:rsidR="00515883">
        <w:t>the d</w:t>
      </w:r>
      <w:r>
        <w:t>ata warehouse</w:t>
      </w:r>
    </w:p>
    <w:p w:rsidR="000755AA" w:rsidRDefault="000755AA" w:rsidP="00587DB2">
      <w:pPr>
        <w:pStyle w:val="ListParagraph"/>
        <w:numPr>
          <w:ilvl w:val="0"/>
          <w:numId w:val="13"/>
        </w:numPr>
      </w:pPr>
      <w:r>
        <w:t xml:space="preserve">The methodology used to develop and deploy the </w:t>
      </w:r>
      <w:r w:rsidR="00515883">
        <w:t>d</w:t>
      </w:r>
      <w:r>
        <w:t>ata warehouse</w:t>
      </w:r>
    </w:p>
    <w:p w:rsidR="000755AA" w:rsidRDefault="000755AA" w:rsidP="00587DB2">
      <w:pPr>
        <w:pStyle w:val="ListParagraph"/>
        <w:numPr>
          <w:ilvl w:val="0"/>
          <w:numId w:val="13"/>
        </w:numPr>
      </w:pPr>
      <w:r>
        <w:t xml:space="preserve">The processes employed to ensure the ongoing alignment of the </w:t>
      </w:r>
      <w:r w:rsidR="00515883">
        <w:t>d</w:t>
      </w:r>
      <w:r>
        <w:t>ata wareho</w:t>
      </w:r>
      <w:r w:rsidR="00AF7B33">
        <w:t>use with its business users</w:t>
      </w:r>
    </w:p>
    <w:p w:rsidR="000755AA" w:rsidRDefault="009D4D86" w:rsidP="00210F15">
      <w:r w:rsidRPr="009D4D86">
        <w:lastRenderedPageBreak/>
        <w:t>To achieve success in each of these areas, you need to take</w:t>
      </w:r>
      <w:r w:rsidR="000755AA" w:rsidRPr="009D4D86">
        <w:t xml:space="preserve"> the organization’s culture and people into</w:t>
      </w:r>
      <w:r w:rsidR="000755AA">
        <w:t xml:space="preserve"> account. </w:t>
      </w:r>
      <w:r>
        <w:t>Thus,</w:t>
      </w:r>
      <w:r w:rsidR="000755AA">
        <w:t xml:space="preserve"> it’s difficult to recommend a prescriptive set of best practices without detailed knowledge of an organization. </w:t>
      </w:r>
    </w:p>
    <w:p w:rsidR="00602729" w:rsidRDefault="00602729" w:rsidP="00602729">
      <w:r>
        <w:t>Because of this, detailed team models, project methodologies and processes</w:t>
      </w:r>
      <w:r w:rsidR="009D4D86">
        <w:t>,</w:t>
      </w:r>
      <w:r>
        <w:t xml:space="preserve"> and governance activities are out of scope for this document. </w:t>
      </w:r>
      <w:r w:rsidR="009D4D86">
        <w:t>However, we will review them</w:t>
      </w:r>
      <w:r>
        <w:t xml:space="preserve"> </w:t>
      </w:r>
      <w:r w:rsidR="009D4D86">
        <w:t xml:space="preserve">briefly </w:t>
      </w:r>
      <w:r>
        <w:t xml:space="preserve">in the following section, </w:t>
      </w:r>
      <w:r w:rsidR="009D4D86">
        <w:t xml:space="preserve">and </w:t>
      </w:r>
      <w:r>
        <w:t>the</w:t>
      </w:r>
      <w:r w:rsidR="009D4D86">
        <w:t xml:space="preserve">n focus the </w:t>
      </w:r>
      <w:r>
        <w:t xml:space="preserve">remainder of this document on patterns and best practices for </w:t>
      </w:r>
      <w:r w:rsidR="009D4D86">
        <w:t>d</w:t>
      </w:r>
      <w:r>
        <w:t xml:space="preserve">ata warehouses implemented on </w:t>
      </w:r>
      <w:r w:rsidR="00BF7F4E">
        <w:t>SQL Server</w:t>
      </w:r>
      <w:r>
        <w:t>.</w:t>
      </w:r>
      <w:r w:rsidR="00E53704" w:rsidRPr="00E53704">
        <w:t xml:space="preserve"> </w:t>
      </w:r>
    </w:p>
    <w:p w:rsidR="00F80072" w:rsidRDefault="008F691C" w:rsidP="008F691C">
      <w:pPr>
        <w:pStyle w:val="Heading3"/>
      </w:pPr>
      <w:bookmarkStart w:id="6" w:name="_Toc274371189"/>
      <w:r>
        <w:t>Data Warehouse Life Cycle</w:t>
      </w:r>
      <w:bookmarkEnd w:id="6"/>
    </w:p>
    <w:p w:rsidR="00210F15" w:rsidRDefault="00D216D1" w:rsidP="00210F15">
      <w:r>
        <w:t xml:space="preserve">Figure </w:t>
      </w:r>
      <w:r w:rsidR="00A72E76">
        <w:t>1-</w:t>
      </w:r>
      <w:r>
        <w:t>6</w:t>
      </w:r>
      <w:r w:rsidR="002E2211">
        <w:t xml:space="preserve"> shows </w:t>
      </w:r>
      <w:r w:rsidR="00346583">
        <w:t>a high-level abstraction of a</w:t>
      </w:r>
      <w:r>
        <w:t xml:space="preserve"> </w:t>
      </w:r>
      <w:r w:rsidR="00346583">
        <w:t>d</w:t>
      </w:r>
      <w:r>
        <w:t>ata warehouse’s life cycle</w:t>
      </w:r>
      <w:r w:rsidR="00346583">
        <w:t>, not representing any specific methodology,</w:t>
      </w:r>
      <w:r>
        <w:t xml:space="preserve"> </w:t>
      </w:r>
      <w:r w:rsidR="0083610E">
        <w:t xml:space="preserve">and highlights </w:t>
      </w:r>
      <w:r>
        <w:t xml:space="preserve">the activities that this </w:t>
      </w:r>
      <w:r w:rsidR="00346583">
        <w:t>toolkit</w:t>
      </w:r>
      <w:r>
        <w:t xml:space="preserve"> focuses on.</w:t>
      </w:r>
    </w:p>
    <w:p w:rsidR="00210F15" w:rsidRDefault="007948A8" w:rsidP="00210F15">
      <w:r>
        <w:rPr>
          <w:noProof/>
        </w:rPr>
        <w:drawing>
          <wp:inline distT="0" distB="0" distL="0" distR="0">
            <wp:extent cx="2734056" cy="23259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1 - Figure 6 - Life cycl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056" cy="2325934"/>
                    </a:xfrm>
                    <a:prstGeom prst="rect">
                      <a:avLst/>
                    </a:prstGeom>
                  </pic:spPr>
                </pic:pic>
              </a:graphicData>
            </a:graphic>
          </wp:inline>
        </w:drawing>
      </w:r>
    </w:p>
    <w:p w:rsidR="0028369E" w:rsidRDefault="00D216D1" w:rsidP="0028369E">
      <w:r>
        <w:rPr>
          <w:b/>
        </w:rPr>
        <w:t xml:space="preserve">Figure </w:t>
      </w:r>
      <w:r w:rsidR="00A72E76">
        <w:rPr>
          <w:b/>
        </w:rPr>
        <w:t>1-</w:t>
      </w:r>
      <w:r>
        <w:rPr>
          <w:b/>
        </w:rPr>
        <w:t>6</w:t>
      </w:r>
      <w:r w:rsidR="0028369E">
        <w:t xml:space="preserve">: Data </w:t>
      </w:r>
      <w:r w:rsidR="00346583">
        <w:t>w</w:t>
      </w:r>
      <w:r w:rsidR="0028369E">
        <w:t>arehouse life cycle</w:t>
      </w:r>
    </w:p>
    <w:p w:rsidR="0028369E" w:rsidRDefault="00346583" w:rsidP="00E26732">
      <w:r>
        <w:t>The l</w:t>
      </w:r>
      <w:r w:rsidR="007948A8">
        <w:t>ife cycle components</w:t>
      </w:r>
      <w:r>
        <w:t xml:space="preserve"> include</w:t>
      </w:r>
      <w:r w:rsidR="002E2211">
        <w:t>:</w:t>
      </w:r>
    </w:p>
    <w:p w:rsidR="00EC1455" w:rsidRDefault="00EC1455" w:rsidP="00587DB2">
      <w:pPr>
        <w:pStyle w:val="ListParagraph"/>
        <w:numPr>
          <w:ilvl w:val="0"/>
          <w:numId w:val="8"/>
        </w:numPr>
      </w:pPr>
      <w:r w:rsidRPr="00346583">
        <w:rPr>
          <w:b/>
        </w:rPr>
        <w:t>Governance</w:t>
      </w:r>
      <w:r>
        <w:t xml:space="preserve"> </w:t>
      </w:r>
      <w:r w:rsidR="00346583">
        <w:t xml:space="preserve">– </w:t>
      </w:r>
      <w:r>
        <w:t xml:space="preserve">This oversight activity ensures that the organization is aligned around a </w:t>
      </w:r>
      <w:r w:rsidR="00346583">
        <w:t>d</w:t>
      </w:r>
      <w:r>
        <w:t>ata warehouse.</w:t>
      </w:r>
    </w:p>
    <w:p w:rsidR="00EC1455" w:rsidRDefault="00EC1455" w:rsidP="00587DB2">
      <w:pPr>
        <w:pStyle w:val="ListParagraph"/>
        <w:numPr>
          <w:ilvl w:val="0"/>
          <w:numId w:val="8"/>
        </w:numPr>
      </w:pPr>
      <w:r w:rsidRPr="00346583">
        <w:rPr>
          <w:b/>
        </w:rPr>
        <w:t>Define</w:t>
      </w:r>
      <w:r>
        <w:t xml:space="preserve"> </w:t>
      </w:r>
      <w:r w:rsidR="00346583">
        <w:t>– This phase, involving developing</w:t>
      </w:r>
      <w:r>
        <w:t xml:space="preserve"> solid business requirements and translating them into a design</w:t>
      </w:r>
      <w:r w:rsidR="00346583">
        <w:t>,</w:t>
      </w:r>
      <w:r>
        <w:t xml:space="preserve"> </w:t>
      </w:r>
      <w:r w:rsidR="00346583">
        <w:t>is</w:t>
      </w:r>
      <w:r>
        <w:t xml:space="preserve"> critical to </w:t>
      </w:r>
      <w:r w:rsidR="00346583">
        <w:t>every d</w:t>
      </w:r>
      <w:r>
        <w:t>ata warehouse project</w:t>
      </w:r>
      <w:r w:rsidR="00346583">
        <w:t>’</w:t>
      </w:r>
      <w:r>
        <w:t>s success.</w:t>
      </w:r>
    </w:p>
    <w:p w:rsidR="002E2211" w:rsidRDefault="0083610E" w:rsidP="00587DB2">
      <w:pPr>
        <w:pStyle w:val="ListParagraph"/>
        <w:numPr>
          <w:ilvl w:val="0"/>
          <w:numId w:val="8"/>
        </w:numPr>
      </w:pPr>
      <w:r w:rsidRPr="00346583">
        <w:rPr>
          <w:b/>
        </w:rPr>
        <w:t>Develop-Test</w:t>
      </w:r>
      <w:r>
        <w:t xml:space="preserve"> </w:t>
      </w:r>
      <w:r w:rsidR="00346583">
        <w:t xml:space="preserve">– </w:t>
      </w:r>
      <w:r>
        <w:t>Th</w:t>
      </w:r>
      <w:r w:rsidR="00346583">
        <w:t>is important phase includes</w:t>
      </w:r>
      <w:r>
        <w:t xml:space="preserve"> development and testing of data models, integration processes</w:t>
      </w:r>
      <w:r w:rsidR="00346583">
        <w:t>,</w:t>
      </w:r>
      <w:r>
        <w:t xml:space="preserve"> and consumer SQL access for subject areas within the </w:t>
      </w:r>
      <w:r w:rsidR="00346583">
        <w:t>d</w:t>
      </w:r>
      <w:r>
        <w:t>ata warehouse.</w:t>
      </w:r>
    </w:p>
    <w:p w:rsidR="002E2211" w:rsidRDefault="002E2211" w:rsidP="00587DB2">
      <w:pPr>
        <w:pStyle w:val="ListParagraph"/>
        <w:numPr>
          <w:ilvl w:val="0"/>
          <w:numId w:val="8"/>
        </w:numPr>
      </w:pPr>
      <w:r w:rsidRPr="00346583">
        <w:rPr>
          <w:b/>
        </w:rPr>
        <w:t>Deploy</w:t>
      </w:r>
      <w:r w:rsidR="0083610E">
        <w:t xml:space="preserve"> </w:t>
      </w:r>
      <w:r w:rsidR="00346583">
        <w:t xml:space="preserve">– </w:t>
      </w:r>
      <w:r w:rsidR="00CC105F">
        <w:t>D</w:t>
      </w:r>
      <w:r w:rsidR="00346583">
        <w:t>eployment activities p</w:t>
      </w:r>
      <w:r w:rsidR="0083610E">
        <w:t>romot</w:t>
      </w:r>
      <w:r w:rsidR="00346583">
        <w:t>e</w:t>
      </w:r>
      <w:r w:rsidR="0083610E">
        <w:t xml:space="preserve"> data warehouse project deliverables across different physical areas including </w:t>
      </w:r>
      <w:r w:rsidR="00346583">
        <w:t>d</w:t>
      </w:r>
      <w:r w:rsidR="0083610E">
        <w:t xml:space="preserve">evelopment, </w:t>
      </w:r>
      <w:r w:rsidR="00346583">
        <w:t>t</w:t>
      </w:r>
      <w:r w:rsidR="0083610E">
        <w:t>est, QA</w:t>
      </w:r>
      <w:r w:rsidR="00346583">
        <w:t>,</w:t>
      </w:r>
      <w:r w:rsidR="0083610E">
        <w:t xml:space="preserve"> and </w:t>
      </w:r>
      <w:r w:rsidR="00346583">
        <w:t>p</w:t>
      </w:r>
      <w:r w:rsidR="0083610E">
        <w:t>roduction</w:t>
      </w:r>
      <w:r w:rsidR="00346583">
        <w:t>.</w:t>
      </w:r>
    </w:p>
    <w:p w:rsidR="002E2211" w:rsidRDefault="002E2211" w:rsidP="00587DB2">
      <w:pPr>
        <w:pStyle w:val="ListParagraph"/>
        <w:numPr>
          <w:ilvl w:val="0"/>
          <w:numId w:val="8"/>
        </w:numPr>
      </w:pPr>
      <w:r w:rsidRPr="00346583">
        <w:rPr>
          <w:b/>
        </w:rPr>
        <w:t>Maintain</w:t>
      </w:r>
      <w:r w:rsidR="0083610E">
        <w:t xml:space="preserve"> </w:t>
      </w:r>
      <w:r w:rsidR="00346583">
        <w:t xml:space="preserve">– </w:t>
      </w:r>
      <w:r w:rsidR="00CC105F">
        <w:t>Maintenance activities are t</w:t>
      </w:r>
      <w:r w:rsidR="0083610E">
        <w:t xml:space="preserve">he </w:t>
      </w:r>
      <w:r w:rsidR="00014FAD">
        <w:t xml:space="preserve">ongoing </w:t>
      </w:r>
      <w:r w:rsidR="0083610E">
        <w:t xml:space="preserve">tasks </w:t>
      </w:r>
      <w:r w:rsidR="00CC105F">
        <w:t>that</w:t>
      </w:r>
      <w:r w:rsidR="00014FAD">
        <w:t xml:space="preserve"> support a successful </w:t>
      </w:r>
      <w:r w:rsidR="00CC105F">
        <w:t>d</w:t>
      </w:r>
      <w:r w:rsidR="00014FAD">
        <w:t>ata warehouse</w:t>
      </w:r>
      <w:r w:rsidR="00CC105F">
        <w:t>.</w:t>
      </w:r>
    </w:p>
    <w:p w:rsidR="00EC1455" w:rsidRDefault="00EC1455" w:rsidP="00E26732">
      <w:r>
        <w:t xml:space="preserve">Governance and the Define project phase are </w:t>
      </w:r>
      <w:r w:rsidR="00CC105F">
        <w:t>beyond the</w:t>
      </w:r>
      <w:r>
        <w:t xml:space="preserve"> scope </w:t>
      </w:r>
      <w:r w:rsidR="00CC105F">
        <w:t>of</w:t>
      </w:r>
      <w:r>
        <w:t xml:space="preserve"> this document.</w:t>
      </w:r>
      <w:r w:rsidR="007327B9">
        <w:t xml:space="preserve"> </w:t>
      </w:r>
      <w:r w:rsidR="00CC105F">
        <w:t>Although w</w:t>
      </w:r>
      <w:r w:rsidR="007327B9">
        <w:t>e will discuss</w:t>
      </w:r>
      <w:r w:rsidR="00A66CC4">
        <w:t xml:space="preserve"> deployment topics in the remaining chapters</w:t>
      </w:r>
      <w:r w:rsidR="00CC105F">
        <w:t>, it</w:t>
      </w:r>
      <w:r w:rsidR="007327B9">
        <w:t xml:space="preserve"> will be a smaller </w:t>
      </w:r>
      <w:r w:rsidR="00CC105F">
        <w:t xml:space="preserve">discussion than that for </w:t>
      </w:r>
      <w:r w:rsidR="007948A8">
        <w:t xml:space="preserve">the </w:t>
      </w:r>
      <w:r w:rsidR="007327B9">
        <w:t>Develop-Test and Maintain</w:t>
      </w:r>
      <w:r w:rsidR="007948A8">
        <w:t xml:space="preserve"> stages within the life cycle</w:t>
      </w:r>
      <w:r w:rsidR="007327B9">
        <w:t>.</w:t>
      </w:r>
    </w:p>
    <w:p w:rsidR="00FA3E85" w:rsidRDefault="00FA3E85" w:rsidP="00AA1224">
      <w:pPr>
        <w:pStyle w:val="Heading3"/>
      </w:pPr>
      <w:bookmarkStart w:id="7" w:name="_Toc274371190"/>
      <w:r>
        <w:lastRenderedPageBreak/>
        <w:t>Data Warehouse Team Model</w:t>
      </w:r>
      <w:bookmarkEnd w:id="7"/>
    </w:p>
    <w:p w:rsidR="00FA3E85" w:rsidRDefault="00EC1455" w:rsidP="00FA3E85">
      <w:r>
        <w:t>Figure</w:t>
      </w:r>
      <w:r w:rsidR="00A72E76">
        <w:t>1-</w:t>
      </w:r>
      <w:r>
        <w:t>7</w:t>
      </w:r>
      <w:r w:rsidR="00FA3E85">
        <w:t xml:space="preserve"> shows the key roles </w:t>
      </w:r>
      <w:r w:rsidR="009315AA">
        <w:t xml:space="preserve">within the </w:t>
      </w:r>
      <w:r>
        <w:t xml:space="preserve">different phases of the </w:t>
      </w:r>
      <w:r w:rsidR="00CC105F">
        <w:t>d</w:t>
      </w:r>
      <w:r w:rsidR="009315AA">
        <w:t>ata warehouse life cycle</w:t>
      </w:r>
      <w:r>
        <w:t>.</w:t>
      </w:r>
    </w:p>
    <w:p w:rsidR="00FA3E85" w:rsidRPr="00FA3E85" w:rsidRDefault="007948A8" w:rsidP="00FA3E85">
      <w:r>
        <w:rPr>
          <w:noProof/>
        </w:rPr>
        <w:drawing>
          <wp:inline distT="0" distB="0" distL="0" distR="0">
            <wp:extent cx="5271553" cy="33467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1 - Figure 7 DW role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1553" cy="3346704"/>
                    </a:xfrm>
                    <a:prstGeom prst="rect">
                      <a:avLst/>
                    </a:prstGeom>
                  </pic:spPr>
                </pic:pic>
              </a:graphicData>
            </a:graphic>
          </wp:inline>
        </w:drawing>
      </w:r>
    </w:p>
    <w:p w:rsidR="00EC1455" w:rsidRDefault="00EC1455" w:rsidP="00EC1455">
      <w:r>
        <w:rPr>
          <w:b/>
        </w:rPr>
        <w:t xml:space="preserve">Figure </w:t>
      </w:r>
      <w:r w:rsidR="00A72E76">
        <w:rPr>
          <w:b/>
        </w:rPr>
        <w:t>1-</w:t>
      </w:r>
      <w:r>
        <w:rPr>
          <w:b/>
        </w:rPr>
        <w:t>7</w:t>
      </w:r>
      <w:r>
        <w:t xml:space="preserve">: Data </w:t>
      </w:r>
      <w:r w:rsidR="00CC105F">
        <w:t>w</w:t>
      </w:r>
      <w:r>
        <w:t>arehouse roles</w:t>
      </w:r>
    </w:p>
    <w:p w:rsidR="00FA3E85" w:rsidRDefault="009315AA" w:rsidP="009315AA">
      <w:r>
        <w:t xml:space="preserve">Data </w:t>
      </w:r>
      <w:r w:rsidR="00CC105F">
        <w:t>w</w:t>
      </w:r>
      <w:r>
        <w:t xml:space="preserve">arehouse </w:t>
      </w:r>
      <w:r w:rsidR="00CC105F">
        <w:t>r</w:t>
      </w:r>
      <w:r>
        <w:t>oles</w:t>
      </w:r>
      <w:r w:rsidR="00CC105F">
        <w:t xml:space="preserve"> fall into these </w:t>
      </w:r>
      <w:r w:rsidR="00437CD0">
        <w:t xml:space="preserve">general </w:t>
      </w:r>
      <w:r w:rsidR="00CC105F">
        <w:t>categories</w:t>
      </w:r>
      <w:r>
        <w:t>:</w:t>
      </w:r>
    </w:p>
    <w:p w:rsidR="009315AA" w:rsidRDefault="00EC1455" w:rsidP="00587DB2">
      <w:pPr>
        <w:pStyle w:val="ListParagraph"/>
        <w:numPr>
          <w:ilvl w:val="0"/>
          <w:numId w:val="11"/>
        </w:numPr>
      </w:pPr>
      <w:r w:rsidRPr="00CC105F">
        <w:rPr>
          <w:b/>
        </w:rPr>
        <w:t>Business</w:t>
      </w:r>
      <w:r>
        <w:t xml:space="preserve"> </w:t>
      </w:r>
      <w:r w:rsidR="00CC105F">
        <w:t>–</w:t>
      </w:r>
      <w:r>
        <w:t xml:space="preserve"> This group</w:t>
      </w:r>
      <w:r w:rsidR="00CC105F">
        <w:t>,</w:t>
      </w:r>
      <w:r>
        <w:t xml:space="preserve"> </w:t>
      </w:r>
      <w:r w:rsidR="00CC105F">
        <w:t>essential in data warehouse g</w:t>
      </w:r>
      <w:r>
        <w:t>overnance and</w:t>
      </w:r>
      <w:r w:rsidR="00CC105F">
        <w:t xml:space="preserve"> the D</w:t>
      </w:r>
      <w:r>
        <w:t>efine phase</w:t>
      </w:r>
      <w:r w:rsidR="00CC105F">
        <w:t xml:space="preserve">, </w:t>
      </w:r>
      <w:r>
        <w:t xml:space="preserve">represents the key business roles within the </w:t>
      </w:r>
      <w:r w:rsidR="00CC105F">
        <w:t>d</w:t>
      </w:r>
      <w:r>
        <w:t>ata warehouse team</w:t>
      </w:r>
      <w:r w:rsidR="00CC105F">
        <w:t>:</w:t>
      </w:r>
      <w:r>
        <w:t xml:space="preserve"> business sponsors, business analysts</w:t>
      </w:r>
      <w:r w:rsidR="00CC105F">
        <w:t>,</w:t>
      </w:r>
      <w:r>
        <w:t xml:space="preserve"> and data stewards.</w:t>
      </w:r>
    </w:p>
    <w:p w:rsidR="007327B9" w:rsidRDefault="00DC32A4" w:rsidP="00587DB2">
      <w:pPr>
        <w:pStyle w:val="ListParagraph"/>
        <w:numPr>
          <w:ilvl w:val="0"/>
          <w:numId w:val="11"/>
        </w:numPr>
      </w:pPr>
      <w:r w:rsidRPr="00CC105F">
        <w:rPr>
          <w:b/>
        </w:rPr>
        <w:t>Develo</w:t>
      </w:r>
      <w:r w:rsidR="007327B9" w:rsidRPr="00CC105F">
        <w:rPr>
          <w:b/>
        </w:rPr>
        <w:t xml:space="preserve">p and </w:t>
      </w:r>
      <w:r w:rsidR="00CC105F">
        <w:rPr>
          <w:b/>
        </w:rPr>
        <w:t>t</w:t>
      </w:r>
      <w:r w:rsidR="007327B9" w:rsidRPr="00CC105F">
        <w:rPr>
          <w:b/>
        </w:rPr>
        <w:t>est</w:t>
      </w:r>
      <w:r>
        <w:t xml:space="preserve"> </w:t>
      </w:r>
      <w:r w:rsidR="00CC105F">
        <w:t>–</w:t>
      </w:r>
      <w:r w:rsidR="007327B9">
        <w:t xml:space="preserve"> </w:t>
      </w:r>
      <w:r>
        <w:t xml:space="preserve">Developers, </w:t>
      </w:r>
      <w:r w:rsidR="00CC105F">
        <w:t>q</w:t>
      </w:r>
      <w:r>
        <w:t xml:space="preserve">uality </w:t>
      </w:r>
      <w:r w:rsidR="00CC105F">
        <w:t>i</w:t>
      </w:r>
      <w:r>
        <w:t>nsurance</w:t>
      </w:r>
      <w:r w:rsidR="00CC105F">
        <w:t xml:space="preserve"> staff,</w:t>
      </w:r>
      <w:r>
        <w:t xml:space="preserve"> and </w:t>
      </w:r>
      <w:r w:rsidR="00CC105F">
        <w:t>d</w:t>
      </w:r>
      <w:r>
        <w:t xml:space="preserve">ata </w:t>
      </w:r>
      <w:r w:rsidR="00CC105F">
        <w:t>s</w:t>
      </w:r>
      <w:r>
        <w:t xml:space="preserve">tewards are key team members while the solution is </w:t>
      </w:r>
      <w:r w:rsidR="00CC105F">
        <w:t xml:space="preserve">being </w:t>
      </w:r>
      <w:r>
        <w:t>developed and tested.</w:t>
      </w:r>
    </w:p>
    <w:p w:rsidR="007327B9" w:rsidRDefault="007327B9" w:rsidP="00587DB2">
      <w:pPr>
        <w:pStyle w:val="ListParagraph"/>
        <w:numPr>
          <w:ilvl w:val="0"/>
          <w:numId w:val="11"/>
        </w:numPr>
      </w:pPr>
      <w:r w:rsidRPr="00CC105F">
        <w:rPr>
          <w:b/>
        </w:rPr>
        <w:t>Technical oversight</w:t>
      </w:r>
      <w:r>
        <w:t xml:space="preserve"> </w:t>
      </w:r>
      <w:r w:rsidR="00CC105F">
        <w:t>–</w:t>
      </w:r>
      <w:r>
        <w:t xml:space="preserve"> The </w:t>
      </w:r>
      <w:r w:rsidR="00CC105F">
        <w:t>d</w:t>
      </w:r>
      <w:r>
        <w:t xml:space="preserve">ata architect has an oversight role </w:t>
      </w:r>
      <w:r w:rsidR="00CC105F">
        <w:t>in</w:t>
      </w:r>
      <w:r>
        <w:t xml:space="preserve"> all technical phases of the </w:t>
      </w:r>
      <w:r w:rsidR="00CC105F">
        <w:t>d</w:t>
      </w:r>
      <w:r>
        <w:t>ata warehouse.</w:t>
      </w:r>
    </w:p>
    <w:p w:rsidR="009315AA" w:rsidRDefault="009315AA" w:rsidP="00587DB2">
      <w:pPr>
        <w:pStyle w:val="ListParagraph"/>
        <w:numPr>
          <w:ilvl w:val="0"/>
          <w:numId w:val="11"/>
        </w:numPr>
      </w:pPr>
      <w:r w:rsidRPr="00CC105F">
        <w:rPr>
          <w:b/>
        </w:rPr>
        <w:t>Maintain</w:t>
      </w:r>
      <w:r w:rsidR="007327B9">
        <w:t xml:space="preserve"> – DBA</w:t>
      </w:r>
      <w:r w:rsidR="00CC105F">
        <w:t>s</w:t>
      </w:r>
      <w:r w:rsidR="007327B9">
        <w:t xml:space="preserve">, </w:t>
      </w:r>
      <w:r w:rsidR="00CC105F">
        <w:t>d</w:t>
      </w:r>
      <w:r w:rsidR="007327B9">
        <w:t xml:space="preserve">ata </w:t>
      </w:r>
      <w:r w:rsidR="00CC105F">
        <w:t>s</w:t>
      </w:r>
      <w:r w:rsidR="007327B9">
        <w:t>tewards</w:t>
      </w:r>
      <w:r w:rsidR="00CC105F">
        <w:t>,</w:t>
      </w:r>
      <w:r w:rsidR="007327B9">
        <w:t xml:space="preserve"> and IT </w:t>
      </w:r>
      <w:r w:rsidR="00CC105F">
        <w:t>o</w:t>
      </w:r>
      <w:r w:rsidR="007327B9">
        <w:t xml:space="preserve">perations </w:t>
      </w:r>
      <w:r w:rsidR="00CC105F">
        <w:t xml:space="preserve">staff </w:t>
      </w:r>
      <w:r w:rsidR="007327B9">
        <w:t xml:space="preserve">are responsible for the ongoing </w:t>
      </w:r>
      <w:r w:rsidR="00437CD0">
        <w:t xml:space="preserve">data warehouse </w:t>
      </w:r>
      <w:r w:rsidR="007327B9">
        <w:t>maintenance activities.</w:t>
      </w:r>
    </w:p>
    <w:p w:rsidR="007327B9" w:rsidRDefault="00437CD0" w:rsidP="00437CD0">
      <w:r>
        <w:t>In addition, r</w:t>
      </w:r>
      <w:r w:rsidR="007327B9">
        <w:t>elease engineering, DBAs</w:t>
      </w:r>
      <w:r>
        <w:t>,</w:t>
      </w:r>
      <w:r w:rsidR="007327B9">
        <w:t xml:space="preserve"> and IT </w:t>
      </w:r>
      <w:r>
        <w:t>o</w:t>
      </w:r>
      <w:r w:rsidR="007327B9">
        <w:t xml:space="preserve">perations are involved in </w:t>
      </w:r>
      <w:r>
        <w:t xml:space="preserve">solutions </w:t>
      </w:r>
      <w:r w:rsidR="007327B9">
        <w:t xml:space="preserve">deployment across environments. </w:t>
      </w:r>
      <w:r>
        <w:t>As noted earlier, although d</w:t>
      </w:r>
      <w:r w:rsidR="007327B9">
        <w:t xml:space="preserve">eployment topics will be addressed </w:t>
      </w:r>
      <w:r>
        <w:t>in the toolkit, they aren’t a primary focus for this</w:t>
      </w:r>
      <w:r w:rsidR="007327B9">
        <w:t>.</w:t>
      </w:r>
    </w:p>
    <w:p w:rsidR="00D83723" w:rsidRDefault="00A97291" w:rsidP="008E4047">
      <w:r>
        <w:t xml:space="preserve">Table </w:t>
      </w:r>
      <w:r w:rsidR="00A72E76">
        <w:t>1-</w:t>
      </w:r>
      <w:r w:rsidR="00437CD0">
        <w:t>2</w:t>
      </w:r>
      <w:r w:rsidR="005879BB">
        <w:t xml:space="preserve"> maps the level of involvement for </w:t>
      </w:r>
      <w:r w:rsidR="00437CD0">
        <w:t>different</w:t>
      </w:r>
      <w:r w:rsidR="005879BB">
        <w:t xml:space="preserve"> role</w:t>
      </w:r>
      <w:r w:rsidR="00437CD0">
        <w:t>s</w:t>
      </w:r>
      <w:r w:rsidR="005879BB">
        <w:t xml:space="preserve"> </w:t>
      </w:r>
      <w:r w:rsidR="00437CD0">
        <w:t>in</w:t>
      </w:r>
      <w:r w:rsidR="005879BB">
        <w:t xml:space="preserve"> the </w:t>
      </w:r>
      <w:r w:rsidR="00437CD0">
        <w:t>d</w:t>
      </w:r>
      <w:r w:rsidR="005879BB">
        <w:t>ata warehouse life cycle.</w:t>
      </w:r>
      <w:r w:rsidR="00AF7B33">
        <w:t xml:space="preserve"> </w:t>
      </w:r>
    </w:p>
    <w:p w:rsidR="00D83723" w:rsidRDefault="00D83723">
      <w:r>
        <w:br w:type="page"/>
      </w:r>
    </w:p>
    <w:tbl>
      <w:tblPr>
        <w:tblW w:w="6797" w:type="dxa"/>
        <w:tblInd w:w="93" w:type="dxa"/>
        <w:tblLook w:val="04A0" w:firstRow="1" w:lastRow="0" w:firstColumn="1" w:lastColumn="0" w:noHBand="0" w:noVBand="1"/>
      </w:tblPr>
      <w:tblGrid>
        <w:gridCol w:w="2460"/>
        <w:gridCol w:w="857"/>
        <w:gridCol w:w="1380"/>
        <w:gridCol w:w="940"/>
        <w:gridCol w:w="1160"/>
      </w:tblGrid>
      <w:tr w:rsidR="000C797A" w:rsidRPr="000C797A" w:rsidTr="00D83723">
        <w:trPr>
          <w:trHeight w:val="330"/>
        </w:trPr>
        <w:tc>
          <w:tcPr>
            <w:tcW w:w="246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0C797A" w:rsidRPr="000C797A" w:rsidRDefault="000C797A" w:rsidP="000C797A">
            <w:pPr>
              <w:spacing w:after="0" w:line="240" w:lineRule="auto"/>
              <w:jc w:val="center"/>
              <w:rPr>
                <w:rFonts w:ascii="Calibri" w:eastAsia="Times New Roman" w:hAnsi="Calibri" w:cs="Calibri"/>
                <w:color w:val="000000"/>
                <w:sz w:val="24"/>
                <w:szCs w:val="24"/>
              </w:rPr>
            </w:pPr>
            <w:r w:rsidRPr="000C797A">
              <w:rPr>
                <w:rFonts w:ascii="Calibri" w:eastAsia="Times New Roman" w:hAnsi="Calibri" w:cs="Calibri"/>
                <w:color w:val="000000"/>
                <w:sz w:val="24"/>
                <w:szCs w:val="24"/>
              </w:rPr>
              <w:lastRenderedPageBreak/>
              <w:t>Role</w:t>
            </w:r>
          </w:p>
        </w:tc>
        <w:tc>
          <w:tcPr>
            <w:tcW w:w="857" w:type="dxa"/>
            <w:tcBorders>
              <w:top w:val="single" w:sz="8" w:space="0" w:color="auto"/>
              <w:left w:val="nil"/>
              <w:bottom w:val="nil"/>
              <w:right w:val="nil"/>
            </w:tcBorders>
            <w:shd w:val="clear" w:color="000000" w:fill="F2F2F2"/>
            <w:noWrap/>
            <w:vAlign w:val="bottom"/>
            <w:hideMark/>
          </w:tcPr>
          <w:p w:rsidR="000C797A" w:rsidRPr="000C797A" w:rsidRDefault="000C797A" w:rsidP="000C797A">
            <w:pPr>
              <w:spacing w:after="0" w:line="240" w:lineRule="auto"/>
              <w:jc w:val="center"/>
              <w:rPr>
                <w:rFonts w:ascii="Calibri" w:eastAsia="Times New Roman" w:hAnsi="Calibri" w:cs="Calibri"/>
                <w:color w:val="000000"/>
                <w:sz w:val="24"/>
                <w:szCs w:val="24"/>
              </w:rPr>
            </w:pPr>
            <w:r w:rsidRPr="000C797A">
              <w:rPr>
                <w:rFonts w:ascii="Calibri" w:eastAsia="Times New Roman" w:hAnsi="Calibri" w:cs="Calibri"/>
                <w:color w:val="000000"/>
                <w:sz w:val="24"/>
                <w:szCs w:val="24"/>
              </w:rPr>
              <w:t>Define</w:t>
            </w:r>
          </w:p>
        </w:tc>
        <w:tc>
          <w:tcPr>
            <w:tcW w:w="1380" w:type="dxa"/>
            <w:tcBorders>
              <w:top w:val="single" w:sz="8" w:space="0" w:color="auto"/>
              <w:left w:val="single" w:sz="4" w:space="0" w:color="auto"/>
              <w:bottom w:val="nil"/>
              <w:right w:val="single" w:sz="4" w:space="0" w:color="auto"/>
            </w:tcBorders>
            <w:shd w:val="clear" w:color="000000" w:fill="F2F2F2"/>
            <w:noWrap/>
            <w:vAlign w:val="bottom"/>
            <w:hideMark/>
          </w:tcPr>
          <w:p w:rsidR="000C797A" w:rsidRPr="000C797A" w:rsidRDefault="000C797A" w:rsidP="000C797A">
            <w:pPr>
              <w:spacing w:after="0" w:line="240" w:lineRule="auto"/>
              <w:jc w:val="center"/>
              <w:rPr>
                <w:rFonts w:ascii="Calibri" w:eastAsia="Times New Roman" w:hAnsi="Calibri" w:cs="Calibri"/>
                <w:color w:val="000000"/>
                <w:sz w:val="24"/>
                <w:szCs w:val="24"/>
              </w:rPr>
            </w:pPr>
            <w:proofErr w:type="spellStart"/>
            <w:r w:rsidRPr="000C797A">
              <w:rPr>
                <w:rFonts w:ascii="Calibri" w:eastAsia="Times New Roman" w:hAnsi="Calibri" w:cs="Calibri"/>
                <w:color w:val="000000"/>
                <w:sz w:val="24"/>
                <w:szCs w:val="24"/>
              </w:rPr>
              <w:t>Dev</w:t>
            </w:r>
            <w:proofErr w:type="spellEnd"/>
            <w:r w:rsidRPr="000C797A">
              <w:rPr>
                <w:rFonts w:ascii="Calibri" w:eastAsia="Times New Roman" w:hAnsi="Calibri" w:cs="Calibri"/>
                <w:color w:val="000000"/>
                <w:sz w:val="24"/>
                <w:szCs w:val="24"/>
              </w:rPr>
              <w:t>-Test</w:t>
            </w:r>
          </w:p>
        </w:tc>
        <w:tc>
          <w:tcPr>
            <w:tcW w:w="940" w:type="dxa"/>
            <w:tcBorders>
              <w:top w:val="single" w:sz="8" w:space="0" w:color="auto"/>
              <w:left w:val="nil"/>
              <w:bottom w:val="nil"/>
              <w:right w:val="single" w:sz="4" w:space="0" w:color="auto"/>
            </w:tcBorders>
            <w:shd w:val="clear" w:color="000000" w:fill="F2F2F2"/>
            <w:noWrap/>
            <w:vAlign w:val="bottom"/>
            <w:hideMark/>
          </w:tcPr>
          <w:p w:rsidR="000C797A" w:rsidRPr="000C797A" w:rsidRDefault="000C797A" w:rsidP="000C797A">
            <w:pPr>
              <w:spacing w:after="0" w:line="240" w:lineRule="auto"/>
              <w:jc w:val="center"/>
              <w:rPr>
                <w:rFonts w:ascii="Calibri" w:eastAsia="Times New Roman" w:hAnsi="Calibri" w:cs="Calibri"/>
                <w:color w:val="000000"/>
                <w:sz w:val="24"/>
                <w:szCs w:val="24"/>
              </w:rPr>
            </w:pPr>
            <w:r w:rsidRPr="000C797A">
              <w:rPr>
                <w:rFonts w:ascii="Calibri" w:eastAsia="Times New Roman" w:hAnsi="Calibri" w:cs="Calibri"/>
                <w:color w:val="000000"/>
                <w:sz w:val="24"/>
                <w:szCs w:val="24"/>
              </w:rPr>
              <w:t>Deploy</w:t>
            </w:r>
          </w:p>
        </w:tc>
        <w:tc>
          <w:tcPr>
            <w:tcW w:w="1160" w:type="dxa"/>
            <w:tcBorders>
              <w:top w:val="single" w:sz="8" w:space="0" w:color="auto"/>
              <w:left w:val="nil"/>
              <w:bottom w:val="nil"/>
              <w:right w:val="single" w:sz="8" w:space="0" w:color="auto"/>
            </w:tcBorders>
            <w:shd w:val="clear" w:color="000000" w:fill="F2F2F2"/>
            <w:noWrap/>
            <w:vAlign w:val="bottom"/>
            <w:hideMark/>
          </w:tcPr>
          <w:p w:rsidR="000C797A" w:rsidRPr="000C797A" w:rsidRDefault="000C797A" w:rsidP="000C797A">
            <w:pPr>
              <w:spacing w:after="0" w:line="240" w:lineRule="auto"/>
              <w:jc w:val="center"/>
              <w:rPr>
                <w:rFonts w:ascii="Calibri" w:eastAsia="Times New Roman" w:hAnsi="Calibri" w:cs="Calibri"/>
                <w:color w:val="000000"/>
                <w:sz w:val="24"/>
                <w:szCs w:val="24"/>
              </w:rPr>
            </w:pPr>
            <w:r w:rsidRPr="000C797A">
              <w:rPr>
                <w:rFonts w:ascii="Calibri" w:eastAsia="Times New Roman" w:hAnsi="Calibri" w:cs="Calibri"/>
                <w:color w:val="000000"/>
                <w:sz w:val="24"/>
                <w:szCs w:val="24"/>
              </w:rPr>
              <w:t>Maintain</w:t>
            </w:r>
          </w:p>
        </w:tc>
      </w:tr>
      <w:tr w:rsidR="000C797A" w:rsidRPr="000C797A" w:rsidTr="00D83723">
        <w:trPr>
          <w:trHeight w:val="330"/>
        </w:trPr>
        <w:tc>
          <w:tcPr>
            <w:tcW w:w="2460" w:type="dxa"/>
            <w:tcBorders>
              <w:top w:val="nil"/>
              <w:left w:val="single" w:sz="8" w:space="0" w:color="auto"/>
              <w:bottom w:val="nil"/>
              <w:right w:val="single" w:sz="8" w:space="0" w:color="auto"/>
            </w:tcBorders>
            <w:shd w:val="clear" w:color="auto" w:fill="auto"/>
            <w:noWrap/>
            <w:vAlign w:val="center"/>
            <w:hideMark/>
          </w:tcPr>
          <w:p w:rsidR="000C797A" w:rsidRPr="000C797A" w:rsidRDefault="000C797A" w:rsidP="000C797A">
            <w:pPr>
              <w:spacing w:after="0" w:line="240" w:lineRule="auto"/>
              <w:rPr>
                <w:rFonts w:ascii="Calibri" w:eastAsia="Times New Roman" w:hAnsi="Calibri" w:cs="Calibri"/>
                <w:color w:val="000000"/>
                <w:sz w:val="24"/>
                <w:szCs w:val="24"/>
              </w:rPr>
            </w:pPr>
            <w:r w:rsidRPr="000C797A">
              <w:rPr>
                <w:rFonts w:ascii="Calibri" w:eastAsia="Times New Roman" w:hAnsi="Calibri" w:cs="Calibri"/>
                <w:color w:val="000000"/>
                <w:sz w:val="24"/>
                <w:szCs w:val="24"/>
              </w:rPr>
              <w:t>Project Manager</w:t>
            </w:r>
          </w:p>
        </w:tc>
        <w:tc>
          <w:tcPr>
            <w:tcW w:w="857" w:type="dxa"/>
            <w:tcBorders>
              <w:top w:val="single" w:sz="4" w:space="0" w:color="auto"/>
              <w:left w:val="nil"/>
              <w:bottom w:val="nil"/>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380" w:type="dxa"/>
            <w:tcBorders>
              <w:top w:val="single" w:sz="4" w:space="0" w:color="auto"/>
              <w:left w:val="nil"/>
              <w:bottom w:val="nil"/>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940" w:type="dxa"/>
            <w:tcBorders>
              <w:top w:val="single" w:sz="4" w:space="0" w:color="auto"/>
              <w:left w:val="nil"/>
              <w:bottom w:val="nil"/>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160" w:type="dxa"/>
            <w:tcBorders>
              <w:top w:val="single" w:sz="4" w:space="0" w:color="auto"/>
              <w:left w:val="nil"/>
              <w:bottom w:val="nil"/>
              <w:right w:val="single" w:sz="8" w:space="0" w:color="auto"/>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r>
      <w:tr w:rsidR="000C797A" w:rsidRPr="000C797A" w:rsidTr="00D83723">
        <w:trPr>
          <w:trHeight w:val="330"/>
        </w:trPr>
        <w:tc>
          <w:tcPr>
            <w:tcW w:w="2460" w:type="dxa"/>
            <w:tcBorders>
              <w:top w:val="single" w:sz="4" w:space="0" w:color="auto"/>
              <w:left w:val="single" w:sz="8" w:space="0" w:color="auto"/>
              <w:bottom w:val="nil"/>
              <w:right w:val="single" w:sz="8" w:space="0" w:color="auto"/>
            </w:tcBorders>
            <w:shd w:val="clear" w:color="auto" w:fill="auto"/>
            <w:noWrap/>
            <w:vAlign w:val="center"/>
            <w:hideMark/>
          </w:tcPr>
          <w:p w:rsidR="000C797A" w:rsidRPr="000C797A" w:rsidRDefault="000C797A" w:rsidP="000C797A">
            <w:pPr>
              <w:spacing w:after="0" w:line="240" w:lineRule="auto"/>
              <w:rPr>
                <w:rFonts w:ascii="Calibri" w:eastAsia="Times New Roman" w:hAnsi="Calibri" w:cs="Calibri"/>
                <w:color w:val="000000"/>
                <w:sz w:val="24"/>
                <w:szCs w:val="24"/>
              </w:rPr>
            </w:pPr>
            <w:r w:rsidRPr="000C797A">
              <w:rPr>
                <w:rFonts w:ascii="Calibri" w:eastAsia="Times New Roman" w:hAnsi="Calibri" w:cs="Calibri"/>
                <w:color w:val="000000"/>
                <w:sz w:val="24"/>
                <w:szCs w:val="24"/>
              </w:rPr>
              <w:t>Business Analyst</w:t>
            </w:r>
          </w:p>
        </w:tc>
        <w:tc>
          <w:tcPr>
            <w:tcW w:w="857" w:type="dxa"/>
            <w:tcBorders>
              <w:top w:val="single" w:sz="4" w:space="0" w:color="auto"/>
              <w:left w:val="nil"/>
              <w:bottom w:val="nil"/>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380" w:type="dxa"/>
            <w:tcBorders>
              <w:top w:val="single" w:sz="4" w:space="0" w:color="auto"/>
              <w:left w:val="nil"/>
              <w:bottom w:val="nil"/>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940" w:type="dxa"/>
            <w:tcBorders>
              <w:top w:val="single" w:sz="4" w:space="0" w:color="auto"/>
              <w:left w:val="nil"/>
              <w:bottom w:val="nil"/>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1160" w:type="dxa"/>
            <w:tcBorders>
              <w:top w:val="single" w:sz="4" w:space="0" w:color="auto"/>
              <w:left w:val="nil"/>
              <w:bottom w:val="nil"/>
              <w:right w:val="single" w:sz="8" w:space="0" w:color="auto"/>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r>
      <w:tr w:rsidR="000C797A" w:rsidRPr="000C797A" w:rsidTr="00D83723">
        <w:trPr>
          <w:trHeight w:val="330"/>
        </w:trPr>
        <w:tc>
          <w:tcPr>
            <w:tcW w:w="24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797A" w:rsidRPr="000C797A" w:rsidRDefault="000C797A" w:rsidP="000C797A">
            <w:pPr>
              <w:spacing w:after="0" w:line="240" w:lineRule="auto"/>
              <w:rPr>
                <w:rFonts w:ascii="Calibri" w:eastAsia="Times New Roman" w:hAnsi="Calibri" w:cs="Calibri"/>
                <w:color w:val="000000"/>
                <w:sz w:val="24"/>
                <w:szCs w:val="24"/>
              </w:rPr>
            </w:pPr>
            <w:r w:rsidRPr="000C797A">
              <w:rPr>
                <w:rFonts w:ascii="Calibri" w:eastAsia="Times New Roman" w:hAnsi="Calibri" w:cs="Calibri"/>
                <w:color w:val="000000"/>
                <w:sz w:val="24"/>
                <w:szCs w:val="24"/>
              </w:rPr>
              <w:t>Data Steward</w:t>
            </w:r>
          </w:p>
        </w:tc>
        <w:tc>
          <w:tcPr>
            <w:tcW w:w="857" w:type="dxa"/>
            <w:tcBorders>
              <w:top w:val="single" w:sz="4" w:space="0" w:color="auto"/>
              <w:left w:val="nil"/>
              <w:bottom w:val="single" w:sz="4"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380" w:type="dxa"/>
            <w:tcBorders>
              <w:top w:val="single" w:sz="4" w:space="0" w:color="auto"/>
              <w:left w:val="nil"/>
              <w:bottom w:val="single" w:sz="4"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940" w:type="dxa"/>
            <w:tcBorders>
              <w:top w:val="single" w:sz="4" w:space="0" w:color="auto"/>
              <w:left w:val="nil"/>
              <w:bottom w:val="single" w:sz="4"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1160" w:type="dxa"/>
            <w:tcBorders>
              <w:top w:val="single" w:sz="4" w:space="0" w:color="auto"/>
              <w:left w:val="nil"/>
              <w:bottom w:val="single" w:sz="4" w:space="0" w:color="auto"/>
              <w:right w:val="single" w:sz="8" w:space="0" w:color="auto"/>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r>
      <w:tr w:rsidR="000C797A" w:rsidRPr="000C797A" w:rsidTr="00D83723">
        <w:trPr>
          <w:trHeight w:val="330"/>
        </w:trPr>
        <w:tc>
          <w:tcPr>
            <w:tcW w:w="2460" w:type="dxa"/>
            <w:tcBorders>
              <w:top w:val="nil"/>
              <w:left w:val="single" w:sz="8" w:space="0" w:color="auto"/>
              <w:bottom w:val="single" w:sz="4" w:space="0" w:color="auto"/>
              <w:right w:val="single" w:sz="8" w:space="0" w:color="auto"/>
            </w:tcBorders>
            <w:shd w:val="clear" w:color="auto" w:fill="auto"/>
            <w:noWrap/>
            <w:vAlign w:val="center"/>
            <w:hideMark/>
          </w:tcPr>
          <w:p w:rsidR="000C797A" w:rsidRPr="000C797A" w:rsidRDefault="000C797A" w:rsidP="000C797A">
            <w:pPr>
              <w:spacing w:after="0" w:line="240" w:lineRule="auto"/>
              <w:rPr>
                <w:rFonts w:ascii="Calibri" w:eastAsia="Times New Roman" w:hAnsi="Calibri" w:cs="Calibri"/>
                <w:color w:val="000000"/>
                <w:sz w:val="24"/>
                <w:szCs w:val="24"/>
              </w:rPr>
            </w:pPr>
            <w:r w:rsidRPr="000C797A">
              <w:rPr>
                <w:rFonts w:ascii="Calibri" w:eastAsia="Times New Roman" w:hAnsi="Calibri" w:cs="Calibri"/>
                <w:color w:val="000000"/>
                <w:sz w:val="24"/>
                <w:szCs w:val="24"/>
              </w:rPr>
              <w:t>Data Architect</w:t>
            </w:r>
          </w:p>
        </w:tc>
        <w:tc>
          <w:tcPr>
            <w:tcW w:w="857" w:type="dxa"/>
            <w:tcBorders>
              <w:top w:val="nil"/>
              <w:left w:val="nil"/>
              <w:bottom w:val="single" w:sz="4"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380" w:type="dxa"/>
            <w:tcBorders>
              <w:top w:val="nil"/>
              <w:left w:val="nil"/>
              <w:bottom w:val="single" w:sz="4"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940" w:type="dxa"/>
            <w:tcBorders>
              <w:top w:val="nil"/>
              <w:left w:val="nil"/>
              <w:bottom w:val="single" w:sz="4"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160" w:type="dxa"/>
            <w:tcBorders>
              <w:top w:val="nil"/>
              <w:left w:val="nil"/>
              <w:bottom w:val="single" w:sz="4" w:space="0" w:color="auto"/>
              <w:right w:val="single" w:sz="8" w:space="0" w:color="auto"/>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r>
      <w:tr w:rsidR="000C797A" w:rsidRPr="000C797A" w:rsidTr="00D83723">
        <w:trPr>
          <w:trHeight w:val="330"/>
        </w:trPr>
        <w:tc>
          <w:tcPr>
            <w:tcW w:w="2460" w:type="dxa"/>
            <w:tcBorders>
              <w:top w:val="nil"/>
              <w:left w:val="single" w:sz="8" w:space="0" w:color="auto"/>
              <w:bottom w:val="single" w:sz="4" w:space="0" w:color="auto"/>
              <w:right w:val="single" w:sz="8" w:space="0" w:color="auto"/>
            </w:tcBorders>
            <w:shd w:val="clear" w:color="auto" w:fill="auto"/>
            <w:noWrap/>
            <w:vAlign w:val="center"/>
            <w:hideMark/>
          </w:tcPr>
          <w:p w:rsidR="000C797A" w:rsidRPr="000C797A" w:rsidRDefault="000C797A" w:rsidP="000C797A">
            <w:pPr>
              <w:spacing w:after="0" w:line="240" w:lineRule="auto"/>
              <w:rPr>
                <w:rFonts w:ascii="Calibri" w:eastAsia="Times New Roman" w:hAnsi="Calibri" w:cs="Calibri"/>
                <w:color w:val="000000"/>
                <w:sz w:val="24"/>
                <w:szCs w:val="24"/>
              </w:rPr>
            </w:pPr>
            <w:r w:rsidRPr="000C797A">
              <w:rPr>
                <w:rFonts w:ascii="Calibri" w:eastAsia="Times New Roman" w:hAnsi="Calibri" w:cs="Calibri"/>
                <w:color w:val="000000"/>
                <w:sz w:val="24"/>
                <w:szCs w:val="24"/>
              </w:rPr>
              <w:t>Developer</w:t>
            </w:r>
          </w:p>
        </w:tc>
        <w:tc>
          <w:tcPr>
            <w:tcW w:w="857" w:type="dxa"/>
            <w:tcBorders>
              <w:top w:val="nil"/>
              <w:left w:val="nil"/>
              <w:bottom w:val="single" w:sz="4" w:space="0" w:color="auto"/>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1380" w:type="dxa"/>
            <w:tcBorders>
              <w:top w:val="nil"/>
              <w:left w:val="nil"/>
              <w:bottom w:val="single" w:sz="4"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940" w:type="dxa"/>
            <w:tcBorders>
              <w:top w:val="nil"/>
              <w:left w:val="nil"/>
              <w:bottom w:val="single" w:sz="4" w:space="0" w:color="auto"/>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1160" w:type="dxa"/>
            <w:tcBorders>
              <w:top w:val="nil"/>
              <w:left w:val="nil"/>
              <w:bottom w:val="single" w:sz="4" w:space="0" w:color="auto"/>
              <w:right w:val="single" w:sz="8" w:space="0" w:color="auto"/>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r>
      <w:tr w:rsidR="000C797A" w:rsidRPr="000C797A" w:rsidTr="00D83723">
        <w:trPr>
          <w:trHeight w:val="330"/>
        </w:trPr>
        <w:tc>
          <w:tcPr>
            <w:tcW w:w="2460" w:type="dxa"/>
            <w:tcBorders>
              <w:top w:val="nil"/>
              <w:left w:val="single" w:sz="8" w:space="0" w:color="auto"/>
              <w:bottom w:val="single" w:sz="4" w:space="0" w:color="auto"/>
              <w:right w:val="single" w:sz="8" w:space="0" w:color="auto"/>
            </w:tcBorders>
            <w:shd w:val="clear" w:color="auto" w:fill="auto"/>
            <w:noWrap/>
            <w:vAlign w:val="center"/>
            <w:hideMark/>
          </w:tcPr>
          <w:p w:rsidR="000C797A" w:rsidRPr="000C797A" w:rsidRDefault="000C797A" w:rsidP="000C797A">
            <w:pPr>
              <w:spacing w:after="0" w:line="240" w:lineRule="auto"/>
              <w:rPr>
                <w:rFonts w:ascii="Calibri" w:eastAsia="Times New Roman" w:hAnsi="Calibri" w:cs="Calibri"/>
                <w:color w:val="000000"/>
                <w:sz w:val="24"/>
                <w:szCs w:val="24"/>
              </w:rPr>
            </w:pPr>
            <w:r w:rsidRPr="000C797A">
              <w:rPr>
                <w:rFonts w:ascii="Calibri" w:eastAsia="Times New Roman" w:hAnsi="Calibri" w:cs="Calibri"/>
                <w:color w:val="000000"/>
                <w:sz w:val="24"/>
                <w:szCs w:val="24"/>
              </w:rPr>
              <w:t>QA</w:t>
            </w:r>
          </w:p>
        </w:tc>
        <w:tc>
          <w:tcPr>
            <w:tcW w:w="857" w:type="dxa"/>
            <w:tcBorders>
              <w:top w:val="nil"/>
              <w:left w:val="nil"/>
              <w:bottom w:val="single" w:sz="4" w:space="0" w:color="auto"/>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1380" w:type="dxa"/>
            <w:tcBorders>
              <w:top w:val="nil"/>
              <w:left w:val="nil"/>
              <w:bottom w:val="single" w:sz="4"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940" w:type="dxa"/>
            <w:tcBorders>
              <w:top w:val="nil"/>
              <w:left w:val="nil"/>
              <w:bottom w:val="single" w:sz="4"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160" w:type="dxa"/>
            <w:tcBorders>
              <w:top w:val="nil"/>
              <w:left w:val="nil"/>
              <w:bottom w:val="single" w:sz="4" w:space="0" w:color="auto"/>
              <w:right w:val="single" w:sz="8" w:space="0" w:color="auto"/>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r>
      <w:tr w:rsidR="000C797A" w:rsidRPr="000C797A" w:rsidTr="00D83723">
        <w:trPr>
          <w:trHeight w:val="330"/>
        </w:trPr>
        <w:tc>
          <w:tcPr>
            <w:tcW w:w="2460" w:type="dxa"/>
            <w:tcBorders>
              <w:top w:val="nil"/>
              <w:left w:val="single" w:sz="8" w:space="0" w:color="auto"/>
              <w:bottom w:val="nil"/>
              <w:right w:val="single" w:sz="8" w:space="0" w:color="auto"/>
            </w:tcBorders>
            <w:shd w:val="clear" w:color="auto" w:fill="auto"/>
            <w:noWrap/>
            <w:vAlign w:val="center"/>
            <w:hideMark/>
          </w:tcPr>
          <w:p w:rsidR="000C797A" w:rsidRPr="000C797A" w:rsidRDefault="000C797A" w:rsidP="000C797A">
            <w:pPr>
              <w:spacing w:after="0" w:line="240" w:lineRule="auto"/>
              <w:rPr>
                <w:rFonts w:ascii="Calibri" w:eastAsia="Times New Roman" w:hAnsi="Calibri" w:cs="Calibri"/>
                <w:color w:val="000000"/>
                <w:sz w:val="24"/>
                <w:szCs w:val="24"/>
              </w:rPr>
            </w:pPr>
            <w:r w:rsidRPr="000C797A">
              <w:rPr>
                <w:rFonts w:ascii="Calibri" w:eastAsia="Times New Roman" w:hAnsi="Calibri" w:cs="Calibri"/>
                <w:color w:val="000000"/>
                <w:sz w:val="24"/>
                <w:szCs w:val="24"/>
              </w:rPr>
              <w:t>Release Engineering</w:t>
            </w:r>
          </w:p>
        </w:tc>
        <w:tc>
          <w:tcPr>
            <w:tcW w:w="857" w:type="dxa"/>
            <w:tcBorders>
              <w:top w:val="nil"/>
              <w:left w:val="nil"/>
              <w:bottom w:val="nil"/>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p>
        </w:tc>
        <w:tc>
          <w:tcPr>
            <w:tcW w:w="1380" w:type="dxa"/>
            <w:tcBorders>
              <w:top w:val="nil"/>
              <w:left w:val="nil"/>
              <w:bottom w:val="nil"/>
              <w:right w:val="nil"/>
            </w:tcBorders>
            <w:shd w:val="clear" w:color="000000" w:fill="FFFFFF"/>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940" w:type="dxa"/>
            <w:tcBorders>
              <w:top w:val="nil"/>
              <w:left w:val="nil"/>
              <w:bottom w:val="nil"/>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160" w:type="dxa"/>
            <w:tcBorders>
              <w:top w:val="nil"/>
              <w:left w:val="nil"/>
              <w:bottom w:val="nil"/>
              <w:right w:val="single" w:sz="8" w:space="0" w:color="auto"/>
            </w:tcBorders>
            <w:shd w:val="clear" w:color="000000" w:fill="FFFFFF"/>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r>
      <w:tr w:rsidR="000C797A" w:rsidRPr="000C797A" w:rsidTr="00D83723">
        <w:trPr>
          <w:trHeight w:val="330"/>
        </w:trPr>
        <w:tc>
          <w:tcPr>
            <w:tcW w:w="2460" w:type="dxa"/>
            <w:tcBorders>
              <w:top w:val="single" w:sz="4" w:space="0" w:color="auto"/>
              <w:left w:val="single" w:sz="8" w:space="0" w:color="auto"/>
              <w:bottom w:val="nil"/>
              <w:right w:val="single" w:sz="8" w:space="0" w:color="auto"/>
            </w:tcBorders>
            <w:shd w:val="clear" w:color="auto" w:fill="auto"/>
            <w:noWrap/>
            <w:vAlign w:val="center"/>
            <w:hideMark/>
          </w:tcPr>
          <w:p w:rsidR="000C797A" w:rsidRPr="000C797A" w:rsidRDefault="000C797A" w:rsidP="000C797A">
            <w:pPr>
              <w:spacing w:after="0" w:line="240" w:lineRule="auto"/>
              <w:rPr>
                <w:rFonts w:ascii="Calibri" w:eastAsia="Times New Roman" w:hAnsi="Calibri" w:cs="Calibri"/>
                <w:color w:val="000000"/>
                <w:sz w:val="24"/>
                <w:szCs w:val="24"/>
              </w:rPr>
            </w:pPr>
            <w:r w:rsidRPr="000C797A">
              <w:rPr>
                <w:rFonts w:ascii="Calibri" w:eastAsia="Times New Roman" w:hAnsi="Calibri" w:cs="Calibri"/>
                <w:color w:val="000000"/>
                <w:sz w:val="24"/>
                <w:szCs w:val="24"/>
              </w:rPr>
              <w:t>DBA</w:t>
            </w:r>
          </w:p>
        </w:tc>
        <w:tc>
          <w:tcPr>
            <w:tcW w:w="857" w:type="dxa"/>
            <w:tcBorders>
              <w:top w:val="single" w:sz="4" w:space="0" w:color="auto"/>
              <w:left w:val="nil"/>
              <w:bottom w:val="nil"/>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1380" w:type="dxa"/>
            <w:tcBorders>
              <w:top w:val="single" w:sz="4" w:space="0" w:color="auto"/>
              <w:left w:val="nil"/>
              <w:bottom w:val="nil"/>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940" w:type="dxa"/>
            <w:tcBorders>
              <w:top w:val="single" w:sz="4" w:space="0" w:color="auto"/>
              <w:left w:val="nil"/>
              <w:bottom w:val="nil"/>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160" w:type="dxa"/>
            <w:tcBorders>
              <w:top w:val="single" w:sz="4" w:space="0" w:color="auto"/>
              <w:left w:val="nil"/>
              <w:bottom w:val="nil"/>
              <w:right w:val="single" w:sz="8" w:space="0" w:color="auto"/>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r>
      <w:tr w:rsidR="000C797A" w:rsidRPr="000C797A" w:rsidTr="00D83723">
        <w:trPr>
          <w:trHeight w:val="345"/>
        </w:trPr>
        <w:tc>
          <w:tcPr>
            <w:tcW w:w="246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797A" w:rsidRPr="000C797A" w:rsidRDefault="000C797A" w:rsidP="000C797A">
            <w:pPr>
              <w:spacing w:after="0" w:line="240" w:lineRule="auto"/>
              <w:rPr>
                <w:rFonts w:ascii="Calibri" w:eastAsia="Times New Roman" w:hAnsi="Calibri" w:cs="Calibri"/>
                <w:color w:val="000000"/>
                <w:sz w:val="24"/>
                <w:szCs w:val="24"/>
              </w:rPr>
            </w:pPr>
            <w:r w:rsidRPr="000C797A">
              <w:rPr>
                <w:rFonts w:ascii="Calibri" w:eastAsia="Times New Roman" w:hAnsi="Calibri" w:cs="Calibri"/>
                <w:color w:val="000000"/>
                <w:sz w:val="24"/>
                <w:szCs w:val="24"/>
              </w:rPr>
              <w:t>IT Operations</w:t>
            </w:r>
          </w:p>
        </w:tc>
        <w:tc>
          <w:tcPr>
            <w:tcW w:w="857" w:type="dxa"/>
            <w:tcBorders>
              <w:top w:val="single" w:sz="4" w:space="0" w:color="auto"/>
              <w:left w:val="nil"/>
              <w:bottom w:val="single" w:sz="8" w:space="0" w:color="auto"/>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1380" w:type="dxa"/>
            <w:tcBorders>
              <w:top w:val="single" w:sz="4" w:space="0" w:color="auto"/>
              <w:left w:val="nil"/>
              <w:bottom w:val="single" w:sz="8" w:space="0" w:color="auto"/>
              <w:right w:val="nil"/>
            </w:tcBorders>
            <w:shd w:val="clear" w:color="auto" w:fill="auto"/>
            <w:noWrap/>
            <w:vAlign w:val="bottom"/>
            <w:hideMark/>
          </w:tcPr>
          <w:p w:rsidR="000C797A" w:rsidRPr="000C797A" w:rsidRDefault="000C797A" w:rsidP="000C797A">
            <w:pPr>
              <w:spacing w:after="0" w:line="240" w:lineRule="auto"/>
              <w:rPr>
                <w:rFonts w:ascii="Segoe UI Symbol" w:eastAsia="Times New Roman" w:hAnsi="Segoe UI Symbol" w:cs="Calibri"/>
                <w:color w:val="000000"/>
              </w:rPr>
            </w:pPr>
            <w:r w:rsidRPr="000C797A">
              <w:rPr>
                <w:rFonts w:ascii="Segoe UI Symbol" w:eastAsia="Times New Roman" w:hAnsi="Segoe UI Symbol" w:cs="Calibri"/>
                <w:color w:val="000000"/>
              </w:rPr>
              <w:t> </w:t>
            </w:r>
          </w:p>
        </w:tc>
        <w:tc>
          <w:tcPr>
            <w:tcW w:w="940" w:type="dxa"/>
            <w:tcBorders>
              <w:top w:val="single" w:sz="4" w:space="0" w:color="auto"/>
              <w:left w:val="nil"/>
              <w:bottom w:val="single" w:sz="8" w:space="0" w:color="auto"/>
              <w:right w:val="nil"/>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c>
          <w:tcPr>
            <w:tcW w:w="1160" w:type="dxa"/>
            <w:tcBorders>
              <w:top w:val="single" w:sz="4" w:space="0" w:color="auto"/>
              <w:left w:val="nil"/>
              <w:bottom w:val="single" w:sz="8" w:space="0" w:color="auto"/>
              <w:right w:val="single" w:sz="8" w:space="0" w:color="auto"/>
            </w:tcBorders>
            <w:shd w:val="clear" w:color="000000" w:fill="4F81BD"/>
            <w:noWrap/>
            <w:vAlign w:val="bottom"/>
            <w:hideMark/>
          </w:tcPr>
          <w:p w:rsidR="000C797A" w:rsidRPr="000C797A" w:rsidRDefault="000C797A" w:rsidP="000C797A">
            <w:pPr>
              <w:spacing w:after="0" w:line="240" w:lineRule="auto"/>
              <w:rPr>
                <w:rFonts w:ascii="Segoe UI Symbol" w:eastAsia="Times New Roman" w:hAnsi="Segoe UI Symbol" w:cs="Calibri"/>
                <w:color w:val="F2F2F2"/>
              </w:rPr>
            </w:pPr>
            <w:r w:rsidRPr="000C797A">
              <w:rPr>
                <w:rFonts w:ascii="Segoe UI Symbol" w:eastAsia="Times New Roman" w:hAnsi="Segoe UI Symbol" w:cs="Calibri"/>
                <w:color w:val="F2F2F2"/>
              </w:rPr>
              <w:t> </w:t>
            </w:r>
          </w:p>
        </w:tc>
      </w:tr>
    </w:tbl>
    <w:p w:rsidR="005879BB" w:rsidRDefault="005879BB" w:rsidP="00A66CC4">
      <w:pPr>
        <w:spacing w:before="120"/>
      </w:pPr>
      <w:r>
        <w:rPr>
          <w:b/>
        </w:rPr>
        <w:t>Table</w:t>
      </w:r>
      <w:r w:rsidR="00A72E76">
        <w:rPr>
          <w:b/>
        </w:rPr>
        <w:t xml:space="preserve"> 1-</w:t>
      </w:r>
      <w:r w:rsidR="00437CD0">
        <w:rPr>
          <w:b/>
        </w:rPr>
        <w:t>2</w:t>
      </w:r>
      <w:r>
        <w:t xml:space="preserve">: </w:t>
      </w:r>
      <w:r w:rsidR="00437CD0">
        <w:t>Data warehouse r</w:t>
      </w:r>
      <w:r>
        <w:t xml:space="preserve">oles and </w:t>
      </w:r>
      <w:r w:rsidR="00437CD0">
        <w:t>r</w:t>
      </w:r>
      <w:r>
        <w:t xml:space="preserve">esponsibilities </w:t>
      </w:r>
    </w:p>
    <w:p w:rsidR="00361FCD" w:rsidRDefault="00361FCD" w:rsidP="00437CD0">
      <w:pPr>
        <w:pStyle w:val="Heading3"/>
      </w:pPr>
      <w:bookmarkStart w:id="8" w:name="_Toc274371191"/>
      <w:r w:rsidRPr="00AA1224">
        <w:t xml:space="preserve">Data </w:t>
      </w:r>
      <w:r w:rsidR="00437CD0">
        <w:t>S</w:t>
      </w:r>
      <w:r w:rsidRPr="00AA1224">
        <w:t>tewards</w:t>
      </w:r>
      <w:r w:rsidR="00A97291">
        <w:t>hip</w:t>
      </w:r>
      <w:bookmarkEnd w:id="8"/>
    </w:p>
    <w:p w:rsidR="00A97291" w:rsidRDefault="00A97291" w:rsidP="00AA1224">
      <w:r>
        <w:t xml:space="preserve">The </w:t>
      </w:r>
      <w:r w:rsidR="00DF7908">
        <w:t>d</w:t>
      </w:r>
      <w:r>
        <w:t xml:space="preserve">ata </w:t>
      </w:r>
      <w:r w:rsidR="00DF7908">
        <w:t>s</w:t>
      </w:r>
      <w:r>
        <w:t xml:space="preserve">teward role </w:t>
      </w:r>
      <w:r w:rsidR="00A66CC4">
        <w:t xml:space="preserve">is </w:t>
      </w:r>
      <w:r>
        <w:t xml:space="preserve">key </w:t>
      </w:r>
      <w:r w:rsidR="00A66CC4">
        <w:t>team member</w:t>
      </w:r>
      <w:r w:rsidR="00D96789">
        <w:t xml:space="preserve">. </w:t>
      </w:r>
      <w:r w:rsidR="00A66CC4">
        <w:t>D</w:t>
      </w:r>
      <w:r w:rsidR="00D96789">
        <w:t xml:space="preserve">ata stewards are </w:t>
      </w:r>
      <w:r>
        <w:t xml:space="preserve">responsible for </w:t>
      </w:r>
      <w:r w:rsidR="00D96789">
        <w:t>d</w:t>
      </w:r>
      <w:r>
        <w:t>ata quality</w:t>
      </w:r>
      <w:r w:rsidR="00A66CC4">
        <w:t>. T</w:t>
      </w:r>
      <w:r w:rsidR="00D96789">
        <w:t xml:space="preserve">his role is </w:t>
      </w:r>
      <w:r>
        <w:t>different from the traditional Quality Assurance role</w:t>
      </w:r>
      <w:r w:rsidR="00D96789">
        <w:t>,</w:t>
      </w:r>
      <w:r>
        <w:t xml:space="preserve"> which focuses on product quality. The ideal </w:t>
      </w:r>
      <w:r w:rsidR="00D96789">
        <w:t>d</w:t>
      </w:r>
      <w:r>
        <w:t xml:space="preserve">ata steward has significant tenure within an organization and understands both the business and the source system or systems supporting the business. </w:t>
      </w:r>
    </w:p>
    <w:p w:rsidR="00A97291" w:rsidRDefault="00A97291" w:rsidP="00AA1224">
      <w:r>
        <w:t xml:space="preserve">The </w:t>
      </w:r>
      <w:r w:rsidR="00D96789">
        <w:t>d</w:t>
      </w:r>
      <w:r>
        <w:t xml:space="preserve">ata </w:t>
      </w:r>
      <w:r w:rsidR="00D96789">
        <w:t>s</w:t>
      </w:r>
      <w:r>
        <w:t>teward is involved in all phases of a data warehouse:</w:t>
      </w:r>
    </w:p>
    <w:p w:rsidR="00A97291" w:rsidRDefault="00A97291" w:rsidP="00587DB2">
      <w:pPr>
        <w:pStyle w:val="ListParagraph"/>
        <w:numPr>
          <w:ilvl w:val="0"/>
          <w:numId w:val="11"/>
        </w:numPr>
      </w:pPr>
      <w:r w:rsidRPr="00D96789">
        <w:rPr>
          <w:b/>
        </w:rPr>
        <w:t>Governance</w:t>
      </w:r>
      <w:r>
        <w:t xml:space="preserve"> – </w:t>
      </w:r>
      <w:r w:rsidR="00D96789">
        <w:t>The data steward c</w:t>
      </w:r>
      <w:r>
        <w:t xml:space="preserve">ontributes to the </w:t>
      </w:r>
      <w:r w:rsidR="001976C9">
        <w:t xml:space="preserve">business and technical metadata deliverables from ongoing </w:t>
      </w:r>
      <w:r w:rsidR="00135921">
        <w:t>d</w:t>
      </w:r>
      <w:r w:rsidR="001976C9">
        <w:t>ata governance activities</w:t>
      </w:r>
      <w:r w:rsidR="00D96789">
        <w:t xml:space="preserve"> and is</w:t>
      </w:r>
      <w:r w:rsidR="001976C9">
        <w:t xml:space="preserve"> responsible for ensuring business trust in </w:t>
      </w:r>
      <w:r w:rsidR="00D96789">
        <w:t>d</w:t>
      </w:r>
      <w:r w:rsidR="001976C9">
        <w:t>ata warehouse results</w:t>
      </w:r>
      <w:r w:rsidR="00D96789">
        <w:t>.</w:t>
      </w:r>
    </w:p>
    <w:p w:rsidR="001976C9" w:rsidRDefault="001976C9" w:rsidP="00587DB2">
      <w:pPr>
        <w:pStyle w:val="ListParagraph"/>
        <w:numPr>
          <w:ilvl w:val="0"/>
          <w:numId w:val="11"/>
        </w:numPr>
      </w:pPr>
      <w:r w:rsidRPr="00135921">
        <w:rPr>
          <w:b/>
        </w:rPr>
        <w:t>Define</w:t>
      </w:r>
      <w:r>
        <w:t xml:space="preserve"> – </w:t>
      </w:r>
      <w:r w:rsidR="00135921">
        <w:t>At this stage, the data steward p</w:t>
      </w:r>
      <w:r>
        <w:t>rovides subject matter expertise for the business system and underlying database</w:t>
      </w:r>
      <w:r w:rsidR="00135921">
        <w:t>(s)</w:t>
      </w:r>
      <w:r>
        <w:t xml:space="preserve"> that are sources </w:t>
      </w:r>
      <w:r w:rsidR="00135921">
        <w:t>for</w:t>
      </w:r>
      <w:r>
        <w:t xml:space="preserve"> the </w:t>
      </w:r>
      <w:r w:rsidR="00135921">
        <w:t>d</w:t>
      </w:r>
      <w:r>
        <w:t>ata warehouse</w:t>
      </w:r>
      <w:r w:rsidR="00135921">
        <w:t>.</w:t>
      </w:r>
    </w:p>
    <w:p w:rsidR="001976C9" w:rsidRDefault="001976C9" w:rsidP="00587DB2">
      <w:pPr>
        <w:pStyle w:val="ListParagraph"/>
        <w:numPr>
          <w:ilvl w:val="0"/>
          <w:numId w:val="11"/>
        </w:numPr>
      </w:pPr>
      <w:r w:rsidRPr="00135921">
        <w:rPr>
          <w:b/>
        </w:rPr>
        <w:t>Develop and Test</w:t>
      </w:r>
      <w:r>
        <w:t xml:space="preserve"> – </w:t>
      </w:r>
      <w:r w:rsidR="00135921">
        <w:t>The data steward p</w:t>
      </w:r>
      <w:r>
        <w:t xml:space="preserve">rovides subject matter expertise when identifying and diagnosing data quality issues during the development and test phases. </w:t>
      </w:r>
    </w:p>
    <w:p w:rsidR="001976C9" w:rsidRPr="00A97291" w:rsidRDefault="001976C9" w:rsidP="00587DB2">
      <w:pPr>
        <w:pStyle w:val="ListParagraph"/>
        <w:numPr>
          <w:ilvl w:val="0"/>
          <w:numId w:val="11"/>
        </w:numPr>
      </w:pPr>
      <w:r w:rsidRPr="00135921">
        <w:rPr>
          <w:b/>
        </w:rPr>
        <w:t>Maintain</w:t>
      </w:r>
      <w:r>
        <w:t xml:space="preserve"> – </w:t>
      </w:r>
      <w:r w:rsidR="00135921">
        <w:t>During ongoing maintenance, the data steward is r</w:t>
      </w:r>
      <w:r>
        <w:t>esponsible for identifying data exceptions and correcting them at their source</w:t>
      </w:r>
      <w:r w:rsidR="00135921">
        <w:t>.</w:t>
      </w:r>
    </w:p>
    <w:p w:rsidR="008841D1" w:rsidRPr="00361FCD" w:rsidRDefault="00A66CC4" w:rsidP="008841D1">
      <w:r>
        <w:t xml:space="preserve">Note that </w:t>
      </w:r>
      <w:r w:rsidR="00135921">
        <w:t>d</w:t>
      </w:r>
      <w:r w:rsidR="008841D1">
        <w:t xml:space="preserve">ata stewards are not a primary audience for this </w:t>
      </w:r>
      <w:r w:rsidR="00135921">
        <w:t>toolkit;</w:t>
      </w:r>
      <w:r w:rsidR="008841D1">
        <w:t xml:space="preserve"> </w:t>
      </w:r>
      <w:r w:rsidR="00135921">
        <w:t>the focus, instead,</w:t>
      </w:r>
      <w:r w:rsidR="008841D1">
        <w:t xml:space="preserve"> is on the tools and frameworks that are developed in support of </w:t>
      </w:r>
      <w:r w:rsidR="00135921">
        <w:t>d</w:t>
      </w:r>
      <w:r w:rsidR="008841D1">
        <w:t xml:space="preserve">ata stewardship. </w:t>
      </w:r>
    </w:p>
    <w:p w:rsidR="00C91286" w:rsidRDefault="00135921" w:rsidP="00361FCD">
      <w:r>
        <w:t>As noted earlier, our goal is to provide best practices and guidance for</w:t>
      </w:r>
      <w:r w:rsidR="00C91286">
        <w:t>:</w:t>
      </w:r>
    </w:p>
    <w:p w:rsidR="00135921" w:rsidRDefault="00135921" w:rsidP="00135921">
      <w:pPr>
        <w:pStyle w:val="ListParagraph"/>
        <w:numPr>
          <w:ilvl w:val="0"/>
          <w:numId w:val="12"/>
        </w:numPr>
      </w:pPr>
      <w:r>
        <w:t>Data architects providing oversight and architecture design for the data warehouse</w:t>
      </w:r>
    </w:p>
    <w:p w:rsidR="001976C9" w:rsidRDefault="001976C9" w:rsidP="00587DB2">
      <w:pPr>
        <w:pStyle w:val="ListParagraph"/>
        <w:numPr>
          <w:ilvl w:val="0"/>
          <w:numId w:val="12"/>
        </w:numPr>
      </w:pPr>
      <w:r>
        <w:t xml:space="preserve">Database and </w:t>
      </w:r>
      <w:r w:rsidR="00135921">
        <w:t>i</w:t>
      </w:r>
      <w:r>
        <w:t>ntegration developers</w:t>
      </w:r>
      <w:r w:rsidR="00C91286">
        <w:t xml:space="preserve"> implementing the </w:t>
      </w:r>
      <w:r w:rsidR="00135921">
        <w:t>d</w:t>
      </w:r>
      <w:r w:rsidR="00C91286">
        <w:t>ata warehouse</w:t>
      </w:r>
    </w:p>
    <w:p w:rsidR="00C91286" w:rsidRDefault="00C91286" w:rsidP="00587DB2">
      <w:pPr>
        <w:pStyle w:val="ListParagraph"/>
        <w:numPr>
          <w:ilvl w:val="0"/>
          <w:numId w:val="12"/>
        </w:numPr>
      </w:pPr>
      <w:r>
        <w:t>D</w:t>
      </w:r>
      <w:r w:rsidR="00135921">
        <w:t>BAs</w:t>
      </w:r>
      <w:r>
        <w:t xml:space="preserve"> responsible for managing and maintaining the Data warehouse.</w:t>
      </w:r>
    </w:p>
    <w:p w:rsidR="00E26732" w:rsidRDefault="00977B38" w:rsidP="00C91286">
      <w:pPr>
        <w:pStyle w:val="Heading3"/>
      </w:pPr>
      <w:bookmarkStart w:id="9" w:name="_Toc274371192"/>
      <w:r>
        <w:t>Data Warehouse Projects</w:t>
      </w:r>
      <w:bookmarkEnd w:id="9"/>
    </w:p>
    <w:p w:rsidR="00977B38" w:rsidRPr="00977B38" w:rsidRDefault="00977B38" w:rsidP="00977B38">
      <w:r>
        <w:t xml:space="preserve">Most </w:t>
      </w:r>
      <w:r w:rsidR="00FC7575">
        <w:t>d</w:t>
      </w:r>
      <w:r>
        <w:t xml:space="preserve">ata warehouse projects are responsible for delivering the code and data models that implement an area within the </w:t>
      </w:r>
      <w:r w:rsidR="00FF050E">
        <w:t>d</w:t>
      </w:r>
      <w:r>
        <w:t xml:space="preserve">ata warehouse. Other projects are foundational and deliver the </w:t>
      </w:r>
      <w:r w:rsidR="00FF050E">
        <w:t>f</w:t>
      </w:r>
      <w:r>
        <w:t>rameworks u</w:t>
      </w:r>
      <w:r w:rsidR="00FF050E">
        <w:t xml:space="preserve">sed by </w:t>
      </w:r>
      <w:r w:rsidR="00FF050E">
        <w:lastRenderedPageBreak/>
        <w:t xml:space="preserve">other </w:t>
      </w:r>
      <w:r>
        <w:t xml:space="preserve">projects. Figure </w:t>
      </w:r>
      <w:r w:rsidR="00A72E76">
        <w:t>1-</w:t>
      </w:r>
      <w:r w:rsidR="006C6E52">
        <w:t>8</w:t>
      </w:r>
      <w:r>
        <w:t xml:space="preserve"> shows the primary deliverables for each phase of the project and the role mostly responsible for the delivery.</w:t>
      </w:r>
    </w:p>
    <w:p w:rsidR="0028369E" w:rsidRPr="00210F15" w:rsidRDefault="008841D1" w:rsidP="00E26732">
      <w:r>
        <w:rPr>
          <w:noProof/>
        </w:rPr>
        <w:drawing>
          <wp:inline distT="0" distB="0" distL="0" distR="0">
            <wp:extent cx="4370832" cy="20025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1 - Figure 8 - roles and responsibilitie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70832" cy="2002536"/>
                    </a:xfrm>
                    <a:prstGeom prst="rect">
                      <a:avLst/>
                    </a:prstGeom>
                  </pic:spPr>
                </pic:pic>
              </a:graphicData>
            </a:graphic>
          </wp:inline>
        </w:drawing>
      </w:r>
    </w:p>
    <w:p w:rsidR="00977B38" w:rsidRDefault="00977B38" w:rsidP="00977B38">
      <w:r w:rsidRPr="009D6A68">
        <w:rPr>
          <w:b/>
        </w:rPr>
        <w:t xml:space="preserve">Figure </w:t>
      </w:r>
      <w:r w:rsidR="00A72E76">
        <w:rPr>
          <w:b/>
        </w:rPr>
        <w:t>1-</w:t>
      </w:r>
      <w:r w:rsidR="006C6E52">
        <w:rPr>
          <w:b/>
        </w:rPr>
        <w:t>8</w:t>
      </w:r>
      <w:r>
        <w:t xml:space="preserve">: Roles and </w:t>
      </w:r>
      <w:r w:rsidR="00FF050E">
        <w:t>p</w:t>
      </w:r>
      <w:r>
        <w:t xml:space="preserve">rimary </w:t>
      </w:r>
      <w:r w:rsidR="00FF050E">
        <w:t>d</w:t>
      </w:r>
      <w:r>
        <w:t>eliverables</w:t>
      </w:r>
    </w:p>
    <w:p w:rsidR="00E26732" w:rsidRDefault="00FF050E" w:rsidP="00210F15">
      <w:r>
        <w:t>Remember that the D</w:t>
      </w:r>
      <w:r w:rsidR="00977B38">
        <w:t>efine phase is out of scope for this document.</w:t>
      </w:r>
      <w:r>
        <w:t xml:space="preserve"> The key project roles and deliverables for the other data warehouse phases are: </w:t>
      </w:r>
    </w:p>
    <w:p w:rsidR="00FF050E" w:rsidRDefault="00FF050E" w:rsidP="00FF050E">
      <w:pPr>
        <w:pStyle w:val="ListParagraph"/>
        <w:numPr>
          <w:ilvl w:val="0"/>
          <w:numId w:val="10"/>
        </w:numPr>
      </w:pPr>
      <w:r w:rsidRPr="00FF050E">
        <w:rPr>
          <w:b/>
        </w:rPr>
        <w:t>Data architect</w:t>
      </w:r>
      <w:r>
        <w:t xml:space="preserve"> – Responsible for the platform and database architectures</w:t>
      </w:r>
    </w:p>
    <w:p w:rsidR="00C01052" w:rsidRDefault="00C91286" w:rsidP="00587DB2">
      <w:pPr>
        <w:pStyle w:val="ListParagraph"/>
        <w:numPr>
          <w:ilvl w:val="0"/>
          <w:numId w:val="10"/>
        </w:numPr>
      </w:pPr>
      <w:r w:rsidRPr="00FF050E">
        <w:rPr>
          <w:b/>
        </w:rPr>
        <w:t xml:space="preserve">Database </w:t>
      </w:r>
      <w:r w:rsidR="00FF050E" w:rsidRPr="00FF050E">
        <w:rPr>
          <w:b/>
        </w:rPr>
        <w:t>d</w:t>
      </w:r>
      <w:r w:rsidR="006C6E52" w:rsidRPr="00FF050E">
        <w:rPr>
          <w:b/>
        </w:rPr>
        <w:t>eveloper</w:t>
      </w:r>
      <w:r w:rsidR="006C6E52">
        <w:t xml:space="preserve"> </w:t>
      </w:r>
      <w:r w:rsidR="00FF050E">
        <w:t>–</w:t>
      </w:r>
      <w:r w:rsidR="006C6E52">
        <w:t xml:space="preserve"> </w:t>
      </w:r>
      <w:r w:rsidR="00FF050E">
        <w:t>Responsible for d</w:t>
      </w:r>
      <w:r w:rsidR="00C01052">
        <w:t>ata model</w:t>
      </w:r>
      <w:r>
        <w:t>s, supporting data objects, SQL queries</w:t>
      </w:r>
      <w:r w:rsidR="00FF050E">
        <w:t>,</w:t>
      </w:r>
      <w:r>
        <w:t xml:space="preserve"> and reports</w:t>
      </w:r>
    </w:p>
    <w:p w:rsidR="00C91286" w:rsidRDefault="00C91286" w:rsidP="00587DB2">
      <w:pPr>
        <w:pStyle w:val="ListParagraph"/>
        <w:numPr>
          <w:ilvl w:val="0"/>
          <w:numId w:val="10"/>
        </w:numPr>
      </w:pPr>
      <w:r w:rsidRPr="00FF050E">
        <w:rPr>
          <w:b/>
        </w:rPr>
        <w:t xml:space="preserve">Integration </w:t>
      </w:r>
      <w:r w:rsidR="00FF050E" w:rsidRPr="00FF050E">
        <w:rPr>
          <w:b/>
        </w:rPr>
        <w:t>d</w:t>
      </w:r>
      <w:r w:rsidRPr="00FF050E">
        <w:rPr>
          <w:b/>
        </w:rPr>
        <w:t>eveloper</w:t>
      </w:r>
      <w:r>
        <w:t xml:space="preserve"> – </w:t>
      </w:r>
      <w:r w:rsidR="00FF050E">
        <w:t>Responsible for i</w:t>
      </w:r>
      <w:r>
        <w:t>ntegration code</w:t>
      </w:r>
      <w:r w:rsidR="00463413">
        <w:t xml:space="preserve"> and </w:t>
      </w:r>
      <w:r w:rsidR="00FF050E">
        <w:t>f</w:t>
      </w:r>
      <w:r w:rsidR="00463413">
        <w:t>rameworks</w:t>
      </w:r>
    </w:p>
    <w:p w:rsidR="0028369E" w:rsidRDefault="002C67DB" w:rsidP="005053DE">
      <w:pPr>
        <w:pStyle w:val="Heading3"/>
      </w:pPr>
      <w:bookmarkStart w:id="10" w:name="_Toc274371193"/>
      <w:r>
        <w:t xml:space="preserve">Managing a </w:t>
      </w:r>
      <w:r w:rsidR="00977B38">
        <w:t>Data Warehouse</w:t>
      </w:r>
      <w:bookmarkEnd w:id="10"/>
      <w:r w:rsidR="00977B38">
        <w:t xml:space="preserve"> </w:t>
      </w:r>
    </w:p>
    <w:p w:rsidR="00977B38" w:rsidRDefault="00C01052" w:rsidP="00977B38">
      <w:r>
        <w:t xml:space="preserve">Most of </w:t>
      </w:r>
      <w:r w:rsidR="00FF050E">
        <w:t>a</w:t>
      </w:r>
      <w:r>
        <w:t xml:space="preserve"> </w:t>
      </w:r>
      <w:r w:rsidR="00FF050E">
        <w:t>d</w:t>
      </w:r>
      <w:r>
        <w:t>ata warehouse</w:t>
      </w:r>
      <w:r w:rsidR="00FF050E">
        <w:t>’s</w:t>
      </w:r>
      <w:r>
        <w:t xml:space="preserve"> costs are related to ongoing </w:t>
      </w:r>
      <w:r w:rsidR="002C67DB">
        <w:t xml:space="preserve">management and </w:t>
      </w:r>
      <w:r>
        <w:t>maintenance</w:t>
      </w:r>
      <w:r w:rsidR="00FF050E">
        <w:t>.</w:t>
      </w:r>
      <w:r w:rsidR="002C67DB">
        <w:t xml:space="preserve"> Figure </w:t>
      </w:r>
      <w:r w:rsidR="00A72E76">
        <w:t>1-</w:t>
      </w:r>
      <w:r w:rsidR="002C67DB">
        <w:t>9</w:t>
      </w:r>
      <w:r>
        <w:t xml:space="preserve"> shows the key roles and responsibilities for th</w:t>
      </w:r>
      <w:r w:rsidR="00FF050E">
        <w:t>ese efforts</w:t>
      </w:r>
      <w:r>
        <w:t>.</w:t>
      </w:r>
    </w:p>
    <w:p w:rsidR="00C01052" w:rsidRPr="00977B38" w:rsidRDefault="008841D1" w:rsidP="00977B38">
      <w:r>
        <w:rPr>
          <w:noProof/>
        </w:rPr>
        <w:drawing>
          <wp:inline distT="0" distB="0" distL="0" distR="0">
            <wp:extent cx="3355848" cy="26883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1 - Figure 9 - Maintain R and 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55848" cy="2688336"/>
                    </a:xfrm>
                    <a:prstGeom prst="rect">
                      <a:avLst/>
                    </a:prstGeom>
                  </pic:spPr>
                </pic:pic>
              </a:graphicData>
            </a:graphic>
          </wp:inline>
        </w:drawing>
      </w:r>
    </w:p>
    <w:p w:rsidR="00C01052" w:rsidRDefault="00C01052" w:rsidP="00C01052">
      <w:r w:rsidRPr="009D6A68">
        <w:rPr>
          <w:b/>
        </w:rPr>
        <w:t xml:space="preserve">Figure </w:t>
      </w:r>
      <w:r w:rsidR="00A72E76">
        <w:rPr>
          <w:b/>
        </w:rPr>
        <w:t>1-</w:t>
      </w:r>
      <w:r w:rsidR="002C67DB">
        <w:rPr>
          <w:b/>
        </w:rPr>
        <w:t>9</w:t>
      </w:r>
      <w:r>
        <w:t xml:space="preserve">: Ongoing </w:t>
      </w:r>
      <w:r w:rsidR="00FF050E">
        <w:t>m</w:t>
      </w:r>
      <w:r>
        <w:t xml:space="preserve">aintenance </w:t>
      </w:r>
      <w:r w:rsidR="00FF050E">
        <w:t>r</w:t>
      </w:r>
      <w:r>
        <w:t xml:space="preserve">oles and </w:t>
      </w:r>
      <w:r w:rsidR="00FF050E">
        <w:t>r</w:t>
      </w:r>
      <w:r>
        <w:t>esponsibilities</w:t>
      </w:r>
    </w:p>
    <w:p w:rsidR="00FF050E" w:rsidRDefault="00C01052" w:rsidP="00FF050E">
      <w:r>
        <w:lastRenderedPageBreak/>
        <w:t xml:space="preserve">Ongoing roles </w:t>
      </w:r>
      <w:r w:rsidR="00FF050E">
        <w:t>responsible for continuing data warehouse management and maintenance are:</w:t>
      </w:r>
    </w:p>
    <w:p w:rsidR="00C01052" w:rsidRDefault="00FF050E" w:rsidP="00FF050E">
      <w:pPr>
        <w:pStyle w:val="ListParagraph"/>
        <w:numPr>
          <w:ilvl w:val="0"/>
          <w:numId w:val="9"/>
        </w:numPr>
      </w:pPr>
      <w:r>
        <w:t>DBAs who m</w:t>
      </w:r>
      <w:r w:rsidR="00C01052">
        <w:t xml:space="preserve">anage and monitor the </w:t>
      </w:r>
      <w:r>
        <w:t>d</w:t>
      </w:r>
      <w:r w:rsidR="00C01052">
        <w:t>ata warehouse</w:t>
      </w:r>
      <w:r w:rsidR="002C67DB">
        <w:t xml:space="preserve"> </w:t>
      </w:r>
    </w:p>
    <w:p w:rsidR="00C01052" w:rsidRDefault="00C01052" w:rsidP="00587DB2">
      <w:pPr>
        <w:pStyle w:val="ListParagraph"/>
        <w:numPr>
          <w:ilvl w:val="0"/>
          <w:numId w:val="9"/>
        </w:numPr>
      </w:pPr>
      <w:r>
        <w:t xml:space="preserve">Data </w:t>
      </w:r>
      <w:r w:rsidR="00FF050E">
        <w:t>s</w:t>
      </w:r>
      <w:r>
        <w:t>tewards</w:t>
      </w:r>
      <w:r w:rsidR="00FF050E">
        <w:t xml:space="preserve"> who m</w:t>
      </w:r>
      <w:r>
        <w:t>onitor data quality</w:t>
      </w:r>
      <w:r w:rsidR="00FF050E">
        <w:t xml:space="preserve"> and</w:t>
      </w:r>
      <w:r>
        <w:t xml:space="preserve"> repair data exceptions</w:t>
      </w:r>
    </w:p>
    <w:p w:rsidR="006C6E52" w:rsidRDefault="006C6E52" w:rsidP="00587DB2">
      <w:pPr>
        <w:pStyle w:val="ListParagraph"/>
        <w:numPr>
          <w:ilvl w:val="0"/>
          <w:numId w:val="9"/>
        </w:numPr>
      </w:pPr>
      <w:r>
        <w:t xml:space="preserve">IT </w:t>
      </w:r>
      <w:r w:rsidR="00FF050E">
        <w:t>o</w:t>
      </w:r>
      <w:r>
        <w:t>perations</w:t>
      </w:r>
      <w:r w:rsidR="00FF050E">
        <w:t xml:space="preserve"> staff who m</w:t>
      </w:r>
      <w:r>
        <w:t>anage and monitor platform</w:t>
      </w:r>
      <w:r w:rsidR="002C67DB">
        <w:t xml:space="preserve"> components supporting the </w:t>
      </w:r>
      <w:r w:rsidR="00FF050E">
        <w:t>d</w:t>
      </w:r>
      <w:r w:rsidR="002C67DB">
        <w:t xml:space="preserve">ata </w:t>
      </w:r>
      <w:r w:rsidR="00FF050E">
        <w:t>w</w:t>
      </w:r>
      <w:r w:rsidR="002C67DB">
        <w:t>arehouse</w:t>
      </w:r>
    </w:p>
    <w:p w:rsidR="00732CA1" w:rsidRDefault="00D83723" w:rsidP="00732CA1">
      <w:pPr>
        <w:pStyle w:val="Heading2"/>
      </w:pPr>
      <w:bookmarkStart w:id="11" w:name="_Toc274371194"/>
      <w:r>
        <w:t>Document</w:t>
      </w:r>
      <w:r w:rsidR="00732CA1">
        <w:t xml:space="preserve"> Roadmap</w:t>
      </w:r>
      <w:bookmarkEnd w:id="11"/>
    </w:p>
    <w:p w:rsidR="00732CA1" w:rsidRDefault="00732CA1" w:rsidP="00732CA1">
      <w:r>
        <w:t>Building on this overview of the data warehouse life cycle and key roles, we are ready to dig into the patterns and best practices for the development and tests phases of a data warehouse project and the ongoing maintenance of a data warehouse on Microsoft’s SQL Server database platform. Let’s look at what you will find in the remaining four chapters of this toolkit.</w:t>
      </w:r>
    </w:p>
    <w:p w:rsidR="00732CA1" w:rsidRDefault="00732CA1" w:rsidP="00732CA1">
      <w:pPr>
        <w:pStyle w:val="Heading3"/>
      </w:pPr>
      <w:bookmarkStart w:id="12" w:name="_Toc274371195"/>
      <w:r>
        <w:t>Chapter 2 – Data Architecture</w:t>
      </w:r>
      <w:bookmarkEnd w:id="12"/>
    </w:p>
    <w:p w:rsidR="00732CA1" w:rsidRDefault="00732CA1" w:rsidP="00732CA1">
      <w:r>
        <w:t>Targeted at the data architects responsible for the database and platform architecture of a SQL Server data warehouse and the database developers responsible for the data models, Chapter 2 covers the following major topics:</w:t>
      </w:r>
    </w:p>
    <w:p w:rsidR="00732CA1" w:rsidRDefault="00732CA1" w:rsidP="00732CA1">
      <w:pPr>
        <w:pStyle w:val="ListParagraph"/>
        <w:numPr>
          <w:ilvl w:val="0"/>
          <w:numId w:val="14"/>
        </w:numPr>
      </w:pPr>
      <w:r>
        <w:t>Introduction and overview of roles, responsibilities, and concepts</w:t>
      </w:r>
    </w:p>
    <w:p w:rsidR="00732CA1" w:rsidRDefault="00732CA1" w:rsidP="00732CA1">
      <w:pPr>
        <w:pStyle w:val="ListParagraph"/>
        <w:numPr>
          <w:ilvl w:val="0"/>
          <w:numId w:val="14"/>
        </w:numPr>
      </w:pPr>
      <w:r>
        <w:t>Database architecture</w:t>
      </w:r>
    </w:p>
    <w:p w:rsidR="00732CA1" w:rsidRDefault="00732CA1" w:rsidP="00732CA1">
      <w:pPr>
        <w:pStyle w:val="ListParagraph"/>
        <w:numPr>
          <w:ilvl w:val="0"/>
          <w:numId w:val="14"/>
        </w:numPr>
      </w:pPr>
      <w:r>
        <w:t>Master Data and Master Data Management (MDM)</w:t>
      </w:r>
    </w:p>
    <w:p w:rsidR="00732CA1" w:rsidRDefault="00732CA1" w:rsidP="00732CA1">
      <w:pPr>
        <w:pStyle w:val="ListParagraph"/>
        <w:numPr>
          <w:ilvl w:val="0"/>
          <w:numId w:val="14"/>
        </w:numPr>
      </w:pPr>
      <w:r>
        <w:t>Platform architecture</w:t>
      </w:r>
    </w:p>
    <w:p w:rsidR="00732CA1" w:rsidRDefault="00BF7F4E" w:rsidP="00732CA1">
      <w:pPr>
        <w:pStyle w:val="ListParagraph"/>
        <w:numPr>
          <w:ilvl w:val="0"/>
          <w:numId w:val="14"/>
        </w:numPr>
      </w:pPr>
      <w:r>
        <w:t>SQL Server</w:t>
      </w:r>
      <w:r w:rsidR="00732CA1">
        <w:t xml:space="preserve"> database considerations</w:t>
      </w:r>
    </w:p>
    <w:p w:rsidR="00732CA1" w:rsidRDefault="00732CA1" w:rsidP="00732CA1">
      <w:pPr>
        <w:pStyle w:val="ListParagraph"/>
        <w:numPr>
          <w:ilvl w:val="0"/>
          <w:numId w:val="14"/>
        </w:numPr>
      </w:pPr>
      <w:r>
        <w:t>Data modeling</w:t>
      </w:r>
    </w:p>
    <w:p w:rsidR="00732CA1" w:rsidRPr="008841D1" w:rsidRDefault="00732CA1" w:rsidP="00732CA1">
      <w:pPr>
        <w:pStyle w:val="ListParagraph"/>
        <w:numPr>
          <w:ilvl w:val="0"/>
          <w:numId w:val="14"/>
        </w:numPr>
      </w:pPr>
      <w:r>
        <w:t>Conclusion and Resources</w:t>
      </w:r>
    </w:p>
    <w:p w:rsidR="00732CA1" w:rsidRDefault="00732CA1" w:rsidP="00732CA1">
      <w:pPr>
        <w:pStyle w:val="Heading3"/>
      </w:pPr>
      <w:bookmarkStart w:id="13" w:name="_Toc274371196"/>
      <w:r>
        <w:t>Chapter 3 – Data Integration</w:t>
      </w:r>
      <w:bookmarkEnd w:id="13"/>
    </w:p>
    <w:p w:rsidR="00732CA1" w:rsidRDefault="00732CA1" w:rsidP="00732CA1">
      <w:r>
        <w:t>The primary audience for Chapter 3 includes the developers responsible for all data integration code and frameworks as well as the data architects who provide oversight of frameworks, patterns, and best practices. It addresses these essential topics:</w:t>
      </w:r>
    </w:p>
    <w:p w:rsidR="00732CA1" w:rsidRDefault="00732CA1" w:rsidP="00732CA1">
      <w:pPr>
        <w:pStyle w:val="ListParagraph"/>
        <w:numPr>
          <w:ilvl w:val="0"/>
          <w:numId w:val="15"/>
        </w:numPr>
      </w:pPr>
      <w:r>
        <w:t xml:space="preserve">Introduction </w:t>
      </w:r>
    </w:p>
    <w:p w:rsidR="00732CA1" w:rsidRDefault="00732CA1" w:rsidP="00732CA1">
      <w:pPr>
        <w:pStyle w:val="ListParagraph"/>
        <w:numPr>
          <w:ilvl w:val="0"/>
          <w:numId w:val="15"/>
        </w:numPr>
      </w:pPr>
      <w:r>
        <w:t>Data Integration Concepts and Patterns</w:t>
      </w:r>
    </w:p>
    <w:p w:rsidR="00205367" w:rsidRDefault="00205367" w:rsidP="00732CA1">
      <w:pPr>
        <w:pStyle w:val="ListParagraph"/>
        <w:numPr>
          <w:ilvl w:val="0"/>
          <w:numId w:val="15"/>
        </w:numPr>
      </w:pPr>
      <w:r>
        <w:t>Data Integration overview</w:t>
      </w:r>
    </w:p>
    <w:p w:rsidR="00732CA1" w:rsidRDefault="00732CA1" w:rsidP="00732CA1">
      <w:pPr>
        <w:pStyle w:val="ListParagraph"/>
        <w:numPr>
          <w:ilvl w:val="0"/>
          <w:numId w:val="15"/>
        </w:numPr>
      </w:pPr>
      <w:r>
        <w:t>ETL frameworks</w:t>
      </w:r>
    </w:p>
    <w:p w:rsidR="00205367" w:rsidRDefault="00205367" w:rsidP="00205367">
      <w:pPr>
        <w:pStyle w:val="ListParagraph"/>
        <w:numPr>
          <w:ilvl w:val="0"/>
          <w:numId w:val="15"/>
        </w:numPr>
      </w:pPr>
      <w:r>
        <w:t>Data Quality</w:t>
      </w:r>
    </w:p>
    <w:p w:rsidR="00732CA1" w:rsidRDefault="00732CA1" w:rsidP="00732CA1">
      <w:pPr>
        <w:pStyle w:val="ListParagraph"/>
        <w:numPr>
          <w:ilvl w:val="0"/>
          <w:numId w:val="15"/>
        </w:numPr>
      </w:pPr>
      <w:r>
        <w:t>Data integration best practices</w:t>
      </w:r>
    </w:p>
    <w:p w:rsidR="00732CA1" w:rsidRDefault="00732CA1" w:rsidP="00732CA1">
      <w:pPr>
        <w:pStyle w:val="ListParagraph"/>
        <w:numPr>
          <w:ilvl w:val="0"/>
          <w:numId w:val="15"/>
        </w:numPr>
      </w:pPr>
      <w:r>
        <w:t>SQL Server Integration Services best practices</w:t>
      </w:r>
    </w:p>
    <w:p w:rsidR="00732CA1" w:rsidRPr="00E2184B" w:rsidRDefault="00732CA1" w:rsidP="00732CA1">
      <w:pPr>
        <w:pStyle w:val="ListParagraph"/>
        <w:numPr>
          <w:ilvl w:val="0"/>
          <w:numId w:val="15"/>
        </w:numPr>
      </w:pPr>
      <w:r>
        <w:t>Conclusion and Resources</w:t>
      </w:r>
    </w:p>
    <w:p w:rsidR="00732CA1" w:rsidRDefault="00732CA1" w:rsidP="00732CA1">
      <w:pPr>
        <w:pStyle w:val="Heading3"/>
      </w:pPr>
      <w:bookmarkStart w:id="14" w:name="_Toc274371197"/>
      <w:r>
        <w:t>Chapter 4 – Operations Management and Security</w:t>
      </w:r>
      <w:bookmarkEnd w:id="14"/>
    </w:p>
    <w:p w:rsidR="00732CA1" w:rsidRDefault="00732CA1" w:rsidP="00732CA1">
      <w:r>
        <w:t>Directed at the DBAs responsible for ongoing data warehouse maintenance, monitoring, and troubleshooting, Chapter 4 covers best practices and guidance in the following areas:</w:t>
      </w:r>
    </w:p>
    <w:p w:rsidR="00732CA1" w:rsidRDefault="00732CA1" w:rsidP="00732CA1">
      <w:pPr>
        <w:pStyle w:val="ListParagraph"/>
        <w:numPr>
          <w:ilvl w:val="0"/>
          <w:numId w:val="16"/>
        </w:numPr>
      </w:pPr>
      <w:r>
        <w:lastRenderedPageBreak/>
        <w:t xml:space="preserve">Introduction and Context </w:t>
      </w:r>
    </w:p>
    <w:p w:rsidR="00732CA1" w:rsidRDefault="00732CA1" w:rsidP="00732CA1">
      <w:pPr>
        <w:pStyle w:val="ListParagraph"/>
        <w:numPr>
          <w:ilvl w:val="0"/>
          <w:numId w:val="16"/>
        </w:numPr>
      </w:pPr>
      <w:r>
        <w:t>DBA Data warehouse essentials</w:t>
      </w:r>
    </w:p>
    <w:p w:rsidR="00732CA1" w:rsidRDefault="00732CA1" w:rsidP="00732CA1">
      <w:pPr>
        <w:pStyle w:val="ListParagraph"/>
        <w:numPr>
          <w:ilvl w:val="0"/>
          <w:numId w:val="16"/>
        </w:numPr>
      </w:pPr>
      <w:r>
        <w:t>Working with a Data warehouse database server</w:t>
      </w:r>
    </w:p>
    <w:p w:rsidR="00732CA1" w:rsidRDefault="00732CA1" w:rsidP="00732CA1">
      <w:pPr>
        <w:pStyle w:val="ListParagraph"/>
        <w:numPr>
          <w:ilvl w:val="0"/>
          <w:numId w:val="16"/>
        </w:numPr>
      </w:pPr>
      <w:r>
        <w:t>Managing databases</w:t>
      </w:r>
    </w:p>
    <w:p w:rsidR="00732CA1" w:rsidRDefault="00732CA1" w:rsidP="00732CA1">
      <w:pPr>
        <w:pStyle w:val="ListParagraph"/>
        <w:numPr>
          <w:ilvl w:val="0"/>
          <w:numId w:val="16"/>
        </w:numPr>
      </w:pPr>
      <w:r>
        <w:t>Database server security</w:t>
      </w:r>
    </w:p>
    <w:p w:rsidR="00732CA1" w:rsidRDefault="00732CA1" w:rsidP="00732CA1">
      <w:pPr>
        <w:pStyle w:val="ListParagraph"/>
        <w:numPr>
          <w:ilvl w:val="0"/>
          <w:numId w:val="16"/>
        </w:numPr>
      </w:pPr>
      <w:r>
        <w:t>Managing database change</w:t>
      </w:r>
    </w:p>
    <w:p w:rsidR="00732CA1" w:rsidRDefault="00732CA1" w:rsidP="00732CA1">
      <w:pPr>
        <w:pStyle w:val="ListParagraph"/>
        <w:numPr>
          <w:ilvl w:val="0"/>
          <w:numId w:val="16"/>
        </w:numPr>
      </w:pPr>
      <w:r>
        <w:t>Business continuity</w:t>
      </w:r>
    </w:p>
    <w:p w:rsidR="00732CA1" w:rsidRDefault="00732CA1" w:rsidP="00732CA1">
      <w:pPr>
        <w:pStyle w:val="ListParagraph"/>
        <w:numPr>
          <w:ilvl w:val="0"/>
          <w:numId w:val="16"/>
        </w:numPr>
      </w:pPr>
      <w:r>
        <w:t xml:space="preserve">Maintenance </w:t>
      </w:r>
    </w:p>
    <w:p w:rsidR="00732CA1" w:rsidRDefault="00732CA1" w:rsidP="00732CA1">
      <w:pPr>
        <w:pStyle w:val="ListParagraph"/>
        <w:numPr>
          <w:ilvl w:val="0"/>
          <w:numId w:val="16"/>
        </w:numPr>
      </w:pPr>
      <w:r>
        <w:t>Monitoring tools</w:t>
      </w:r>
    </w:p>
    <w:p w:rsidR="00732CA1" w:rsidRDefault="00732CA1" w:rsidP="00732CA1">
      <w:pPr>
        <w:pStyle w:val="ListParagraph"/>
        <w:numPr>
          <w:ilvl w:val="0"/>
          <w:numId w:val="16"/>
        </w:numPr>
      </w:pPr>
      <w:r>
        <w:t>Conclusion and Resources</w:t>
      </w:r>
    </w:p>
    <w:p w:rsidR="00732CA1" w:rsidRDefault="00732CA1" w:rsidP="00732CA1">
      <w:pPr>
        <w:pStyle w:val="Heading3"/>
      </w:pPr>
      <w:bookmarkStart w:id="15" w:name="_Toc274371198"/>
      <w:r>
        <w:t>Chapter 5 – Querying, Performance Monitoring, and Tuning</w:t>
      </w:r>
      <w:bookmarkEnd w:id="15"/>
    </w:p>
    <w:p w:rsidR="00732CA1" w:rsidRDefault="00732CA1" w:rsidP="00732CA1">
      <w:r>
        <w:t>The last chapter in the toolkit is targeted at database developers responsible for writing efficient queries and optimizing existing queries against the data warehouse. It’s organized into the following sections:</w:t>
      </w:r>
    </w:p>
    <w:p w:rsidR="00732CA1" w:rsidRDefault="00732CA1" w:rsidP="00732CA1">
      <w:pPr>
        <w:pStyle w:val="ListParagraph"/>
        <w:numPr>
          <w:ilvl w:val="0"/>
          <w:numId w:val="17"/>
        </w:numPr>
      </w:pPr>
      <w:r>
        <w:t>Introduction and query optimization overview</w:t>
      </w:r>
    </w:p>
    <w:p w:rsidR="00732CA1" w:rsidRDefault="00732CA1" w:rsidP="00732CA1">
      <w:pPr>
        <w:pStyle w:val="ListParagraph"/>
        <w:numPr>
          <w:ilvl w:val="0"/>
          <w:numId w:val="17"/>
        </w:numPr>
      </w:pPr>
      <w:r>
        <w:t>Querying</w:t>
      </w:r>
    </w:p>
    <w:p w:rsidR="00732CA1" w:rsidRDefault="00732CA1" w:rsidP="00732CA1">
      <w:pPr>
        <w:pStyle w:val="ListParagraph"/>
        <w:numPr>
          <w:ilvl w:val="0"/>
          <w:numId w:val="17"/>
        </w:numPr>
      </w:pPr>
      <w:r>
        <w:t>Monitoring</w:t>
      </w:r>
    </w:p>
    <w:p w:rsidR="00732CA1" w:rsidRDefault="00732CA1" w:rsidP="00732CA1">
      <w:pPr>
        <w:pStyle w:val="ListParagraph"/>
        <w:numPr>
          <w:ilvl w:val="0"/>
          <w:numId w:val="17"/>
        </w:numPr>
      </w:pPr>
      <w:r>
        <w:t>Performance tuning</w:t>
      </w:r>
    </w:p>
    <w:p w:rsidR="00732CA1" w:rsidRDefault="00732CA1" w:rsidP="00732CA1">
      <w:pPr>
        <w:pStyle w:val="ListParagraph"/>
        <w:numPr>
          <w:ilvl w:val="0"/>
          <w:numId w:val="17"/>
        </w:numPr>
      </w:pPr>
      <w:r>
        <w:t>Best practices summary</w:t>
      </w:r>
    </w:p>
    <w:p w:rsidR="00732CA1" w:rsidRDefault="00732CA1" w:rsidP="00732CA1">
      <w:pPr>
        <w:pStyle w:val="ListParagraph"/>
        <w:numPr>
          <w:ilvl w:val="0"/>
          <w:numId w:val="17"/>
        </w:numPr>
      </w:pPr>
      <w:r>
        <w:t>Conclusion and Resources</w:t>
      </w:r>
    </w:p>
    <w:p w:rsidR="008166DC" w:rsidRDefault="008166DC" w:rsidP="008166DC">
      <w:bookmarkStart w:id="16" w:name="_Toc274371199"/>
      <w:r>
        <w:t>Note that product specific bes</w:t>
      </w:r>
      <w:r w:rsidR="00984231">
        <w:t xml:space="preserve">t practices and guidance within Chapters 2 – 5 </w:t>
      </w:r>
      <w:r>
        <w:t xml:space="preserve">are for the </w:t>
      </w:r>
      <w:r w:rsidRPr="00D8370E">
        <w:t>symmetric multi-processing</w:t>
      </w:r>
      <w:r>
        <w:t xml:space="preserve"> (SMP) versions of SQL Server 2008 R2, i.e. specific guidance for </w:t>
      </w:r>
      <w:hyperlink r:id="rId22" w:history="1">
        <w:r w:rsidRPr="00D8370E">
          <w:rPr>
            <w:rStyle w:val="Hyperlink"/>
          </w:rPr>
          <w:t>SQL Server 2008 R2 Parallel Data Warehouse</w:t>
        </w:r>
      </w:hyperlink>
      <w:r>
        <w:t xml:space="preserve"> (PDW) is out of scope for </w:t>
      </w:r>
      <w:r w:rsidR="00411C64">
        <w:t xml:space="preserve">the initial release of this </w:t>
      </w:r>
      <w:r>
        <w:t>document.</w:t>
      </w:r>
    </w:p>
    <w:p w:rsidR="00732CA1" w:rsidRDefault="00732CA1" w:rsidP="00732CA1">
      <w:pPr>
        <w:pStyle w:val="Heading3"/>
      </w:pPr>
      <w:r>
        <w:t>Getting Started</w:t>
      </w:r>
      <w:bookmarkEnd w:id="16"/>
    </w:p>
    <w:p w:rsidR="00732CA1" w:rsidRDefault="00732CA1" w:rsidP="00732CA1">
      <w:r>
        <w:t xml:space="preserve">Each of these chapters contains not only concepts, but also patterns and best practices that Data warehouse practitioners can use to successfully implement </w:t>
      </w:r>
      <w:r w:rsidR="00BF7F4E">
        <w:t>SQL Server</w:t>
      </w:r>
      <w:r>
        <w:t xml:space="preserve"> Data warehouses within their organizations. These patterns and best practices have been successfully utilized by the content authors in client </w:t>
      </w:r>
      <w:r w:rsidR="00BF7F4E">
        <w:t>SQL Server</w:t>
      </w:r>
      <w:r>
        <w:t xml:space="preserve"> Data warehouse engagements over the last ten to fifteen years. In addition, there are links to web content which expands on the material within each chapter. </w:t>
      </w:r>
    </w:p>
    <w:p w:rsidR="00732CA1" w:rsidRDefault="00732CA1" w:rsidP="00732CA1">
      <w:r>
        <w:t xml:space="preserve">The reader can choose to read all four chapters or to go directly to the chapter which is closely aligned to the reader’s Roles and responsibilities within the Data warehouse effort. </w:t>
      </w:r>
    </w:p>
    <w:sectPr w:rsidR="00732CA1" w:rsidSect="00BF7F4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38F" w:rsidRDefault="0030638F" w:rsidP="00601444">
      <w:pPr>
        <w:spacing w:after="0" w:line="240" w:lineRule="auto"/>
      </w:pPr>
      <w:r>
        <w:separator/>
      </w:r>
    </w:p>
  </w:endnote>
  <w:endnote w:type="continuationSeparator" w:id="0">
    <w:p w:rsidR="0030638F" w:rsidRDefault="0030638F" w:rsidP="0060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A47" w:rsidRDefault="00F65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1B7" w:rsidRDefault="007B01B7" w:rsidP="007B01B7">
    <w:pPr>
      <w:pStyle w:val="Footer"/>
      <w:tabs>
        <w:tab w:val="clear" w:pos="9360"/>
      </w:tabs>
      <w:jc w:val="center"/>
    </w:pPr>
    <w:r>
      <w:t>Microsoft Corporation</w:t>
    </w:r>
    <w:r>
      <w:tab/>
    </w:r>
    <w:r>
      <w:tab/>
      <w:t>Copyright © 2010</w:t>
    </w:r>
  </w:p>
  <w:p w:rsidR="007B01B7" w:rsidRDefault="007B01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A47" w:rsidRDefault="00F65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38F" w:rsidRDefault="0030638F" w:rsidP="00601444">
      <w:pPr>
        <w:spacing w:after="0" w:line="240" w:lineRule="auto"/>
      </w:pPr>
      <w:r>
        <w:separator/>
      </w:r>
    </w:p>
  </w:footnote>
  <w:footnote w:type="continuationSeparator" w:id="0">
    <w:p w:rsidR="0030638F" w:rsidRDefault="0030638F" w:rsidP="00601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A47" w:rsidRDefault="00F65A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F4E" w:rsidRDefault="00BF7F4E" w:rsidP="00BF7F4E">
    <w:pPr>
      <w:pStyle w:val="Header"/>
    </w:pPr>
    <w:r>
      <w:rPr>
        <w:rFonts w:ascii="Calibri" w:hAnsi="Calibri"/>
        <w:noProof/>
      </w:rPr>
      <w:t>Microsoft EDW Architecture, Guidance and Deployment Best Practices – Chapter 1</w:t>
    </w:r>
    <w:r>
      <w:rPr>
        <w:rFonts w:ascii="Calibri" w:hAnsi="Calibri"/>
        <w:noProof/>
      </w:rPr>
      <w:tab/>
    </w:r>
    <w:r>
      <w:rPr>
        <w:rFonts w:ascii="Calibri" w:hAnsi="Calibri"/>
        <w:noProof/>
      </w:rPr>
      <w:tab/>
    </w:r>
    <w:r w:rsidRPr="00BF7F4E">
      <w:rPr>
        <w:rFonts w:ascii="Calibri" w:hAnsi="Calibri"/>
        <w:noProof/>
      </w:rPr>
      <w:fldChar w:fldCharType="begin"/>
    </w:r>
    <w:r w:rsidRPr="00BF7F4E">
      <w:rPr>
        <w:rFonts w:ascii="Calibri" w:hAnsi="Calibri"/>
        <w:noProof/>
      </w:rPr>
      <w:instrText xml:space="preserve"> PAGE   \* MERGEFORMAT </w:instrText>
    </w:r>
    <w:r w:rsidRPr="00BF7F4E">
      <w:rPr>
        <w:rFonts w:ascii="Calibri" w:hAnsi="Calibri"/>
        <w:noProof/>
      </w:rPr>
      <w:fldChar w:fldCharType="separate"/>
    </w:r>
    <w:r w:rsidR="00F65A47">
      <w:rPr>
        <w:rFonts w:ascii="Calibri" w:hAnsi="Calibri"/>
        <w:noProof/>
      </w:rPr>
      <w:t>14</w:t>
    </w:r>
    <w:r w:rsidRPr="00BF7F4E">
      <w:rPr>
        <w:rFonts w:ascii="Calibri" w:hAnsi="Calibri"/>
        <w:noProof/>
      </w:rPr>
      <w:fldChar w:fldCharType="end"/>
    </w:r>
  </w:p>
  <w:p w:rsidR="00BF7F4E" w:rsidRDefault="00BF7F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F4E" w:rsidRDefault="00816CB4">
    <w:pPr>
      <w:pStyle w:val="Header"/>
    </w:pPr>
    <w:r>
      <w:rPr>
        <w:noProof/>
      </w:rPr>
      <w:drawing>
        <wp:inline distT="0" distB="0" distL="0" distR="0">
          <wp:extent cx="3771900" cy="732047"/>
          <wp:effectExtent l="0" t="0" r="0" b="0"/>
          <wp:docPr id="2" name="Picture 2" descr="C:\Users\a-array\AppData\Local\Microsoft\Windows\Temporary Internet Files\Content.Word\SQL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ray\AppData\Local\Microsoft\Windows\Temporary Internet Files\Content.Word\SQL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74183" cy="732490"/>
                  </a:xfrm>
                  <a:prstGeom prst="rect">
                    <a:avLst/>
                  </a:prstGeom>
                  <a:noFill/>
                  <a:ln>
                    <a:noFill/>
                  </a:ln>
                </pic:spPr>
              </pic:pic>
            </a:graphicData>
          </a:graphic>
        </wp:inline>
      </w:drawing>
    </w:r>
    <w:bookmarkStart w:id="17" w:name="_GoBack"/>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8EBC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F968F7"/>
    <w:multiLevelType w:val="hybridMultilevel"/>
    <w:tmpl w:val="13ECBC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26DF2"/>
    <w:multiLevelType w:val="hybridMultilevel"/>
    <w:tmpl w:val="6CFA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3087A"/>
    <w:multiLevelType w:val="hybridMultilevel"/>
    <w:tmpl w:val="B234F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966416"/>
    <w:multiLevelType w:val="hybridMultilevel"/>
    <w:tmpl w:val="D364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AC5ED6"/>
    <w:multiLevelType w:val="hybridMultilevel"/>
    <w:tmpl w:val="EA50B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1B76A9"/>
    <w:multiLevelType w:val="hybridMultilevel"/>
    <w:tmpl w:val="188E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1206A7"/>
    <w:multiLevelType w:val="hybridMultilevel"/>
    <w:tmpl w:val="E2F09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EE4772"/>
    <w:multiLevelType w:val="hybridMultilevel"/>
    <w:tmpl w:val="6ACA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8B27171"/>
    <w:multiLevelType w:val="hybridMultilevel"/>
    <w:tmpl w:val="B1CC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901E09"/>
    <w:multiLevelType w:val="hybridMultilevel"/>
    <w:tmpl w:val="8C9CBD4E"/>
    <w:lvl w:ilvl="0" w:tplc="09706A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186AA6"/>
    <w:multiLevelType w:val="hybridMultilevel"/>
    <w:tmpl w:val="83A4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3235551"/>
    <w:multiLevelType w:val="hybridMultilevel"/>
    <w:tmpl w:val="94CE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68F2A71"/>
    <w:multiLevelType w:val="hybridMultilevel"/>
    <w:tmpl w:val="FD5A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4B1CDC"/>
    <w:multiLevelType w:val="hybridMultilevel"/>
    <w:tmpl w:val="EE6E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9E90788"/>
    <w:multiLevelType w:val="hybridMultilevel"/>
    <w:tmpl w:val="24CE3D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26205B4"/>
    <w:multiLevelType w:val="hybridMultilevel"/>
    <w:tmpl w:val="EDE2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B80B51"/>
    <w:multiLevelType w:val="hybridMultilevel"/>
    <w:tmpl w:val="8A88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5C2F09"/>
    <w:multiLevelType w:val="hybridMultilevel"/>
    <w:tmpl w:val="2EE0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8"/>
  </w:num>
  <w:num w:numId="5">
    <w:abstractNumId w:val="34"/>
  </w:num>
  <w:num w:numId="6">
    <w:abstractNumId w:val="13"/>
  </w:num>
  <w:num w:numId="7">
    <w:abstractNumId w:val="25"/>
  </w:num>
  <w:num w:numId="8">
    <w:abstractNumId w:val="5"/>
  </w:num>
  <w:num w:numId="9">
    <w:abstractNumId w:val="27"/>
  </w:num>
  <w:num w:numId="10">
    <w:abstractNumId w:val="7"/>
  </w:num>
  <w:num w:numId="11">
    <w:abstractNumId w:val="23"/>
  </w:num>
  <w:num w:numId="12">
    <w:abstractNumId w:val="15"/>
  </w:num>
  <w:num w:numId="13">
    <w:abstractNumId w:val="18"/>
  </w:num>
  <w:num w:numId="14">
    <w:abstractNumId w:val="33"/>
  </w:num>
  <w:num w:numId="15">
    <w:abstractNumId w:val="12"/>
  </w:num>
  <w:num w:numId="16">
    <w:abstractNumId w:val="3"/>
  </w:num>
  <w:num w:numId="17">
    <w:abstractNumId w:val="31"/>
  </w:num>
  <w:num w:numId="18">
    <w:abstractNumId w:val="21"/>
  </w:num>
  <w:num w:numId="19">
    <w:abstractNumId w:val="32"/>
  </w:num>
  <w:num w:numId="20">
    <w:abstractNumId w:val="9"/>
  </w:num>
  <w:num w:numId="21">
    <w:abstractNumId w:val="29"/>
  </w:num>
  <w:num w:numId="22">
    <w:abstractNumId w:val="26"/>
  </w:num>
  <w:num w:numId="23">
    <w:abstractNumId w:val="11"/>
  </w:num>
  <w:num w:numId="24">
    <w:abstractNumId w:val="8"/>
  </w:num>
  <w:num w:numId="25">
    <w:abstractNumId w:val="22"/>
  </w:num>
  <w:num w:numId="26">
    <w:abstractNumId w:val="35"/>
  </w:num>
  <w:num w:numId="27">
    <w:abstractNumId w:val="17"/>
  </w:num>
  <w:num w:numId="28">
    <w:abstractNumId w:val="10"/>
  </w:num>
  <w:num w:numId="29">
    <w:abstractNumId w:val="24"/>
  </w:num>
  <w:num w:numId="30">
    <w:abstractNumId w:val="6"/>
  </w:num>
  <w:num w:numId="31">
    <w:abstractNumId w:val="14"/>
  </w:num>
  <w:num w:numId="32">
    <w:abstractNumId w:val="2"/>
  </w:num>
  <w:num w:numId="33">
    <w:abstractNumId w:val="16"/>
  </w:num>
  <w:num w:numId="34">
    <w:abstractNumId w:val="20"/>
  </w:num>
  <w:num w:numId="35">
    <w:abstractNumId w:val="19"/>
  </w:num>
  <w:num w:numId="36">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2C1D"/>
    <w:rsid w:val="000029CF"/>
    <w:rsid w:val="00007E11"/>
    <w:rsid w:val="00014FAD"/>
    <w:rsid w:val="000241F8"/>
    <w:rsid w:val="00035BBD"/>
    <w:rsid w:val="00037F9E"/>
    <w:rsid w:val="00057A27"/>
    <w:rsid w:val="00062102"/>
    <w:rsid w:val="00064048"/>
    <w:rsid w:val="00072F99"/>
    <w:rsid w:val="000735CE"/>
    <w:rsid w:val="000755AA"/>
    <w:rsid w:val="000B7E2D"/>
    <w:rsid w:val="000C797A"/>
    <w:rsid w:val="000E1611"/>
    <w:rsid w:val="000F3CD6"/>
    <w:rsid w:val="000F4625"/>
    <w:rsid w:val="0010563A"/>
    <w:rsid w:val="00107993"/>
    <w:rsid w:val="00121BA5"/>
    <w:rsid w:val="001306FF"/>
    <w:rsid w:val="00135921"/>
    <w:rsid w:val="001952B3"/>
    <w:rsid w:val="001976C9"/>
    <w:rsid w:val="001A1E35"/>
    <w:rsid w:val="001D5E1B"/>
    <w:rsid w:val="00200686"/>
    <w:rsid w:val="00205367"/>
    <w:rsid w:val="00210F15"/>
    <w:rsid w:val="0022220B"/>
    <w:rsid w:val="00224A6A"/>
    <w:rsid w:val="00230957"/>
    <w:rsid w:val="002422AF"/>
    <w:rsid w:val="00256A17"/>
    <w:rsid w:val="0028369E"/>
    <w:rsid w:val="00284BCF"/>
    <w:rsid w:val="0028507A"/>
    <w:rsid w:val="00293C0D"/>
    <w:rsid w:val="002A6715"/>
    <w:rsid w:val="002C67DB"/>
    <w:rsid w:val="002D45E0"/>
    <w:rsid w:val="002E2211"/>
    <w:rsid w:val="002E2A56"/>
    <w:rsid w:val="002E3350"/>
    <w:rsid w:val="0030638F"/>
    <w:rsid w:val="00310A06"/>
    <w:rsid w:val="00323DD4"/>
    <w:rsid w:val="00325291"/>
    <w:rsid w:val="00330DB9"/>
    <w:rsid w:val="00346583"/>
    <w:rsid w:val="00361FCD"/>
    <w:rsid w:val="00386D06"/>
    <w:rsid w:val="003E68B2"/>
    <w:rsid w:val="003F0088"/>
    <w:rsid w:val="004053EA"/>
    <w:rsid w:val="00411C64"/>
    <w:rsid w:val="0042746D"/>
    <w:rsid w:val="00437CD0"/>
    <w:rsid w:val="00444FAB"/>
    <w:rsid w:val="00445C6C"/>
    <w:rsid w:val="0045537A"/>
    <w:rsid w:val="00463413"/>
    <w:rsid w:val="00474B15"/>
    <w:rsid w:val="004D5580"/>
    <w:rsid w:val="004E60FE"/>
    <w:rsid w:val="004F008F"/>
    <w:rsid w:val="00504947"/>
    <w:rsid w:val="005053DE"/>
    <w:rsid w:val="00515883"/>
    <w:rsid w:val="00520973"/>
    <w:rsid w:val="00532710"/>
    <w:rsid w:val="00545B32"/>
    <w:rsid w:val="005467B3"/>
    <w:rsid w:val="005879BB"/>
    <w:rsid w:val="00587DB2"/>
    <w:rsid w:val="00592AA0"/>
    <w:rsid w:val="005A1C9D"/>
    <w:rsid w:val="00601444"/>
    <w:rsid w:val="00602729"/>
    <w:rsid w:val="00694BB2"/>
    <w:rsid w:val="006C6E52"/>
    <w:rsid w:val="006D6E51"/>
    <w:rsid w:val="007009F0"/>
    <w:rsid w:val="0071689A"/>
    <w:rsid w:val="007327B9"/>
    <w:rsid w:val="00732CA1"/>
    <w:rsid w:val="00732DB8"/>
    <w:rsid w:val="007713E8"/>
    <w:rsid w:val="00777FD0"/>
    <w:rsid w:val="007948A8"/>
    <w:rsid w:val="007B01B7"/>
    <w:rsid w:val="007C7C6C"/>
    <w:rsid w:val="007D5EE4"/>
    <w:rsid w:val="007E049A"/>
    <w:rsid w:val="007E2F6E"/>
    <w:rsid w:val="007F6273"/>
    <w:rsid w:val="00807AF9"/>
    <w:rsid w:val="00810BD8"/>
    <w:rsid w:val="0081191B"/>
    <w:rsid w:val="008166DC"/>
    <w:rsid w:val="00816CB4"/>
    <w:rsid w:val="0083610E"/>
    <w:rsid w:val="00880CD5"/>
    <w:rsid w:val="00880FCE"/>
    <w:rsid w:val="008841D1"/>
    <w:rsid w:val="008C4B8F"/>
    <w:rsid w:val="008E1005"/>
    <w:rsid w:val="008E4047"/>
    <w:rsid w:val="008E6451"/>
    <w:rsid w:val="008F691C"/>
    <w:rsid w:val="00900504"/>
    <w:rsid w:val="0090138C"/>
    <w:rsid w:val="009315AA"/>
    <w:rsid w:val="00963831"/>
    <w:rsid w:val="00974850"/>
    <w:rsid w:val="00977B38"/>
    <w:rsid w:val="00982734"/>
    <w:rsid w:val="00984231"/>
    <w:rsid w:val="009A26D2"/>
    <w:rsid w:val="009A4081"/>
    <w:rsid w:val="009A6F1E"/>
    <w:rsid w:val="009B79F2"/>
    <w:rsid w:val="009D4D86"/>
    <w:rsid w:val="009D6A68"/>
    <w:rsid w:val="00A122CC"/>
    <w:rsid w:val="00A62626"/>
    <w:rsid w:val="00A66CC4"/>
    <w:rsid w:val="00A72E76"/>
    <w:rsid w:val="00A762E9"/>
    <w:rsid w:val="00A97291"/>
    <w:rsid w:val="00AA1224"/>
    <w:rsid w:val="00AB5266"/>
    <w:rsid w:val="00AE0506"/>
    <w:rsid w:val="00AF7B33"/>
    <w:rsid w:val="00B05BDE"/>
    <w:rsid w:val="00B341C7"/>
    <w:rsid w:val="00B40701"/>
    <w:rsid w:val="00B42AAD"/>
    <w:rsid w:val="00B56675"/>
    <w:rsid w:val="00B829A4"/>
    <w:rsid w:val="00BC3E64"/>
    <w:rsid w:val="00BC41A0"/>
    <w:rsid w:val="00BD4353"/>
    <w:rsid w:val="00BF7F4E"/>
    <w:rsid w:val="00C01052"/>
    <w:rsid w:val="00C012FB"/>
    <w:rsid w:val="00C36C48"/>
    <w:rsid w:val="00C40588"/>
    <w:rsid w:val="00C54B4B"/>
    <w:rsid w:val="00C62568"/>
    <w:rsid w:val="00C91286"/>
    <w:rsid w:val="00CB1337"/>
    <w:rsid w:val="00CB6C80"/>
    <w:rsid w:val="00CC105F"/>
    <w:rsid w:val="00CD6BDB"/>
    <w:rsid w:val="00CE16B8"/>
    <w:rsid w:val="00D02FF4"/>
    <w:rsid w:val="00D216D1"/>
    <w:rsid w:val="00D21EFF"/>
    <w:rsid w:val="00D42AFE"/>
    <w:rsid w:val="00D455F7"/>
    <w:rsid w:val="00D45DEC"/>
    <w:rsid w:val="00D67A83"/>
    <w:rsid w:val="00D724B5"/>
    <w:rsid w:val="00D767E3"/>
    <w:rsid w:val="00D83723"/>
    <w:rsid w:val="00D90D77"/>
    <w:rsid w:val="00D96789"/>
    <w:rsid w:val="00DA3D95"/>
    <w:rsid w:val="00DC32A4"/>
    <w:rsid w:val="00DC7B04"/>
    <w:rsid w:val="00DF7908"/>
    <w:rsid w:val="00E1380E"/>
    <w:rsid w:val="00E2184B"/>
    <w:rsid w:val="00E2238E"/>
    <w:rsid w:val="00E26732"/>
    <w:rsid w:val="00E53704"/>
    <w:rsid w:val="00E54D83"/>
    <w:rsid w:val="00E64C18"/>
    <w:rsid w:val="00E71BBD"/>
    <w:rsid w:val="00E93E66"/>
    <w:rsid w:val="00E96710"/>
    <w:rsid w:val="00EA413F"/>
    <w:rsid w:val="00EC1455"/>
    <w:rsid w:val="00ED5FB4"/>
    <w:rsid w:val="00F55A4F"/>
    <w:rsid w:val="00F57027"/>
    <w:rsid w:val="00F65A47"/>
    <w:rsid w:val="00F72C1D"/>
    <w:rsid w:val="00F762FE"/>
    <w:rsid w:val="00F80072"/>
    <w:rsid w:val="00FA3E85"/>
    <w:rsid w:val="00FA4718"/>
    <w:rsid w:val="00FC61DA"/>
    <w:rsid w:val="00FC7575"/>
    <w:rsid w:val="00FE7627"/>
    <w:rsid w:val="00FF050E"/>
    <w:rsid w:val="00FF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A6A"/>
    <w:rPr>
      <w:rFonts w:eastAsiaTheme="minorEastAsia"/>
    </w:rPr>
  </w:style>
  <w:style w:type="paragraph" w:styleId="Heading1">
    <w:name w:val="heading 1"/>
    <w:basedOn w:val="Normal"/>
    <w:next w:val="Normal"/>
    <w:link w:val="Heading1Char"/>
    <w:uiPriority w:val="9"/>
    <w:qFormat/>
    <w:rsid w:val="00224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A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A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4A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A6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4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6A"/>
    <w:rPr>
      <w:rFonts w:ascii="Tahoma" w:eastAsiaTheme="minorEastAsia" w:hAnsi="Tahoma" w:cs="Tahoma"/>
      <w:sz w:val="16"/>
      <w:szCs w:val="16"/>
    </w:rPr>
  </w:style>
  <w:style w:type="table" w:styleId="TableGrid">
    <w:name w:val="Table Grid"/>
    <w:basedOn w:val="TableNormal"/>
    <w:uiPriority w:val="59"/>
    <w:rsid w:val="00224A6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224A6A"/>
    <w:pPr>
      <w:spacing w:after="0" w:line="240" w:lineRule="auto"/>
    </w:pPr>
    <w:rPr>
      <w:rFonts w:eastAsiaTheme="minorEastAsia"/>
    </w:r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224A6A"/>
    <w:rPr>
      <w:color w:val="800080" w:themeColor="followedHyperlink"/>
      <w:u w:val="single"/>
    </w:rPr>
  </w:style>
  <w:style w:type="paragraph" w:styleId="TOCHeading">
    <w:name w:val="TOC Heading"/>
    <w:basedOn w:val="Heading1"/>
    <w:next w:val="Normal"/>
    <w:uiPriority w:val="39"/>
    <w:semiHidden/>
    <w:unhideWhenUsed/>
    <w:qFormat/>
    <w:rsid w:val="00224A6A"/>
    <w:pPr>
      <w:outlineLvl w:val="9"/>
    </w:pPr>
  </w:style>
  <w:style w:type="paragraph" w:styleId="ListParagraph">
    <w:name w:val="List Paragraph"/>
    <w:basedOn w:val="Normal"/>
    <w:uiPriority w:val="34"/>
    <w:rsid w:val="00224A6A"/>
    <w:pPr>
      <w:ind w:left="720"/>
      <w:contextualSpacing/>
    </w:pPr>
  </w:style>
  <w:style w:type="character" w:styleId="CommentReference">
    <w:name w:val="annotation reference"/>
    <w:basedOn w:val="DefaultParagraphFont"/>
    <w:uiPriority w:val="99"/>
    <w:semiHidden/>
    <w:unhideWhenUsed/>
    <w:rsid w:val="00224A6A"/>
    <w:rPr>
      <w:sz w:val="16"/>
      <w:szCs w:val="16"/>
    </w:rPr>
  </w:style>
  <w:style w:type="paragraph" w:styleId="CommentText">
    <w:name w:val="annotation text"/>
    <w:basedOn w:val="Normal"/>
    <w:link w:val="CommentTextChar"/>
    <w:uiPriority w:val="99"/>
    <w:semiHidden/>
    <w:unhideWhenUsed/>
    <w:rsid w:val="00224A6A"/>
    <w:pPr>
      <w:spacing w:line="240" w:lineRule="auto"/>
    </w:pPr>
    <w:rPr>
      <w:sz w:val="20"/>
      <w:szCs w:val="20"/>
    </w:rPr>
  </w:style>
  <w:style w:type="character" w:customStyle="1" w:styleId="CommentTextChar">
    <w:name w:val="Comment Text Char"/>
    <w:basedOn w:val="DefaultParagraphFont"/>
    <w:link w:val="CommentText"/>
    <w:uiPriority w:val="99"/>
    <w:semiHidden/>
    <w:rsid w:val="00224A6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24A6A"/>
    <w:rPr>
      <w:b/>
      <w:bCs/>
    </w:rPr>
  </w:style>
  <w:style w:type="character" w:customStyle="1" w:styleId="CommentSubjectChar">
    <w:name w:val="Comment Subject Char"/>
    <w:basedOn w:val="CommentTextChar"/>
    <w:link w:val="CommentSubject"/>
    <w:uiPriority w:val="99"/>
    <w:semiHidden/>
    <w:rsid w:val="00224A6A"/>
    <w:rPr>
      <w:rFonts w:eastAsiaTheme="minorEastAsia"/>
      <w:b/>
      <w:bCs/>
      <w:sz w:val="20"/>
      <w:szCs w:val="20"/>
    </w:rPr>
  </w:style>
  <w:style w:type="paragraph" w:styleId="TOC7">
    <w:name w:val="toc 7"/>
    <w:basedOn w:val="Normal"/>
    <w:next w:val="Normal"/>
    <w:autoRedefine/>
    <w:uiPriority w:val="39"/>
    <w:semiHidden/>
    <w:unhideWhenUsed/>
    <w:rsid w:val="00224A6A"/>
    <w:pPr>
      <w:spacing w:after="100"/>
      <w:ind w:left="1320"/>
    </w:pPr>
  </w:style>
  <w:style w:type="paragraph" w:styleId="TOC2">
    <w:name w:val="toc 2"/>
    <w:basedOn w:val="Normal"/>
    <w:next w:val="Normal"/>
    <w:autoRedefine/>
    <w:uiPriority w:val="39"/>
    <w:unhideWhenUsed/>
    <w:rsid w:val="00224A6A"/>
    <w:pPr>
      <w:spacing w:after="100"/>
      <w:ind w:left="220"/>
    </w:pPr>
  </w:style>
  <w:style w:type="paragraph" w:styleId="TOC1">
    <w:name w:val="toc 1"/>
    <w:basedOn w:val="Normal"/>
    <w:next w:val="Normal"/>
    <w:autoRedefine/>
    <w:uiPriority w:val="39"/>
    <w:unhideWhenUsed/>
    <w:rsid w:val="00224A6A"/>
    <w:pPr>
      <w:spacing w:after="100"/>
    </w:pPr>
  </w:style>
  <w:style w:type="character" w:styleId="Hyperlink">
    <w:name w:val="Hyperlink"/>
    <w:basedOn w:val="DefaultParagraphFont"/>
    <w:uiPriority w:val="99"/>
    <w:unhideWhenUsed/>
    <w:rsid w:val="00224A6A"/>
    <w:rPr>
      <w:color w:val="0000FF" w:themeColor="hyperlink"/>
      <w:u w:val="single"/>
    </w:rPr>
  </w:style>
  <w:style w:type="paragraph" w:styleId="Header">
    <w:name w:val="header"/>
    <w:basedOn w:val="Normal"/>
    <w:link w:val="HeaderChar"/>
    <w:uiPriority w:val="99"/>
    <w:unhideWhenUsed/>
    <w:rsid w:val="00224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A6A"/>
    <w:rPr>
      <w:rFonts w:eastAsiaTheme="minorEastAsia"/>
    </w:rPr>
  </w:style>
  <w:style w:type="paragraph" w:styleId="Footer">
    <w:name w:val="footer"/>
    <w:basedOn w:val="Normal"/>
    <w:link w:val="FooterChar"/>
    <w:uiPriority w:val="99"/>
    <w:unhideWhenUsed/>
    <w:rsid w:val="00224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A6A"/>
    <w:rPr>
      <w:rFonts w:eastAsiaTheme="minorEastAsia"/>
    </w:rPr>
  </w:style>
  <w:style w:type="paragraph" w:styleId="ListBullet">
    <w:name w:val="List Bullet"/>
    <w:basedOn w:val="Normal"/>
    <w:uiPriority w:val="99"/>
    <w:unhideWhenUsed/>
    <w:rsid w:val="00224A6A"/>
    <w:pPr>
      <w:numPr>
        <w:numId w:val="1"/>
      </w:numPr>
      <w:contextualSpacing/>
    </w:pPr>
  </w:style>
  <w:style w:type="paragraph" w:styleId="Title">
    <w:name w:val="Title"/>
    <w:basedOn w:val="Normal"/>
    <w:next w:val="Normal"/>
    <w:link w:val="TitleChar"/>
    <w:uiPriority w:val="10"/>
    <w:qFormat/>
    <w:rsid w:val="00F72C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2C1D"/>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5467B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2374">
      <w:bodyDiv w:val="1"/>
      <w:marLeft w:val="0"/>
      <w:marRight w:val="0"/>
      <w:marTop w:val="0"/>
      <w:marBottom w:val="0"/>
      <w:divBdr>
        <w:top w:val="none" w:sz="0" w:space="0" w:color="auto"/>
        <w:left w:val="none" w:sz="0" w:space="0" w:color="auto"/>
        <w:bottom w:val="none" w:sz="0" w:space="0" w:color="auto"/>
        <w:right w:val="none" w:sz="0" w:space="0" w:color="auto"/>
      </w:divBdr>
    </w:div>
    <w:div w:id="133761796">
      <w:bodyDiv w:val="1"/>
      <w:marLeft w:val="0"/>
      <w:marRight w:val="0"/>
      <w:marTop w:val="0"/>
      <w:marBottom w:val="0"/>
      <w:divBdr>
        <w:top w:val="none" w:sz="0" w:space="0" w:color="auto"/>
        <w:left w:val="none" w:sz="0" w:space="0" w:color="auto"/>
        <w:bottom w:val="none" w:sz="0" w:space="0" w:color="auto"/>
        <w:right w:val="none" w:sz="0" w:space="0" w:color="auto"/>
      </w:divBdr>
    </w:div>
    <w:div w:id="139420249">
      <w:bodyDiv w:val="1"/>
      <w:marLeft w:val="0"/>
      <w:marRight w:val="0"/>
      <w:marTop w:val="0"/>
      <w:marBottom w:val="0"/>
      <w:divBdr>
        <w:top w:val="none" w:sz="0" w:space="0" w:color="auto"/>
        <w:left w:val="none" w:sz="0" w:space="0" w:color="auto"/>
        <w:bottom w:val="none" w:sz="0" w:space="0" w:color="auto"/>
        <w:right w:val="none" w:sz="0" w:space="0" w:color="auto"/>
      </w:divBdr>
    </w:div>
    <w:div w:id="164322095">
      <w:bodyDiv w:val="1"/>
      <w:marLeft w:val="0"/>
      <w:marRight w:val="0"/>
      <w:marTop w:val="0"/>
      <w:marBottom w:val="0"/>
      <w:divBdr>
        <w:top w:val="none" w:sz="0" w:space="0" w:color="auto"/>
        <w:left w:val="none" w:sz="0" w:space="0" w:color="auto"/>
        <w:bottom w:val="none" w:sz="0" w:space="0" w:color="auto"/>
        <w:right w:val="none" w:sz="0" w:space="0" w:color="auto"/>
      </w:divBdr>
    </w:div>
    <w:div w:id="272445875">
      <w:bodyDiv w:val="1"/>
      <w:marLeft w:val="0"/>
      <w:marRight w:val="0"/>
      <w:marTop w:val="0"/>
      <w:marBottom w:val="0"/>
      <w:divBdr>
        <w:top w:val="none" w:sz="0" w:space="0" w:color="auto"/>
        <w:left w:val="none" w:sz="0" w:space="0" w:color="auto"/>
        <w:bottom w:val="none" w:sz="0" w:space="0" w:color="auto"/>
        <w:right w:val="none" w:sz="0" w:space="0" w:color="auto"/>
      </w:divBdr>
    </w:div>
    <w:div w:id="381709176">
      <w:bodyDiv w:val="1"/>
      <w:marLeft w:val="0"/>
      <w:marRight w:val="0"/>
      <w:marTop w:val="0"/>
      <w:marBottom w:val="0"/>
      <w:divBdr>
        <w:top w:val="none" w:sz="0" w:space="0" w:color="auto"/>
        <w:left w:val="none" w:sz="0" w:space="0" w:color="auto"/>
        <w:bottom w:val="none" w:sz="0" w:space="0" w:color="auto"/>
        <w:right w:val="none" w:sz="0" w:space="0" w:color="auto"/>
      </w:divBdr>
    </w:div>
    <w:div w:id="414321562">
      <w:bodyDiv w:val="1"/>
      <w:marLeft w:val="0"/>
      <w:marRight w:val="0"/>
      <w:marTop w:val="0"/>
      <w:marBottom w:val="0"/>
      <w:divBdr>
        <w:top w:val="none" w:sz="0" w:space="0" w:color="auto"/>
        <w:left w:val="none" w:sz="0" w:space="0" w:color="auto"/>
        <w:bottom w:val="none" w:sz="0" w:space="0" w:color="auto"/>
        <w:right w:val="none" w:sz="0" w:space="0" w:color="auto"/>
      </w:divBdr>
    </w:div>
    <w:div w:id="537813716">
      <w:bodyDiv w:val="1"/>
      <w:marLeft w:val="0"/>
      <w:marRight w:val="0"/>
      <w:marTop w:val="0"/>
      <w:marBottom w:val="0"/>
      <w:divBdr>
        <w:top w:val="none" w:sz="0" w:space="0" w:color="auto"/>
        <w:left w:val="none" w:sz="0" w:space="0" w:color="auto"/>
        <w:bottom w:val="none" w:sz="0" w:space="0" w:color="auto"/>
        <w:right w:val="none" w:sz="0" w:space="0" w:color="auto"/>
      </w:divBdr>
    </w:div>
    <w:div w:id="685517706">
      <w:bodyDiv w:val="1"/>
      <w:marLeft w:val="0"/>
      <w:marRight w:val="0"/>
      <w:marTop w:val="0"/>
      <w:marBottom w:val="0"/>
      <w:divBdr>
        <w:top w:val="none" w:sz="0" w:space="0" w:color="auto"/>
        <w:left w:val="none" w:sz="0" w:space="0" w:color="auto"/>
        <w:bottom w:val="none" w:sz="0" w:space="0" w:color="auto"/>
        <w:right w:val="none" w:sz="0" w:space="0" w:color="auto"/>
      </w:divBdr>
    </w:div>
    <w:div w:id="817303272">
      <w:bodyDiv w:val="1"/>
      <w:marLeft w:val="0"/>
      <w:marRight w:val="0"/>
      <w:marTop w:val="0"/>
      <w:marBottom w:val="0"/>
      <w:divBdr>
        <w:top w:val="none" w:sz="0" w:space="0" w:color="auto"/>
        <w:left w:val="none" w:sz="0" w:space="0" w:color="auto"/>
        <w:bottom w:val="none" w:sz="0" w:space="0" w:color="auto"/>
        <w:right w:val="none" w:sz="0" w:space="0" w:color="auto"/>
      </w:divBdr>
    </w:div>
    <w:div w:id="861746267">
      <w:bodyDiv w:val="1"/>
      <w:marLeft w:val="0"/>
      <w:marRight w:val="0"/>
      <w:marTop w:val="0"/>
      <w:marBottom w:val="0"/>
      <w:divBdr>
        <w:top w:val="none" w:sz="0" w:space="0" w:color="auto"/>
        <w:left w:val="none" w:sz="0" w:space="0" w:color="auto"/>
        <w:bottom w:val="none" w:sz="0" w:space="0" w:color="auto"/>
        <w:right w:val="none" w:sz="0" w:space="0" w:color="auto"/>
      </w:divBdr>
    </w:div>
    <w:div w:id="901908072">
      <w:bodyDiv w:val="1"/>
      <w:marLeft w:val="0"/>
      <w:marRight w:val="0"/>
      <w:marTop w:val="0"/>
      <w:marBottom w:val="0"/>
      <w:divBdr>
        <w:top w:val="none" w:sz="0" w:space="0" w:color="auto"/>
        <w:left w:val="none" w:sz="0" w:space="0" w:color="auto"/>
        <w:bottom w:val="none" w:sz="0" w:space="0" w:color="auto"/>
        <w:right w:val="none" w:sz="0" w:space="0" w:color="auto"/>
      </w:divBdr>
    </w:div>
    <w:div w:id="1108623491">
      <w:bodyDiv w:val="1"/>
      <w:marLeft w:val="0"/>
      <w:marRight w:val="0"/>
      <w:marTop w:val="0"/>
      <w:marBottom w:val="0"/>
      <w:divBdr>
        <w:top w:val="none" w:sz="0" w:space="0" w:color="auto"/>
        <w:left w:val="none" w:sz="0" w:space="0" w:color="auto"/>
        <w:bottom w:val="none" w:sz="0" w:space="0" w:color="auto"/>
        <w:right w:val="none" w:sz="0" w:space="0" w:color="auto"/>
      </w:divBdr>
    </w:div>
    <w:div w:id="1460879744">
      <w:bodyDiv w:val="1"/>
      <w:marLeft w:val="0"/>
      <w:marRight w:val="0"/>
      <w:marTop w:val="0"/>
      <w:marBottom w:val="0"/>
      <w:divBdr>
        <w:top w:val="none" w:sz="0" w:space="0" w:color="auto"/>
        <w:left w:val="none" w:sz="0" w:space="0" w:color="auto"/>
        <w:bottom w:val="none" w:sz="0" w:space="0" w:color="auto"/>
        <w:right w:val="none" w:sz="0" w:space="0" w:color="auto"/>
      </w:divBdr>
    </w:div>
    <w:div w:id="1492480082">
      <w:bodyDiv w:val="1"/>
      <w:marLeft w:val="0"/>
      <w:marRight w:val="0"/>
      <w:marTop w:val="0"/>
      <w:marBottom w:val="0"/>
      <w:divBdr>
        <w:top w:val="none" w:sz="0" w:space="0" w:color="auto"/>
        <w:left w:val="none" w:sz="0" w:space="0" w:color="auto"/>
        <w:bottom w:val="none" w:sz="0" w:space="0" w:color="auto"/>
        <w:right w:val="none" w:sz="0" w:space="0" w:color="auto"/>
      </w:divBdr>
    </w:div>
    <w:div w:id="1601067135">
      <w:bodyDiv w:val="1"/>
      <w:marLeft w:val="0"/>
      <w:marRight w:val="0"/>
      <w:marTop w:val="0"/>
      <w:marBottom w:val="0"/>
      <w:divBdr>
        <w:top w:val="none" w:sz="0" w:space="0" w:color="auto"/>
        <w:left w:val="none" w:sz="0" w:space="0" w:color="auto"/>
        <w:bottom w:val="none" w:sz="0" w:space="0" w:color="auto"/>
        <w:right w:val="none" w:sz="0" w:space="0" w:color="auto"/>
      </w:divBdr>
    </w:div>
    <w:div w:id="1630940476">
      <w:bodyDiv w:val="1"/>
      <w:marLeft w:val="0"/>
      <w:marRight w:val="0"/>
      <w:marTop w:val="0"/>
      <w:marBottom w:val="0"/>
      <w:divBdr>
        <w:top w:val="none" w:sz="0" w:space="0" w:color="auto"/>
        <w:left w:val="none" w:sz="0" w:space="0" w:color="auto"/>
        <w:bottom w:val="none" w:sz="0" w:space="0" w:color="auto"/>
        <w:right w:val="none" w:sz="0" w:space="0" w:color="auto"/>
      </w:divBdr>
    </w:div>
    <w:div w:id="1753313045">
      <w:bodyDiv w:val="1"/>
      <w:marLeft w:val="0"/>
      <w:marRight w:val="0"/>
      <w:marTop w:val="0"/>
      <w:marBottom w:val="0"/>
      <w:divBdr>
        <w:top w:val="none" w:sz="0" w:space="0" w:color="auto"/>
        <w:left w:val="none" w:sz="0" w:space="0" w:color="auto"/>
        <w:bottom w:val="none" w:sz="0" w:space="0" w:color="auto"/>
        <w:right w:val="none" w:sz="0" w:space="0" w:color="auto"/>
      </w:divBdr>
    </w:div>
    <w:div w:id="1831094874">
      <w:bodyDiv w:val="1"/>
      <w:marLeft w:val="0"/>
      <w:marRight w:val="0"/>
      <w:marTop w:val="0"/>
      <w:marBottom w:val="0"/>
      <w:divBdr>
        <w:top w:val="none" w:sz="0" w:space="0" w:color="auto"/>
        <w:left w:val="none" w:sz="0" w:space="0" w:color="auto"/>
        <w:bottom w:val="none" w:sz="0" w:space="0" w:color="auto"/>
        <w:right w:val="none" w:sz="0" w:space="0" w:color="auto"/>
      </w:divBdr>
    </w:div>
    <w:div w:id="1862164548">
      <w:bodyDiv w:val="1"/>
      <w:marLeft w:val="0"/>
      <w:marRight w:val="0"/>
      <w:marTop w:val="0"/>
      <w:marBottom w:val="0"/>
      <w:divBdr>
        <w:top w:val="none" w:sz="0" w:space="0" w:color="auto"/>
        <w:left w:val="none" w:sz="0" w:space="0" w:color="auto"/>
        <w:bottom w:val="none" w:sz="0" w:space="0" w:color="auto"/>
        <w:right w:val="none" w:sz="0" w:space="0" w:color="auto"/>
      </w:divBdr>
    </w:div>
    <w:div w:id="1909268415">
      <w:bodyDiv w:val="1"/>
      <w:marLeft w:val="0"/>
      <w:marRight w:val="0"/>
      <w:marTop w:val="0"/>
      <w:marBottom w:val="0"/>
      <w:divBdr>
        <w:top w:val="none" w:sz="0" w:space="0" w:color="auto"/>
        <w:left w:val="none" w:sz="0" w:space="0" w:color="auto"/>
        <w:bottom w:val="none" w:sz="0" w:space="0" w:color="auto"/>
        <w:right w:val="none" w:sz="0" w:space="0" w:color="auto"/>
      </w:divBdr>
    </w:div>
    <w:div w:id="19376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jpg"/><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5.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inmoncif.com" TargetMode="Externa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hyperlink" Target="http://www.microsoft.com/sqlserver/2008/en/us/parallel-data-warehouse.aspx" TargetMode="External"/><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ryb\AppData\Roaming\Microsoft\Templates\DW_Toolkit_Chapter_Template_E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G Document" ma:contentTypeID="0x010100C57D495D6DF0E542893AF6DD4C8A86B2030041113B775173254B896172F9600C4B6C" ma:contentTypeVersion="13" ma:contentTypeDescription="" ma:contentTypeScope="" ma:versionID="2108406e19c82fb49955450617ccc1bf">
  <xsd:schema xmlns:xsd="http://www.w3.org/2001/XMLSchema" xmlns:xs="http://www.w3.org/2001/XMLSchema" xmlns:p="http://schemas.microsoft.com/office/2006/metadata/properties" xmlns:ns2="d61a670a-b9d8-42d5-b903-e6433356397e" xmlns:ns3="http://schemas.microsoft.com/sharepoint/v3/fields" xmlns:ns4="9b616f95-d8bd-408f-83a4-32fa6f6a8ac6" targetNamespace="http://schemas.microsoft.com/office/2006/metadata/properties" ma:root="true" ma:fieldsID="8d4332efb2d3572ef36c0272fdd6e24d" ns2:_="" ns3:_="" ns4:_="">
    <xsd:import namespace="d61a670a-b9d8-42d5-b903-e6433356397e"/>
    <xsd:import namespace="http://schemas.microsoft.com/sharepoint/v3/fields"/>
    <xsd:import namespace="9b616f95-d8bd-408f-83a4-32fa6f6a8ac6"/>
    <xsd:element name="properties">
      <xsd:complexType>
        <xsd:sequence>
          <xsd:element name="documentManagement">
            <xsd:complexType>
              <xsd:all>
                <xsd:element ref="ns2:Content_x0020_Description" minOccurs="0"/>
                <xsd:element ref="ns3:_DCDateCreated" minOccurs="0"/>
                <xsd:element ref="ns3:_DCDateModified" minOccurs="0"/>
                <xsd:element ref="ns2:Expiration" minOccurs="0"/>
                <xsd:element ref="ns2:USBMO_x0020_Author" minOccurs="0"/>
                <xsd:element ref="ns2:USBMO_x0020_Owner" minOccurs="0"/>
                <xsd:element ref="ns4:Segment" minOccurs="0"/>
                <xsd:element ref="ns2:Audience1" minOccurs="0"/>
                <xsd:element ref="ns2:Release_x0020_Date" minOccurs="0"/>
                <xsd:element ref="ns2:BG_x0020_Document_x0020_Type" minOccurs="0"/>
                <xsd:element ref="ns2:Campaign" minOccurs="0"/>
                <xsd:element ref="ns2:Capability" minOccurs="0"/>
                <xsd:element ref="ns2:Product" minOccurs="0"/>
                <xsd:element ref="ns4:Industry_x0020_Segment" minOccurs="0"/>
                <xsd:element ref="ns4:Field_x0020_Role" minOccurs="0"/>
                <xsd:element ref="ns2:Document_x0020_Availability" minOccurs="0"/>
                <xsd:element ref="ns4:MSSP_x0020_Stage" minOccurs="0"/>
                <xsd:element ref="ns4:Customer_x0020_Audience" minOccurs="0"/>
                <xsd:element ref="ns2:Targeted_x0020_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a670a-b9d8-42d5-b903-e6433356397e" elementFormDefault="qualified">
    <xsd:import namespace="http://schemas.microsoft.com/office/2006/documentManagement/types"/>
    <xsd:import namespace="http://schemas.microsoft.com/office/infopath/2007/PartnerControls"/>
    <xsd:element name="Content_x0020_Description" ma:index="2" nillable="true" ma:displayName="Content Description" ma:internalName="Content_x0020_Description">
      <xsd:simpleType>
        <xsd:restriction base="dms:Note">
          <xsd:maxLength value="255"/>
        </xsd:restriction>
      </xsd:simpleType>
    </xsd:element>
    <xsd:element name="Expiration" ma:index="5" nillable="true" ma:displayName="Expiration" ma:format="DateOnly" ma:internalName="Expiration" ma:readOnly="false">
      <xsd:simpleType>
        <xsd:restriction base="dms:DateTime"/>
      </xsd:simpleType>
    </xsd:element>
    <xsd:element name="USBMO_x0020_Author" ma:index="7" nillable="true" ma:displayName="USBMO Author" ma:list="UserInfo" ma:SearchPeopleOnly="false" ma:SharePointGroup="0" ma:internalName="USBMO_x0020_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BMO_x0020_Owner" ma:index="8" nillable="true" ma:displayName="USBMO Owner" ma:list="UserInfo" ma:SearchPeopleOnly="false" ma:SharePointGroup="0" ma:internalName="USBMO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1" ma:index="16" nillable="true" ma:displayName="Audience" ma:default="All" ma:internalName="Audience1">
      <xsd:complexType>
        <xsd:complexContent>
          <xsd:extension base="dms:MultiChoice">
            <xsd:sequence>
              <xsd:element name="Value" maxOccurs="unbounded" minOccurs="0" nillable="true">
                <xsd:simpleType>
                  <xsd:restriction base="dms:Choice">
                    <xsd:enumeration value="All"/>
                    <xsd:enumeration value="Administrator"/>
                    <xsd:enumeration value="Audience Marketing Manager"/>
                    <xsd:enumeration value="Business Manager"/>
                    <xsd:enumeration value="Business Planning Manager"/>
                    <xsd:enumeration value="Database Strategist"/>
                    <xsd:enumeration value="Field Audiences"/>
                    <xsd:enumeration value="Finance"/>
                    <xsd:enumeration value="IMC Manager"/>
                    <xsd:enumeration value="Leader"/>
                    <xsd:enumeration value="Partner Marketing Manager"/>
                    <xsd:enumeration value="Product Marketing Campaign Manager"/>
                    <xsd:enumeration value="Product Marketing Manager"/>
                    <xsd:enumeration value="Product Marketing Segment Partner Manager/Partner Manager"/>
                    <xsd:enumeration value="Shared Service Engine Manager"/>
                    <xsd:enumeration value="US STB - FT"/>
                  </xsd:restriction>
                </xsd:simpleType>
              </xsd:element>
            </xsd:sequence>
          </xsd:extension>
        </xsd:complexContent>
      </xsd:complexType>
    </xsd:element>
    <xsd:element name="Release_x0020_Date" ma:index="17" nillable="true" ma:displayName="Release Date" ma:default="[today]" ma:format="DateOnly" ma:internalName="Release_x0020_Date">
      <xsd:simpleType>
        <xsd:restriction base="dms:DateTime"/>
      </xsd:simpleType>
    </xsd:element>
    <xsd:element name="BG_x0020_Document_x0020_Type" ma:index="18" nillable="true" ma:displayName="BG Document Type" ma:default="" ma:format="Dropdown" ma:internalName="BG_x0020_Document_x0020_Type">
      <xsd:simpleType>
        <xsd:restriction base="dms:Choice">
          <xsd:enumeration value="Battle Card"/>
          <xsd:enumeration value="Brochure"/>
          <xsd:enumeration value="Case Study"/>
          <xsd:enumeration value="Compete Deck"/>
          <xsd:enumeration value="Creative (Logos and Templates)"/>
          <xsd:enumeration value="Customer Briefing"/>
          <xsd:enumeration value="Customer Technical Training"/>
          <xsd:enumeration value="Datasheet"/>
          <xsd:enumeration value="Demo"/>
          <xsd:enumeration value="Email"/>
          <xsd:enumeration value="Field Calls"/>
          <xsd:enumeration value="Hunting Guide"/>
          <xsd:enumeration value="MTC Strategy Briefing"/>
          <xsd:enumeration value="Overview"/>
          <xsd:enumeration value="Podcast"/>
          <xsd:enumeration value="Presentation"/>
          <xsd:enumeration value="Press Release"/>
          <xsd:enumeration value="Sales Guide"/>
          <xsd:enumeration value="Telesales Script"/>
          <xsd:enumeration value="Tips &amp; Tricks"/>
          <xsd:enumeration value="VLab"/>
          <xsd:enumeration value="Webcast"/>
          <xsd:enumeration value="Whitepaper"/>
          <xsd:enumeration value="xCast"/>
        </xsd:restriction>
      </xsd:simpleType>
    </xsd:element>
    <xsd:element name="Campaign" ma:index="19" nillable="true" ma:displayName="Optimization Campaign" ma:default="" ma:format="Dropdown" ma:internalName="Campaign">
      <xsd:simpleType>
        <xsd:restriction base="dms:Choice">
          <xsd:enumeration value="Application Platform"/>
          <xsd:enumeration value="Core Infrastructure"/>
        </xsd:restriction>
      </xsd:simpleType>
    </xsd:element>
    <xsd:element name="Capability" ma:index="20" nillable="true" ma:displayName="Campaigns and Programs" ma:default="" ma:format="Dropdown" ma:internalName="Capability">
      <xsd:simpleType>
        <xsd:restriction base="dms:Choice">
          <xsd:enumeration value="Business Intelligence"/>
          <xsd:enumeration value="NextWeb"/>
          <xsd:enumeration value="Application Lifecycle Management"/>
          <xsd:enumeration value="Service Oriented Architecture"/>
          <xsd:enumeration value="Data Management"/>
          <xsd:enumeration value="Virtualization"/>
          <xsd:enumeration value="Branch Campaign"/>
          <xsd:enumeration value="Datacenter"/>
        </xsd:restriction>
      </xsd:simpleType>
    </xsd:element>
    <xsd:element name="Product" ma:index="21" nillable="true" ma:displayName="Product" ma:format="Dropdown" ma:internalName="Product">
      <xsd:simpleType>
        <xsd:restriction base="dms:Choice">
          <xsd:enumeration value="BizTalk"/>
          <xsd:enumeration value="SQL Server"/>
          <xsd:enumeration value="Developer Tools"/>
          <xsd:enumeration value="PerformancePoint Server"/>
          <xsd:enumeration value="Windows Server"/>
          <xsd:enumeration value="Forefront"/>
          <xsd:enumeration value="System Center"/>
        </xsd:restriction>
      </xsd:simpleType>
    </xsd:element>
    <xsd:element name="Document_x0020_Availability" ma:index="24" nillable="true" ma:displayName="Document Availability" ma:default="Internal" ma:format="Dropdown" ma:internalName="Document_x0020_Availability">
      <xsd:simpleType>
        <xsd:restriction base="dms:Choice">
          <xsd:enumeration value="Internal"/>
          <xsd:enumeration value="External"/>
          <xsd:enumeration value="Both"/>
        </xsd:restriction>
      </xsd:simpleType>
    </xsd:element>
    <xsd:element name="Targeted_x0020_Audience" ma:index="27" nillable="true" ma:displayName="Targeted Audience" ma:default="Field Audiences" ma:format="Dropdown" ma:internalName="Targeted_x0020_Audience">
      <xsd:simpleType>
        <xsd:restriction base="dms:Choice">
          <xsd:enumeration value="Field Audiences"/>
          <xsd:enumeration value="US STB - FT"/>
          <xsd:enumeration value="Both"/>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3" nillable="true" ma:displayName="Date Created" ma:description="The date on which this resource was created" ma:format="DateTime" ma:internalName="_DCDateCreated">
      <xsd:simpleType>
        <xsd:restriction base="dms:DateTime"/>
      </xsd:simpleType>
    </xsd:element>
    <xsd:element name="_DCDateModified" ma:index="4"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b616f95-d8bd-408f-83a4-32fa6f6a8ac6" elementFormDefault="qualified">
    <xsd:import namespace="http://schemas.microsoft.com/office/2006/documentManagement/types"/>
    <xsd:import namespace="http://schemas.microsoft.com/office/infopath/2007/PartnerControls"/>
    <xsd:element name="Segment" ma:index="9" nillable="true" ma:displayName="Segment" ma:default="All" ma:format="Dropdown" ma:internalName="Segment">
      <xsd:simpleType>
        <xsd:restriction base="dms:Choice">
          <xsd:enumeration value="EPG All"/>
          <xsd:enumeration value="EPG Commercial"/>
          <xsd:enumeration value="EPG - PS"/>
          <xsd:enumeration value="EPG - CS"/>
          <xsd:enumeration value="SMSP All"/>
          <xsd:enumeration value="SMSP Depth"/>
          <xsd:enumeration value="SMSP Breadth"/>
          <xsd:enumeration value="Partner"/>
          <xsd:enumeration value="Public Sector"/>
          <xsd:enumeration value="Dynamics"/>
          <xsd:enumeration value="All"/>
        </xsd:restriction>
      </xsd:simpleType>
    </xsd:element>
    <xsd:element name="Industry_x0020_Segment" ma:index="22" nillable="true" ma:displayName="Industry Segment" ma:default="All" ma:internalName="Industry_x0020_Segment">
      <xsd:complexType>
        <xsd:complexContent>
          <xsd:extension base="dms:MultiChoice">
            <xsd:sequence>
              <xsd:element name="Value" maxOccurs="unbounded" minOccurs="0" nillable="true">
                <xsd:simpleType>
                  <xsd:restriction base="dms:Choice">
                    <xsd:enumeration value="All"/>
                    <xsd:enumeration value="Financial Services"/>
                    <xsd:enumeration value="Health"/>
                    <xsd:enumeration value="Manufacturing"/>
                    <xsd:enumeration value="Professional Services"/>
                    <xsd:enumeration value="Retail &amp; Hospitality"/>
                  </xsd:restriction>
                </xsd:simpleType>
              </xsd:element>
            </xsd:sequence>
          </xsd:extension>
        </xsd:complexContent>
      </xsd:complexType>
    </xsd:element>
    <xsd:element name="Field_x0020_Role" ma:index="23" nillable="true" ma:displayName="Field Role" ma:default="All" ma:format="Dropdown" ma:internalName="Field_x0020_Role">
      <xsd:simpleType>
        <xsd:restriction base="dms:Choice">
          <xsd:enumeration value="All"/>
          <xsd:enumeration value="EPG All"/>
          <xsd:enumeration value="SMSP All"/>
          <xsd:enumeration value="DMM"/>
          <xsd:enumeration value="ATU Managers"/>
          <xsd:enumeration value="SSPs"/>
          <xsd:enumeration value="STU Managers"/>
          <xsd:enumeration value="PAMs"/>
          <xsd:enumeration value="Telesales"/>
        </xsd:restriction>
      </xsd:simpleType>
    </xsd:element>
    <xsd:element name="MSSP_x0020_Stage" ma:index="25" nillable="true" ma:displayName="MSSP Stage" ma:default="0%" ma:internalName="MSSP_x0020_Stage">
      <xsd:complexType>
        <xsd:complexContent>
          <xsd:extension base="dms:MultiChoice">
            <xsd:sequence>
              <xsd:element name="Value" maxOccurs="unbounded" minOccurs="0" nillable="true">
                <xsd:simpleType>
                  <xsd:restriction base="dms:Choice">
                    <xsd:enumeration value="0%"/>
                    <xsd:enumeration value="10%"/>
                    <xsd:enumeration value="20%"/>
                    <xsd:enumeration value="40%"/>
                    <xsd:enumeration value="60%"/>
                    <xsd:enumeration value="80%"/>
                    <xsd:enumeration value="100%"/>
                    <xsd:enumeration value="All"/>
                  </xsd:restriction>
                </xsd:simpleType>
              </xsd:element>
            </xsd:sequence>
          </xsd:extension>
        </xsd:complexContent>
      </xsd:complexType>
    </xsd:element>
    <xsd:element name="Customer_x0020_Audience" ma:index="26" nillable="true" ma:displayName="Customer Audience" ma:internalName="Customer_x0020_Audience">
      <xsd:complexType>
        <xsd:complexContent>
          <xsd:extension base="dms:MultiChoice">
            <xsd:sequence>
              <xsd:element name="Value" maxOccurs="unbounded" minOccurs="0" nillable="true">
                <xsd:simpleType>
                  <xsd:restriction base="dms:Choice">
                    <xsd:enumeration value="Business Decision Maker (BDM)"/>
                    <xsd:enumeration value="Technical Decision Maker (TDM)"/>
                    <xsd:enumeration value="IT-Pro"/>
                    <xsd:enumeration value="Developer"/>
                    <xsd:enumeration value="Information Work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ma:index="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USBMO_x0020_Owner xmlns="d61a670a-b9d8-42d5-b903-e6433356397e">
      <UserInfo>
        <DisplayName/>
        <AccountId xsi:nil="true"/>
        <AccountType/>
      </UserInfo>
    </USBMO_x0020_Owner>
    <Campaign xmlns="d61a670a-b9d8-42d5-b903-e6433356397e" xsi:nil="true"/>
    <_DCDateModified xmlns="http://schemas.microsoft.com/sharepoint/v3/fields" xsi:nil="true"/>
    <Document_x0020_Availability xmlns="d61a670a-b9d8-42d5-b903-e6433356397e">Internal</Document_x0020_Availability>
    <USBMO_x0020_Author xmlns="d61a670a-b9d8-42d5-b903-e6433356397e">
      <UserInfo>
        <DisplayName/>
        <AccountId xsi:nil="true"/>
        <AccountType/>
      </UserInfo>
    </USBMO_x0020_Author>
    <Release_x0020_Date xmlns="d61a670a-b9d8-42d5-b903-e6433356397e">2010-11-03T22:54:04+00:00</Release_x0020_Date>
    <BG_x0020_Document_x0020_Type xmlns="d61a670a-b9d8-42d5-b903-e6433356397e" xsi:nil="true"/>
    <Customer_x0020_Audience xmlns="9b616f95-d8bd-408f-83a4-32fa6f6a8ac6"/>
    <Targeted_x0020_Audience xmlns="d61a670a-b9d8-42d5-b903-e6433356397e">Field Audiences</Targeted_x0020_Audience>
    <Industry_x0020_Segment xmlns="9b616f95-d8bd-408f-83a4-32fa6f6a8ac6">
      <Value>All</Value>
    </Industry_x0020_Segment>
    <Segment xmlns="9b616f95-d8bd-408f-83a4-32fa6f6a8ac6">All</Segment>
    <Content_x0020_Description xmlns="d61a670a-b9d8-42d5-b903-e6433356397e" xsi:nil="true"/>
    <Product xmlns="d61a670a-b9d8-42d5-b903-e6433356397e" xsi:nil="true"/>
    <MSSP_x0020_Stage xmlns="9b616f95-d8bd-408f-83a4-32fa6f6a8ac6">
      <Value>0%</Value>
    </MSSP_x0020_Stage>
    <Field_x0020_Role xmlns="9b616f95-d8bd-408f-83a4-32fa6f6a8ac6">All</Field_x0020_Role>
    <Expiration xmlns="d61a670a-b9d8-42d5-b903-e6433356397e" xsi:nil="true"/>
    <Capability xmlns="d61a670a-b9d8-42d5-b903-e6433356397e" xsi:nil="true"/>
    <Audience1 xmlns="d61a670a-b9d8-42d5-b903-e6433356397e">
      <Value>All</Value>
    </Audience1>
    <_DCDateCreated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2BC22-AA7D-4EEA-AFE2-34FB60615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a670a-b9d8-42d5-b903-e6433356397e"/>
    <ds:schemaRef ds:uri="http://schemas.microsoft.com/sharepoint/v3/fields"/>
    <ds:schemaRef ds:uri="9b616f95-d8bd-408f-83a4-32fa6f6a8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6685A1-79CF-4334-A92B-F4A269EA2023}">
  <ds:schemaRefs>
    <ds:schemaRef ds:uri="http://schemas.microsoft.com/sharepoint/v3/contenttype/forms"/>
  </ds:schemaRefs>
</ds:datastoreItem>
</file>

<file path=customXml/itemProps3.xml><?xml version="1.0" encoding="utf-8"?>
<ds:datastoreItem xmlns:ds="http://schemas.openxmlformats.org/officeDocument/2006/customXml" ds:itemID="{3EB78E03-9933-413C-9FC7-7665B90CCBE6}">
  <ds:schemaRefs>
    <ds:schemaRef ds:uri="http://schemas.microsoft.com/office/2006/metadata/properties"/>
    <ds:schemaRef ds:uri="d61a670a-b9d8-42d5-b903-e6433356397e"/>
    <ds:schemaRef ds:uri="http://schemas.microsoft.com/sharepoint/v3/fields"/>
    <ds:schemaRef ds:uri="9b616f95-d8bd-408f-83a4-32fa6f6a8ac6"/>
  </ds:schemaRefs>
</ds:datastoreItem>
</file>

<file path=customXml/itemProps4.xml><?xml version="1.0" encoding="utf-8"?>
<ds:datastoreItem xmlns:ds="http://schemas.openxmlformats.org/officeDocument/2006/customXml" ds:itemID="{CA3EE34D-E055-4B23-B1DC-15916BBA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DW_Toolkit_Chapter_Template_EV</Template>
  <TotalTime>9</TotalTime>
  <Pages>14</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Larryb</dc:creator>
  <cp:lastModifiedBy>Arindam Ray (Populus Group, LLC)</cp:lastModifiedBy>
  <cp:revision>8</cp:revision>
  <dcterms:created xsi:type="dcterms:W3CDTF">2010-11-02T16:39:00Z</dcterms:created>
  <dcterms:modified xsi:type="dcterms:W3CDTF">2011-04-25T01:28:00Z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0x010100C57D495D6DF0E542893AF6DD4C8A86B2030041113B775173254B896172F9600C4B6C</vt:lpwstr>
  </property>
</Properties>
</file>