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Accessibility Conformance Report, based on VPAT</w:t>
      </w:r>
      <w:r>
        <w:rPr>
          <w:vertAlign w:val="superscript"/>
        </w:rPr>
        <w:t>®</w:t>
      </w:r>
      <w:r>
        <w:t xml:space="preserve"> Version 2.5Rev, WCAG Edition</w:t>
      </w:r>
      <w:r/>
      <w:r/>
    </w:p>
    <w:p>
      <w:r/>
      <w:r>
        <w:rPr>
          <w:b/>
        </w:rPr>
        <w:t>This is an independent evaluation, not a vendor self-attestation.</w:t>
      </w:r>
      <w:r>
        <w:t xml:space="preserve"> A VPAT/ACR is normally completed by the supplier about its own product. This report was produced by the SFBRN Accessible Technology Initiative during a procurement requisition, to determine whether the product meets the CSU's accessibility requirements for acquisition. Every conformance level in it is derived from logged test runs. No claim made by the supplier is reproduced or relied on anywhere in this document.</w:t>
      </w:r>
      <w:r/>
      <w:r/>
    </w:p>
    <w:p>
      <w:pPr>
        <w:pStyle w:val="Heading2"/>
      </w:pPr>
      <w:r>
        <w:t>Contents</w:t>
      </w:r>
    </w:p>
    <w:p>
      <w:pPr>
        <w:pStyle w:val="ListBullet"/>
        <w:spacing w:line="240" w:lineRule="auto"/>
        <w:ind w:left="720"/>
      </w:pPr>
      <w:r/>
      <w:hyperlink r:id="rId10">
        <w:r>
          <w:rPr>
            <w:color w:val="0000EE"/>
            <w:u w:val="single"/>
          </w:rPr>
          <w:t>Report information</w:t>
        </w:r>
      </w:hyperlink>
    </w:p>
    <w:p>
      <w:pPr>
        <w:pStyle w:val="ListBullet"/>
        <w:spacing w:line="240" w:lineRule="auto"/>
        <w:ind w:left="720"/>
      </w:pPr>
      <w:r/>
      <w:hyperlink r:id="rId11">
        <w:r>
          <w:rPr>
            <w:color w:val="0000EE"/>
            <w:u w:val="single"/>
          </w:rPr>
          <w:t>Applicable standards / guidelines</w:t>
        </w:r>
      </w:hyperlink>
    </w:p>
    <w:p>
      <w:pPr>
        <w:pStyle w:val="ListBullet"/>
        <w:spacing w:line="240" w:lineRule="auto"/>
        <w:ind w:left="720"/>
      </w:pPr>
      <w:r/>
      <w:hyperlink r:id="rId12">
        <w:r>
          <w:rPr>
            <w:color w:val="0000EE"/>
            <w:u w:val="single"/>
          </w:rPr>
          <w:t>Terms</w:t>
        </w:r>
      </w:hyperlink>
    </w:p>
    <w:p>
      <w:pPr>
        <w:pStyle w:val="ListBullet"/>
        <w:spacing w:line="240" w:lineRule="auto"/>
        <w:ind w:left="720"/>
      </w:pPr>
      <w:r/>
      <w:hyperlink r:id="rId13">
        <w:r>
          <w:rPr>
            <w:color w:val="0000EE"/>
            <w:u w:val="single"/>
          </w:rPr>
          <w:t>WCAG 2.2 Report</w:t>
        </w:r>
      </w:hyperlink>
    </w:p>
    <w:p>
      <w:pPr>
        <w:pStyle w:val="ListBullet"/>
        <w:spacing w:line="240" w:lineRule="auto"/>
        <w:ind w:left="720"/>
      </w:pPr>
      <w:r/>
      <w:hyperlink r:id="rId14">
        <w:r>
          <w:rPr>
            <w:color w:val="0000EE"/>
            <w:u w:val="single"/>
          </w:rPr>
          <w:t>Table 1: Success Criteria, Level A</w:t>
        </w:r>
      </w:hyperlink>
    </w:p>
    <w:p>
      <w:pPr>
        <w:pStyle w:val="ListBullet"/>
        <w:spacing w:line="240" w:lineRule="auto"/>
        <w:ind w:left="720"/>
      </w:pPr>
      <w:r/>
      <w:hyperlink r:id="rId15">
        <w:r>
          <w:rPr>
            <w:color w:val="0000EE"/>
            <w:u w:val="single"/>
          </w:rPr>
          <w:t>Table 2: Success Criteria, Level AA</w:t>
        </w:r>
      </w:hyperlink>
    </w:p>
    <w:p>
      <w:pPr>
        <w:pStyle w:val="ListBullet"/>
        <w:spacing w:line="240" w:lineRule="auto"/>
        <w:ind w:left="720"/>
      </w:pPr>
      <w:r/>
      <w:hyperlink r:id="rId16">
        <w:r>
          <w:rPr>
            <w:color w:val="0000EE"/>
            <w:u w:val="single"/>
          </w:rPr>
          <w:t>Revised Section 508 — Chapter 3: Functional Performance Criteria</w:t>
        </w:r>
      </w:hyperlink>
    </w:p>
    <w:p>
      <w:pPr>
        <w:pStyle w:val="ListBullet"/>
        <w:spacing w:line="240" w:lineRule="auto"/>
        <w:ind w:left="720"/>
      </w:pPr>
      <w:r/>
      <w:hyperlink r:id="rId17">
        <w:r>
          <w:rPr>
            <w:color w:val="0000EE"/>
            <w:u w:val="single"/>
          </w:rPr>
          <w:t>Vendor Roadmap</w:t>
        </w:r>
      </w:hyperlink>
    </w:p>
    <w:p>
      <w:pPr>
        <w:pStyle w:val="ListBullet"/>
        <w:spacing w:line="240" w:lineRule="auto"/>
        <w:ind w:left="720"/>
      </w:pPr>
      <w:r/>
      <w:hyperlink r:id="rId18">
        <w:r>
          <w:rPr>
            <w:color w:val="0000EE"/>
            <w:u w:val="single"/>
          </w:rPr>
          <w:t>Needs Immediate Attention</w:t>
        </w:r>
      </w:hyperlink>
    </w:p>
    <w:p>
      <w:pPr>
        <w:pStyle w:val="ListBullet"/>
        <w:spacing w:line="240" w:lineRule="auto"/>
        <w:ind w:left="720"/>
      </w:pPr>
      <w:r/>
      <w:hyperlink r:id="rId19">
        <w:r>
          <w:rPr>
            <w:color w:val="0000EE"/>
            <w:u w:val="single"/>
          </w:rPr>
          <w:t>Should be Prioritized</w:t>
        </w:r>
      </w:hyperlink>
    </w:p>
    <w:p>
      <w:pPr>
        <w:pStyle w:val="ListBullet"/>
        <w:spacing w:line="240" w:lineRule="auto"/>
        <w:ind w:left="720"/>
      </w:pPr>
      <w:r/>
      <w:hyperlink r:id="rId20">
        <w:r>
          <w:rPr>
            <w:color w:val="0000EE"/>
            <w:u w:val="single"/>
          </w:rPr>
          <w:t>For Full Compliance</w:t>
        </w:r>
      </w:hyperlink>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21">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22">
              <w:r>
                <w:rPr>
                  <w:color w:val="0000EE"/>
                  <w:u w:val="single"/>
                </w:rPr>
                <w:t>1.1.1 Non-text Content</w:t>
              </w:r>
            </w:hyperlink>
            <w:r>
              <w:rPr>
                <w:b/>
              </w:rPr>
              <w:t xml:space="preserve"> </w:t>
            </w:r>
            <w:r>
              <w:rPr>
                <w:b/>
              </w:rPr>
              <w:t>(Level A)</w:t>
            </w:r>
            <w:r>
              <w:rPr>
                <w:b/>
              </w:rPr>
              <w:t xml:space="preserve"> </w:t>
            </w:r>
            <w:hyperlink r:id="rId22">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23">
              <w:r>
                <w:rPr>
                  <w:color w:val="0000EE"/>
                  <w:u w:val="single"/>
                </w:rPr>
                <w:t>1.2.1 Audio-only and Video-only (Prerecorded)</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24">
              <w:r>
                <w:rPr>
                  <w:color w:val="0000EE"/>
                  <w:u w:val="single"/>
                </w:rPr>
                <w:t>1.2.2 Captions (Prerecorded)</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25">
              <w:r>
                <w:rPr>
                  <w:color w:val="0000EE"/>
                  <w:u w:val="single"/>
                </w:rPr>
                <w:t>1.2.3 Audio Description or Media Alternative (Prerecorded)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26">
              <w:r>
                <w:rPr>
                  <w:color w:val="0000EE"/>
                  <w:u w:val="single"/>
                </w:rPr>
                <w:t>1.3.1 Info and Relationships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27">
              <w:r>
                <w:rPr>
                  <w:color w:val="0000EE"/>
                  <w:u w:val="single"/>
                </w:rPr>
                <w:t>1.3.2 Meaningful Sequence</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28">
              <w:r>
                <w:rPr>
                  <w:color w:val="0000EE"/>
                  <w:u w:val="single"/>
                </w:rPr>
                <w:t>1.3.3 Sensory Characteristics</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29">
              <w:r>
                <w:rPr>
                  <w:color w:val="0000EE"/>
                  <w:u w:val="single"/>
                </w:rPr>
                <w:t>1.4.1 Use of Color</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30">
              <w:r>
                <w:rPr>
                  <w:color w:val="0000EE"/>
                  <w:u w:val="single"/>
                </w:rPr>
                <w:t>1.4.2 Audio Control</w:t>
              </w:r>
            </w:hyperlink>
            <w:r>
              <w:rPr>
                <w:b/>
              </w:rPr>
              <w:t xml:space="preserve"> </w:t>
            </w:r>
            <w:r>
              <w:rPr>
                <w:b/>
              </w:rPr>
              <w:t>(Level A)</w:t>
            </w:r>
            <w:r>
              <w:rPr>
                <w:b/>
              </w:rPr>
              <w:t xml:space="preserve"> </w:t>
            </w:r>
            <w:hyperlink r:id="rId30">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31">
              <w:r>
                <w:rPr>
                  <w:color w:val="0000EE"/>
                  <w:u w:val="single"/>
                </w:rPr>
                <w:t>2.1.1 Keyboard</w:t>
              </w:r>
            </w:hyperlink>
            <w:r>
              <w:rPr>
                <w:b/>
              </w:rPr>
              <w:t xml:space="preserve"> </w:t>
            </w:r>
            <w:r>
              <w:rPr>
                <w:b/>
              </w:rPr>
              <w:t>(Level A)</w:t>
            </w:r>
            <w:r>
              <w:rPr>
                <w:b/>
              </w:rPr>
              <w:t xml:space="preserve"> </w:t>
            </w:r>
            <w:hyperlink r:id="rId31">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32">
              <w:r>
                <w:rPr>
                  <w:color w:val="0000EE"/>
                  <w:u w:val="single"/>
                </w:rPr>
                <w:t>2.1.2 No Keyboard Trap</w:t>
              </w:r>
            </w:hyperlink>
            <w:r>
              <w:rPr>
                <w:b/>
              </w:rPr>
              <w:t xml:space="preserve"> </w:t>
            </w:r>
            <w:r>
              <w:rPr>
                <w:b/>
              </w:rPr>
              <w:t>(Level A)</w:t>
            </w:r>
            <w:r>
              <w:rPr>
                <w:b/>
              </w:rPr>
              <w:t xml:space="preserve"> </w:t>
            </w:r>
            <w:hyperlink r:id="rId32">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33">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34">
              <w:r>
                <w:rPr>
                  <w:color w:val="0000EE"/>
                  <w:u w:val="single"/>
                </w:rPr>
                <w:t>2.2.1 Timing Adjustable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35">
              <w:r>
                <w:rPr>
                  <w:color w:val="0000EE"/>
                  <w:u w:val="single"/>
                </w:rPr>
                <w:t>2.2.2 Pause, Stop, Hide</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36">
              <w:r>
                <w:rPr>
                  <w:color w:val="0000EE"/>
                  <w:u w:val="single"/>
                </w:rPr>
                <w:t>2.3.1 Three Flashes or Below Threshold</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37">
              <w:r>
                <w:rPr>
                  <w:color w:val="0000EE"/>
                  <w:u w:val="single"/>
                </w:rPr>
                <w:t>2.4.1 Bypass Blocks</w:t>
              </w:r>
            </w:hyperlink>
            <w:r>
              <w:rPr>
                <w:b/>
              </w:rPr>
              <w:t xml:space="preserve"> </w:t>
            </w:r>
            <w:r>
              <w:rPr>
                <w:b/>
              </w:rPr>
              <w:t>(Level A)</w:t>
            </w:r>
            <w:r>
              <w:rPr>
                <w:b/>
              </w:rPr>
              <w:t xml:space="preserve"> </w:t>
            </w:r>
            <w:hyperlink r:id="rId37">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38">
              <w:r>
                <w:rPr>
                  <w:color w:val="0000EE"/>
                  <w:u w:val="single"/>
                </w:rPr>
                <w:t>2.4.2 Page Titled</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39">
              <w:r>
                <w:rPr>
                  <w:color w:val="0000EE"/>
                  <w:u w:val="single"/>
                </w:rPr>
                <w:t>2.4.3 Focus Order</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40">
              <w:r>
                <w:rPr>
                  <w:color w:val="0000EE"/>
                  <w:u w:val="single"/>
                </w:rPr>
                <w:t>2.4.4 Link Purpose (In Context)</w:t>
              </w:r>
            </w:hyperlink>
            <w:r>
              <w:rPr>
                <w:b/>
              </w:rPr>
              <w:t xml:space="preserve"> </w:t>
            </w:r>
            <w:r>
              <w:rPr>
                <w:b/>
              </w:rPr>
              <w:t>(Level A)</w:t>
            </w:r>
            <w:r>
              <w:rPr>
                <w:b/>
              </w:rPr>
              <w:t xml:space="preserve"> </w:t>
            </w:r>
            <w:hyperlink r:id="rId40">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41">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41">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42">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42">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43">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43">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44">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44">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45">
              <w:r>
                <w:rPr>
                  <w:color w:val="0000EE"/>
                  <w:u w:val="single"/>
                </w:rPr>
                <w:t>3.1.1 Language of Page</w:t>
              </w:r>
            </w:hyperlink>
            <w:r>
              <w:rPr>
                <w:b/>
              </w:rPr>
              <w:t xml:space="preserve"> </w:t>
            </w:r>
            <w:r>
              <w:rPr>
                <w:b/>
              </w:rPr>
              <w:t>(Level A)</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46">
              <w:r>
                <w:rPr>
                  <w:color w:val="0000EE"/>
                  <w:u w:val="single"/>
                </w:rPr>
                <w:t>3.2.1 On Focus</w:t>
              </w:r>
            </w:hyperlink>
            <w:r>
              <w:rPr>
                <w:b/>
              </w:rPr>
              <w:t xml:space="preserve"> </w:t>
            </w:r>
            <w:r>
              <w:rPr>
                <w:b/>
              </w:rPr>
              <w:t>(Level A)</w:t>
            </w:r>
            <w:r>
              <w:rPr>
                <w:b/>
              </w:rPr>
              <w:t xml:space="preserve"> </w:t>
            </w:r>
            <w:hyperlink r:id="rId4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7">
              <w:r>
                <w:rPr>
                  <w:color w:val="0000EE"/>
                  <w:u w:val="single"/>
                </w:rPr>
                <w:t>3.2.2 On Input</w:t>
              </w:r>
            </w:hyperlink>
            <w:r>
              <w:rPr>
                <w:b/>
              </w:rPr>
              <w:t xml:space="preserve"> </w:t>
            </w:r>
            <w:r>
              <w:rPr>
                <w:b/>
              </w:rPr>
              <w:t>(Level A)</w:t>
            </w:r>
            <w:r>
              <w:rPr>
                <w:b/>
              </w:rPr>
              <w:t xml:space="preserve"> </w:t>
            </w:r>
            <w:hyperlink r:id="rId47">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8">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48">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49">
              <w:r>
                <w:rPr>
                  <w:color w:val="0000EE"/>
                  <w:u w:val="single"/>
                </w:rPr>
                <w:t>3.3.1 Error Identification</w:t>
              </w:r>
            </w:hyperlink>
            <w:r>
              <w:rPr>
                <w:b/>
              </w:rPr>
              <w:t xml:space="preserve"> </w:t>
            </w:r>
            <w:r>
              <w:rPr>
                <w:b/>
              </w:rPr>
              <w:t>(Level A)</w:t>
            </w:r>
            <w:r>
              <w:rPr>
                <w:b/>
              </w:rPr>
              <w:t xml:space="preserve"> </w:t>
            </w:r>
            <w:hyperlink r:id="rId49">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50">
              <w:r>
                <w:rPr>
                  <w:color w:val="0000EE"/>
                  <w:u w:val="single"/>
                </w:rPr>
                <w:t>3.3.2 Labels or Instructions</w:t>
              </w:r>
            </w:hyperlink>
            <w:r>
              <w:rPr>
                <w:b/>
              </w:rPr>
              <w:t xml:space="preserve"> </w:t>
            </w:r>
            <w:r>
              <w:rPr>
                <w:b/>
              </w:rPr>
              <w:t>(Level A)</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51">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52">
              <w:r>
                <w:rPr>
                  <w:color w:val="0000EE"/>
                  <w:u w:val="single"/>
                </w:rPr>
                <w:t>4.1.2 Name, Role, Value</w:t>
              </w:r>
            </w:hyperlink>
            <w:r>
              <w:rPr>
                <w:b/>
              </w:rPr>
              <w:t xml:space="preserve"> </w:t>
            </w:r>
            <w:r>
              <w:rPr>
                <w:b/>
              </w:rPr>
              <w:t>(Level A)</w:t>
            </w:r>
            <w:r>
              <w:rPr>
                <w:b/>
              </w:rPr>
              <w:t xml:space="preserve"> </w:t>
            </w:r>
            <w:hyperlink r:id="rId52">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53">
              <w:r>
                <w:rPr>
                  <w:color w:val="0000EE"/>
                  <w:u w:val="single"/>
                </w:rPr>
                <w:t>1.2.4 Captions (Live)</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54">
              <w:r>
                <w:rPr>
                  <w:color w:val="0000EE"/>
                  <w:u w:val="single"/>
                </w:rPr>
                <w:t>1.2.5 Audio Description (Prerecorded)</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55">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55">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56">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57">
              <w:r>
                <w:rPr>
                  <w:color w:val="0000EE"/>
                  <w:u w:val="single"/>
                </w:rPr>
                <w:t>1.4.3 Contrast (Minimum)</w:t>
              </w:r>
            </w:hyperlink>
            <w:r>
              <w:rPr>
                <w:b/>
              </w:rPr>
              <w:t xml:space="preserve"> </w:t>
            </w:r>
            <w:r>
              <w:rPr>
                <w:b/>
              </w:rPr>
              <w:t>(Level AA)</w:t>
            </w:r>
            <w:r>
              <w:rPr>
                <w:b/>
              </w:rPr>
              <w:t xml:space="preserve"> </w:t>
            </w:r>
            <w:hyperlink r:id="rId57">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58">
              <w:r>
                <w:rPr>
                  <w:color w:val="0000EE"/>
                  <w:u w:val="single"/>
                </w:rPr>
                <w:t>1.4.4 Resize Text</w:t>
              </w:r>
            </w:hyperlink>
            <w:r>
              <w:rPr>
                <w:b/>
              </w:rPr>
              <w:t xml:space="preserve"> </w:t>
            </w:r>
            <w:r>
              <w:rPr>
                <w:b/>
              </w:rPr>
              <w:t>(Level AA)</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9">
              <w:r>
                <w:rPr>
                  <w:color w:val="0000EE"/>
                  <w:u w:val="single"/>
                </w:rPr>
                <w:t>1.4.5 Images of Text</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60">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60">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61">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61">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62">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63">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63">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64">
              <w:r>
                <w:rPr>
                  <w:color w:val="0000EE"/>
                  <w:u w:val="single"/>
                </w:rPr>
                <w:t>2.4.5 Multiple Ways</w:t>
              </w:r>
            </w:hyperlink>
            <w:r>
              <w:rPr>
                <w:b/>
              </w:rPr>
              <w:t xml:space="preserve"> </w:t>
            </w:r>
            <w:r>
              <w:rPr>
                <w:b/>
              </w:rPr>
              <w:t>(Level AA)</w:t>
            </w:r>
            <w:r>
              <w:rPr>
                <w:b/>
              </w:rPr>
              <w:t xml:space="preserve"> </w:t>
            </w:r>
            <w:hyperlink r:id="rId64">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65">
              <w:r>
                <w:rPr>
                  <w:color w:val="0000EE"/>
                  <w:u w:val="single"/>
                </w:rPr>
                <w:t>2.4.6 Headings and Labels</w:t>
              </w:r>
            </w:hyperlink>
            <w:r>
              <w:rPr>
                <w:b/>
              </w:rPr>
              <w:t xml:space="preserve"> </w:t>
            </w:r>
            <w:r>
              <w:rPr>
                <w:b/>
              </w:rPr>
              <w:t>(Level AA)</w:t>
            </w:r>
            <w:r>
              <w:rPr>
                <w:b/>
              </w:rPr>
              <w:t xml:space="preserve"> </w:t>
            </w:r>
            <w:hyperlink r:id="rId65">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66">
              <w:r>
                <w:rPr>
                  <w:color w:val="0000EE"/>
                  <w:u w:val="single"/>
                </w:rPr>
                <w:t>2.4.7 Focus Visible</w:t>
              </w:r>
            </w:hyperlink>
            <w:r>
              <w:rPr>
                <w:b/>
              </w:rPr>
              <w:t xml:space="preserve"> </w:t>
            </w:r>
            <w:r>
              <w:rPr>
                <w:b/>
              </w:rPr>
              <w:t>(Level AA)</w:t>
            </w:r>
            <w:r>
              <w:rPr>
                <w:b/>
              </w:rPr>
              <w:t xml:space="preserve"> </w:t>
            </w:r>
            <w:hyperlink r:id="rId66">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67">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67">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68">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68">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69">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69">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70">
              <w:r>
                <w:rPr>
                  <w:color w:val="0000EE"/>
                  <w:u w:val="single"/>
                </w:rPr>
                <w:t>3.1.2 Language of Parts</w:t>
              </w:r>
            </w:hyperlink>
            <w:r>
              <w:rPr>
                <w:b/>
              </w:rPr>
              <w:t xml:space="preserve"> </w:t>
            </w:r>
            <w:r>
              <w:rPr>
                <w:b/>
              </w:rPr>
              <w:t>(Level AA)</w:t>
            </w:r>
            <w:r>
              <w:rPr>
                <w:b/>
              </w:rPr>
              <w:t xml:space="preserve"> </w:t>
            </w:r>
            <w:hyperlink r:id="rId70">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71">
              <w:r>
                <w:rPr>
                  <w:color w:val="0000EE"/>
                  <w:u w:val="single"/>
                </w:rPr>
                <w:t>3.2.3 Consistent Navigation</w:t>
              </w:r>
            </w:hyperlink>
            <w:r>
              <w:rPr>
                <w:b/>
              </w:rPr>
              <w:t xml:space="preserve"> </w:t>
            </w:r>
            <w:r>
              <w:rPr>
                <w:b/>
              </w:rPr>
              <w:t>(Level AA)</w:t>
            </w:r>
            <w:r>
              <w:rPr>
                <w:b/>
              </w:rPr>
              <w:t xml:space="preserve"> </w:t>
            </w:r>
            <w:hyperlink r:id="rId7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2">
              <w:r>
                <w:rPr>
                  <w:color w:val="0000EE"/>
                  <w:u w:val="single"/>
                </w:rPr>
                <w:t>3.2.4 Consistent Identification</w:t>
              </w:r>
            </w:hyperlink>
            <w:r>
              <w:rPr>
                <w:b/>
              </w:rPr>
              <w:t xml:space="preserve"> </w:t>
            </w:r>
            <w:r>
              <w:rPr>
                <w:b/>
              </w:rPr>
              <w:t>(Level AA)</w:t>
            </w:r>
            <w:r>
              <w:rPr>
                <w:b/>
              </w:rPr>
              <w:t xml:space="preserve"> </w:t>
            </w:r>
            <w:hyperlink r:id="rId72">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3">
              <w:r>
                <w:rPr>
                  <w:color w:val="0000EE"/>
                  <w:u w:val="single"/>
                </w:rPr>
                <w:t>3.3.3 Error Suggestion</w:t>
              </w:r>
            </w:hyperlink>
            <w:r>
              <w:rPr>
                <w:b/>
              </w:rPr>
              <w:t xml:space="preserve"> </w:t>
            </w:r>
            <w:r>
              <w:rPr>
                <w:b/>
              </w:rPr>
              <w:t>(Level AA)</w:t>
            </w:r>
            <w:r>
              <w:rPr>
                <w:b/>
              </w:rPr>
              <w:t xml:space="preserve"> </w:t>
            </w:r>
            <w:hyperlink r:id="rId73">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74">
              <w:r>
                <w:rPr>
                  <w:color w:val="0000EE"/>
                  <w:u w:val="single"/>
                </w:rPr>
                <w:t>3.3.4 Error Prevention (Legal, Financial, Data)</w:t>
              </w:r>
            </w:hyperlink>
            <w:r>
              <w:rPr>
                <w:b/>
              </w:rPr>
              <w:t xml:space="preserve"> </w:t>
            </w:r>
            <w:r>
              <w:rPr>
                <w:b/>
              </w:rPr>
              <w:t>(Level AA)</w:t>
            </w:r>
            <w:r>
              <w:rPr>
                <w:b/>
              </w:rPr>
              <w:t xml:space="preserve"> </w:t>
            </w:r>
            <w:hyperlink r:id="rId74">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75">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75">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76">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76">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pPr>
        <w:pStyle w:val="Heading2"/>
      </w:pPr>
      <w:r>
        <w:t>Vendor Roadmap</w:t>
      </w:r>
    </w:p>
    <w:p>
      <w:r/>
      <w:r>
        <w:t xml:space="preserve">The California State University requires that the information and communication technology it acquires conform to </w:t>
      </w:r>
      <w:r>
        <w:rPr>
          <w:b/>
        </w:rPr>
        <w:t>WCAG 2.1 Level AA</w:t>
      </w:r>
      <w:r>
        <w:t xml:space="preserve">. This product does not currently meet that standard. Continued failure to meet it </w:t>
      </w:r>
      <w:r>
        <w:rPr>
          <w:i/>
        </w:rPr>
        <w:t>may</w:t>
      </w:r>
      <w:r>
        <w:t xml:space="preserve"> jeopardize future acquisitions. </w:t>
      </w:r>
      <w:r>
        <w:rPr>
          <w:b/>
        </w:rPr>
        <w:t>The following fixes should be implemented to meet the WCAG 2.1 AA standard.</w:t>
      </w:r>
    </w:p>
    <w:p>
      <w:pPr>
        <w:pStyle w:val="Heading3"/>
      </w:pPr>
      <w:r>
        <w:t>Needs Immediate Attention</w:t>
      </w:r>
    </w:p>
    <w:p>
      <w:r/>
      <w:r>
        <w:t>Level A criteria the product does not meet. Level A is the floor of the standard, and these are the failures that most often stop a person completing a task rather than merely slowing them down.</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1.3.1 Info and Relationships</w:t>
            </w:r>
          </w:p>
        </w:tc>
        <w:tc>
          <w:tcPr>
            <w:tcW w:type="dxa" w:w="2556"/>
          </w:tcPr>
          <w:p>
            <w:r>
              <w:t>Level A</w:t>
            </w:r>
          </w:p>
        </w:tc>
        <w:tc>
          <w:tcPr>
            <w:tcW w:type="dxa" w:w="2556"/>
          </w:tcPr>
          <w:p>
            <w:r>
              <w:t>14</w:t>
            </w:r>
          </w:p>
        </w:tc>
        <w:tc>
          <w:tcPr>
            <w:tcW w:type="dxa" w:w="2556"/>
          </w:tcPr>
          <w:p>
            <w:r>
              <w:t xml:space="preserve">Publish a real heading outline and a </w:t>
            </w:r>
            <w:r>
              <w:rPr>
                <w:rFonts w:ascii="Courier" w:hAnsi="Courier"/>
              </w:rPr>
              <w:t>main</w:t>
            </w:r>
            <w:r>
              <w:t xml:space="preserve"> landmark on every page — the solutions page already does, with a heading per problem. Give each data grid a caption that names it and real column headers. Associate every field with its visible caption. Replace the nested layout tables with CSS layout so spacer cells stop being announced as content, and expose an assignment's due date and duration as text, not only as a coloured bar. </w:t>
            </w:r>
            <w:r>
              <w:t>Product-wide</w:t>
            </w:r>
          </w:p>
        </w:tc>
      </w:tr>
      <w:tr>
        <w:tc>
          <w:tcPr>
            <w:tcW w:type="dxa" w:w="2556"/>
          </w:tcPr>
          <w:p>
            <w:r>
              <w:rPr>
                <w:b/>
              </w:rPr>
              <w:t>1.4.1 Use of Color</w:t>
            </w:r>
          </w:p>
        </w:tc>
        <w:tc>
          <w:tcPr>
            <w:tcW w:type="dxa" w:w="2556"/>
          </w:tcPr>
          <w:p>
            <w:r>
              <w:t>Level A</w:t>
            </w:r>
          </w:p>
        </w:tc>
        <w:tc>
          <w:tcPr>
            <w:tcW w:type="dxa" w:w="2556"/>
          </w:tcPr>
          <w:p>
            <w:r>
              <w:t>1</w:t>
            </w:r>
          </w:p>
        </w:tc>
        <w:tc>
          <w:tcPr>
            <w:tcW w:type="dxa" w:w="2556"/>
          </w:tcPr>
          <w:p>
            <w:r>
              <w:t xml:space="preserve">Add a second, non-colour cue wherever colour carries meaning: a symbol, an underline or a weight change for randomised values, hint and deduction costs, calendar events and late submission dates. The problem-navigator status marks already pair a symbol with their colour and are the pattern to copy. </w:t>
            </w:r>
            <w:r>
              <w:t>Product-wide</w:t>
            </w:r>
          </w:p>
        </w:tc>
      </w:tr>
      <w:tr>
        <w:tc>
          <w:tcPr>
            <w:tcW w:type="dxa" w:w="2556"/>
          </w:tcPr>
          <w:p>
            <w:r>
              <w:rPr>
                <w:b/>
              </w:rPr>
              <w:t>2.4.1 Bypass Blocks</w:t>
            </w:r>
          </w:p>
        </w:tc>
        <w:tc>
          <w:tcPr>
            <w:tcW w:type="dxa" w:w="2556"/>
          </w:tcPr>
          <w:p>
            <w:r>
              <w:t>Level A</w:t>
            </w:r>
          </w:p>
        </w:tc>
        <w:tc>
          <w:tcPr>
            <w:tcW w:type="dxa" w:w="2556"/>
          </w:tcPr>
          <w:p>
            <w:r>
              <w:t>1</w:t>
            </w:r>
          </w:p>
        </w:tc>
        <w:tc>
          <w:tcPr>
            <w:tcW w:type="dxa" w:w="2556"/>
          </w:tcPr>
          <w:p>
            <w:r>
              <w:t xml:space="preserve">Provide a bypass that works: headings and landmarks on every page, and a skip link that actually moves focus to the main content. The hidden jump-point mechanism does not substitute — it answers "no shortcuts" on the page a student lands on, and its controls have no names. </w:t>
            </w:r>
            <w:r>
              <w:t>Class Management — Accessibility Mode, Class Management (standard mode)</w:t>
            </w:r>
          </w:p>
        </w:tc>
      </w:tr>
      <w:tr>
        <w:tc>
          <w:tcPr>
            <w:tcW w:type="dxa" w:w="2556"/>
          </w:tcPr>
          <w:p>
            <w:r>
              <w:rPr>
                <w:b/>
              </w:rPr>
              <w:t>4.1.2 Name, Role, Value</w:t>
            </w:r>
          </w:p>
        </w:tc>
        <w:tc>
          <w:tcPr>
            <w:tcW w:type="dxa" w:w="2556"/>
          </w:tcPr>
          <w:p>
            <w:r>
              <w:t>Level A</w:t>
            </w:r>
          </w:p>
        </w:tc>
        <w:tc>
          <w:tcPr>
            <w:tcW w:type="dxa" w:w="2556"/>
          </w:tcPr>
          <w:p>
            <w:r>
              <w:t>18</w:t>
            </w:r>
          </w:p>
        </w:tc>
        <w:tc>
          <w:tcPr>
            <w:tcW w:type="dxa" w:w="2556"/>
          </w:tcPr>
          <w:p>
            <w:r>
              <w:t xml:space="preserve">Rebuild the elements that carry behaviour as the controls they pretend to be. Row action menus, expand toggles, problem checkboxes, calendar events, jump points and the grade-profile control are </w:t>
            </w:r>
            <w:r>
              <w:rPr>
                <w:rFonts w:ascii="Courier" w:hAnsi="Courier"/>
              </w:rPr>
              <w:t>div</w:t>
            </w:r>
            <w:r>
              <w:t xml:space="preserve"> , </w:t>
            </w:r>
            <w:r>
              <w:rPr>
                <w:rFonts w:ascii="Courier" w:hAnsi="Courier"/>
              </w:rPr>
              <w:t>span</w:t>
            </w:r>
            <w:r>
              <w:t xml:space="preserve"> , </w:t>
            </w:r>
            <w:r>
              <w:rPr>
                <w:rFonts w:ascii="Courier" w:hAnsi="Courier"/>
              </w:rPr>
              <w:t>img</w:t>
            </w:r>
            <w:r>
              <w:t xml:space="preserve"> and </w:t>
            </w:r>
            <w:r>
              <w:rPr>
                <w:rFonts w:ascii="Courier" w:hAnsi="Courier"/>
              </w:rPr>
              <w:t>a</w:t>
            </w:r>
            <w:r>
              <w:t xml:space="preserve"> elements with click handlers, no role, no name and no tab position. Native buttons, links and inputs give them all three at once, which is why this single change clears more failures than any other in this report. </w:t>
            </w:r>
            <w:r>
              <w:t>Product-wide</w:t>
            </w:r>
          </w:p>
        </w:tc>
      </w:tr>
    </w:tbl>
    <w:p>
      <w:pPr>
        <w:pStyle w:val="Heading3"/>
      </w:pPr>
      <w:r>
        <w:t>Should be Prioritized</w:t>
      </w:r>
    </w:p>
    <w:p>
      <w:r/>
      <w:r>
        <w:t>Level A criteria the product meets only in part. The functionality exists and works in places, so the remaining work is narrower than above, but it is still at the floor of the standard.</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1.1.1 Non-text Content</w:t>
            </w:r>
          </w:p>
        </w:tc>
        <w:tc>
          <w:tcPr>
            <w:tcW w:type="dxa" w:w="2556"/>
          </w:tcPr>
          <w:p>
            <w:r>
              <w:t>Level A</w:t>
            </w:r>
          </w:p>
        </w:tc>
        <w:tc>
          <w:tcPr>
            <w:tcW w:type="dxa" w:w="2556"/>
          </w:tcPr>
          <w:p>
            <w:r>
              <w:t>7</w:t>
            </w:r>
          </w:p>
        </w:tc>
        <w:tc>
          <w:tcPr>
            <w:tcW w:type="dxa" w:w="2556"/>
          </w:tcPr>
          <w:p>
            <w:r>
              <w:t xml:space="preserve">Give every informative image an </w:t>
            </w:r>
            <w:r>
              <w:rPr>
                <w:rFonts w:ascii="Courier" w:hAnsi="Courier"/>
              </w:rPr>
              <w:t>alt</w:t>
            </w:r>
            <w:r>
              <w:t xml:space="preserve"> attribute describing what it conveys, and mark decorative images </w:t>
            </w:r>
            <w:r>
              <w:rPr>
                <w:rFonts w:ascii="Courier" w:hAnsi="Courier"/>
              </w:rPr>
              <w:t>alt=""</w:t>
            </w:r>
            <w:r>
              <w:t xml:space="preserve"> . Three causes need separate fixes: alternative text on the solutions figures was swallowed into the </w:t>
            </w:r>
            <w:r>
              <w:rPr>
                <w:rFonts w:ascii="Courier" w:hAnsi="Courier"/>
              </w:rPr>
              <w:t>src</w:t>
            </w:r>
            <w:r>
              <w:t xml:space="preserve"> by a missing quote; two printable figures are CSS backgrounds and must become </w:t>
            </w:r>
            <w:r>
              <w:rPr>
                <w:rFonts w:ascii="Courier" w:hAnsi="Courier"/>
              </w:rPr>
              <w:t>&lt;img&gt;</w:t>
            </w:r>
            <w:r>
              <w:t xml:space="preserve"> before they can carry text; the mathematics is exposed as unnamed buttons. Four printable figures already carry good descriptions. </w:t>
            </w:r>
            <w:r>
              <w:t>Product-wide</w:t>
            </w:r>
          </w:p>
        </w:tc>
      </w:tr>
      <w:tr>
        <w:tc>
          <w:tcPr>
            <w:tcW w:type="dxa" w:w="2556"/>
          </w:tcPr>
          <w:p>
            <w:r>
              <w:rPr>
                <w:b/>
              </w:rPr>
              <w:t>1.2.2 Captions (Prerecorded)</w:t>
            </w:r>
          </w:p>
        </w:tc>
        <w:tc>
          <w:tcPr>
            <w:tcW w:type="dxa" w:w="2556"/>
          </w:tcPr>
          <w:p>
            <w:r>
              <w:t>Level A</w:t>
            </w:r>
          </w:p>
        </w:tc>
        <w:tc>
          <w:tcPr>
            <w:tcW w:type="dxa" w:w="2556"/>
          </w:tcPr>
          <w:p>
            <w:r>
              <w:t>1</w:t>
            </w:r>
          </w:p>
        </w:tc>
        <w:tc>
          <w:tcPr>
            <w:tcW w:type="dxa" w:w="2556"/>
          </w:tcPr>
          <w:p>
            <w:r>
              <w:t xml:space="preserve">Review and correct the automatically generated captions on the library videos before publishing them, or supply a prepared caption track. Automatic captions are a starting point, not a caption. </w:t>
            </w:r>
            <w:r>
              <w:t>Assignment Editor (edit)</w:t>
            </w:r>
          </w:p>
        </w:tc>
      </w:tr>
      <w:tr>
        <w:tc>
          <w:tcPr>
            <w:tcW w:type="dxa" w:w="2556"/>
          </w:tcPr>
          <w:p>
            <w:r>
              <w:rPr>
                <w:b/>
              </w:rPr>
              <w:t>2.1.1 Keyboard</w:t>
            </w:r>
          </w:p>
        </w:tc>
        <w:tc>
          <w:tcPr>
            <w:tcW w:type="dxa" w:w="2556"/>
          </w:tcPr>
          <w:p>
            <w:r>
              <w:t>Level A</w:t>
            </w:r>
          </w:p>
        </w:tc>
        <w:tc>
          <w:tcPr>
            <w:tcW w:type="dxa" w:w="2556"/>
          </w:tcPr>
          <w:p>
            <w:r>
              <w:t>4</w:t>
            </w:r>
          </w:p>
        </w:tc>
        <w:tc>
          <w:tcPr>
            <w:tcW w:type="dxa" w:w="2556"/>
          </w:tcPr>
          <w:p>
            <w:r>
              <w:t xml:space="preserve">Make every interactive element reachable and operable from the keyboard: the assignment row's action menu, the grade-profile control, the calendar grid and its events, and the practice area's selects, checkboxes and expanders. Rebuilding them as native controls resolves this criterion and 4.1.2 together. The Accessibility Mode page shows the working pattern for the row actions — fold it into the standard page rather than maintaining two. </w:t>
            </w:r>
            <w:r>
              <w:t>Class Management (standard mode), Student Practice Area, Calendar</w:t>
            </w:r>
          </w:p>
        </w:tc>
      </w:tr>
      <w:tr>
        <w:tc>
          <w:tcPr>
            <w:tcW w:type="dxa" w:w="2556"/>
          </w:tcPr>
          <w:p>
            <w:r>
              <w:rPr>
                <w:b/>
              </w:rPr>
              <w:t>2.4.3 Focus Order</w:t>
            </w:r>
          </w:p>
        </w:tc>
        <w:tc>
          <w:tcPr>
            <w:tcW w:type="dxa" w:w="2556"/>
          </w:tcPr>
          <w:p>
            <w:r>
              <w:t>Level A</w:t>
            </w:r>
          </w:p>
        </w:tc>
        <w:tc>
          <w:tcPr>
            <w:tcW w:type="dxa" w:w="2556"/>
          </w:tcPr>
          <w:p>
            <w:r>
              <w:t>5</w:t>
            </w:r>
          </w:p>
        </w:tc>
        <w:tc>
          <w:tcPr>
            <w:tcW w:type="dxa" w:w="2556"/>
          </w:tcPr>
          <w:p>
            <w:r>
              <w:t xml:space="preserve">Move focus deliberately at every change: into a problem when it is activated, into a dialog when it opens and back to the control that opened it when it closes, and to a hint when one is inserted. Keep the jump-point controls in the natural tab sequence or remove them. </w:t>
            </w:r>
            <w:r>
              <w:t>Take Assignment, Calendar, Class Management — Accessibility Mode, Class Management (standard mode)</w:t>
            </w:r>
          </w:p>
        </w:tc>
      </w:tr>
      <w:tr>
        <w:tc>
          <w:tcPr>
            <w:tcW w:type="dxa" w:w="2556"/>
          </w:tcPr>
          <w:p>
            <w:r>
              <w:rPr>
                <w:b/>
              </w:rPr>
              <w:t>2.4.4 Link Purpose (In Context)</w:t>
            </w:r>
          </w:p>
        </w:tc>
        <w:tc>
          <w:tcPr>
            <w:tcW w:type="dxa" w:w="2556"/>
          </w:tcPr>
          <w:p>
            <w:r>
              <w:t>Level A</w:t>
            </w:r>
          </w:p>
        </w:tc>
        <w:tc>
          <w:tcPr>
            <w:tcW w:type="dxa" w:w="2556"/>
          </w:tcPr>
          <w:p>
            <w:r>
              <w:t>3</w:t>
            </w:r>
          </w:p>
        </w:tc>
        <w:tc>
          <w:tcPr>
            <w:tcW w:type="dxa" w:w="2556"/>
          </w:tcPr>
          <w:p>
            <w:r>
              <w:t xml:space="preserve">Give every link text that names where it goes. Replace the punctuation-only help links with words, give the logo link an accessible name, and reword the skip controls so they say what they skip to rather than which key to press. </w:t>
            </w:r>
            <w:r>
              <w:t>Class Management — Accessibility Mode, View Grade Report, Sign in, Password reset</w:t>
            </w:r>
          </w:p>
        </w:tc>
      </w:tr>
      <w:tr>
        <w:tc>
          <w:tcPr>
            <w:tcW w:type="dxa" w:w="2556"/>
          </w:tcPr>
          <w:p>
            <w:r>
              <w:rPr>
                <w:b/>
              </w:rPr>
              <w:t>2.5.3 Label in Name</w:t>
            </w:r>
          </w:p>
        </w:tc>
        <w:tc>
          <w:tcPr>
            <w:tcW w:type="dxa" w:w="2556"/>
          </w:tcPr>
          <w:p>
            <w:r>
              <w:t>Level A</w:t>
            </w:r>
          </w:p>
        </w:tc>
        <w:tc>
          <w:tcPr>
            <w:tcW w:type="dxa" w:w="2556"/>
          </w:tcPr>
          <w:p>
            <w:r>
              <w:t>1</w:t>
            </w:r>
          </w:p>
        </w:tc>
        <w:tc>
          <w:tcPr>
            <w:tcW w:type="dxa" w:w="2556"/>
          </w:tcPr>
          <w:p>
            <w:r>
              <w:t xml:space="preserve">Make each control's accessible name begin with its visible caption. Move the instruction sentence on the class selection controls into a description and use "Classes" and "Class Menu" as the names, so that speech input can address them by what the user sees. </w:t>
            </w:r>
            <w:r>
              <w:t>Class Management — Accessibility Mode</w:t>
            </w:r>
          </w:p>
        </w:tc>
      </w:tr>
      <w:tr>
        <w:tc>
          <w:tcPr>
            <w:tcW w:type="dxa" w:w="2556"/>
          </w:tcPr>
          <w:p>
            <w:r>
              <w:rPr>
                <w:b/>
              </w:rPr>
              <w:t>3.1.1 Language of Page</w:t>
            </w:r>
          </w:p>
        </w:tc>
        <w:tc>
          <w:tcPr>
            <w:tcW w:type="dxa" w:w="2556"/>
          </w:tcPr>
          <w:p>
            <w:r>
              <w:t>Level A</w:t>
            </w:r>
          </w:p>
        </w:tc>
        <w:tc>
          <w:tcPr>
            <w:tcW w:type="dxa" w:w="2556"/>
          </w:tcPr>
          <w:p>
            <w:r>
              <w:t>1</w:t>
            </w:r>
          </w:p>
        </w:tc>
        <w:tc>
          <w:tcPr>
            <w:tcW w:type="dxa" w:w="2556"/>
          </w:tcPr>
          <w:p>
            <w:r>
              <w:t xml:space="preserve">Add a </w:t>
            </w:r>
            <w:r>
              <w:rPr>
                <w:rFonts w:ascii="Courier" w:hAnsi="Courier"/>
              </w:rPr>
              <w:t>lang</w:t>
            </w:r>
            <w:r>
              <w:t xml:space="preserve"> attribute to the </w:t>
            </w:r>
            <w:r>
              <w:rPr>
                <w:rFonts w:ascii="Courier" w:hAnsi="Courier"/>
              </w:rPr>
              <w:t>html</w:t>
            </w:r>
            <w:r>
              <w:t xml:space="preserve"> element of the four pages that lack one. </w:t>
            </w:r>
            <w:r>
              <w:t>Take Assignment, Sign in, Edit Class popup, Password reset</w:t>
            </w:r>
          </w:p>
        </w:tc>
      </w:tr>
      <w:tr>
        <w:tc>
          <w:tcPr>
            <w:tcW w:type="dxa" w:w="2556"/>
          </w:tcPr>
          <w:p>
            <w:r>
              <w:rPr>
                <w:b/>
              </w:rPr>
              <w:t>3.3.1 Error Identification</w:t>
            </w:r>
          </w:p>
        </w:tc>
        <w:tc>
          <w:tcPr>
            <w:tcW w:type="dxa" w:w="2556"/>
          </w:tcPr>
          <w:p>
            <w:r>
              <w:t>Level A</w:t>
            </w:r>
          </w:p>
        </w:tc>
        <w:tc>
          <w:tcPr>
            <w:tcW w:type="dxa" w:w="2556"/>
          </w:tcPr>
          <w:p>
            <w:r>
              <w:t>—</w:t>
            </w:r>
          </w:p>
        </w:tc>
        <w:tc>
          <w:tcPr>
            <w:tcW w:type="dxa" w:w="2556"/>
          </w:tcPr>
          <w:p>
            <w:r>
              <w:t xml:space="preserve">Mark the element that reports an error as a live region so it is announced without depending on a full page reload, and expose the required-field indicator to assistive technology rather than hiding it visually. </w:t>
            </w:r>
            <w:r>
              <w:t>Product-wide</w:t>
            </w:r>
          </w:p>
        </w:tc>
      </w:tr>
      <w:tr>
        <w:tc>
          <w:tcPr>
            <w:tcW w:type="dxa" w:w="2556"/>
          </w:tcPr>
          <w:p>
            <w:r>
              <w:rPr>
                <w:b/>
              </w:rPr>
              <w:t>3.3.2 Labels or Instructions</w:t>
            </w:r>
          </w:p>
        </w:tc>
        <w:tc>
          <w:tcPr>
            <w:tcW w:type="dxa" w:w="2556"/>
          </w:tcPr>
          <w:p>
            <w:r>
              <w:t>Level A</w:t>
            </w:r>
          </w:p>
        </w:tc>
        <w:tc>
          <w:tcPr>
            <w:tcW w:type="dxa" w:w="2556"/>
          </w:tcPr>
          <w:p>
            <w:r>
              <w:t>4</w:t>
            </w:r>
          </w:p>
        </w:tc>
        <w:tc>
          <w:tcPr>
            <w:tcW w:type="dxa" w:w="2556"/>
          </w:tcPr>
          <w:p>
            <w:r>
              <w:t xml:space="preserve">Associate every field with its visible caption using </w:t>
            </w:r>
            <w:r>
              <w:rPr>
                <w:rFonts w:ascii="Courier" w:hAnsi="Courier"/>
              </w:rPr>
              <w:t>label for</w:t>
            </w:r>
            <w:r>
              <w:t xml:space="preserve"> or </w:t>
            </w:r>
            <w:r>
              <w:rPr>
                <w:rFonts w:ascii="Courier" w:hAnsi="Courier"/>
              </w:rPr>
              <w:t>aria-labelledby</w:t>
            </w:r>
            <w:r>
              <w:t xml:space="preserve"> . The sign-in page already does this correctly one click from the password reset page, which does not — copy it. Give the answer entry area a real form control, and label the event detail fields. </w:t>
            </w:r>
            <w:r>
              <w:t>Take Assignment, Password reset, Calendar, Edit Class popup</w:t>
            </w:r>
          </w:p>
        </w:tc>
      </w:tr>
    </w:tbl>
    <w:p>
      <w:pPr>
        <w:pStyle w:val="Heading3"/>
      </w:pPr>
      <w:r>
        <w:t>For Full Compliance</w:t>
      </w:r>
    </w:p>
    <w:p>
      <w:r/>
      <w:r>
        <w:t>Level AA criteria the product does not meet. Level AA is the conformance target for the sector; these remain outstanding once the Level A work is done.</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1.4.10 Reflow</w:t>
            </w:r>
          </w:p>
        </w:tc>
        <w:tc>
          <w:tcPr>
            <w:tcW w:type="dxa" w:w="2556"/>
          </w:tcPr>
          <w:p>
            <w:r>
              <w:t>Level AA</w:t>
            </w:r>
          </w:p>
        </w:tc>
        <w:tc>
          <w:tcPr>
            <w:tcW w:type="dxa" w:w="2556"/>
          </w:tcPr>
          <w:p>
            <w:r>
              <w:t>2</w:t>
            </w:r>
          </w:p>
        </w:tc>
        <w:tc>
          <w:tcPr>
            <w:tcW w:type="dxa" w:w="2556"/>
          </w:tcPr>
          <w:p>
            <w:r>
              <w:t xml:space="preserve">Replace the fixed 1300-pixel container with a layout that reflows to 320 CSS pixels without horizontal scrolling, and let the page behind a modal scroll so its fields and buttons stay reachable above 175 per cent zoom. </w:t>
            </w:r>
            <w:r>
              <w:t>Product-wide</w:t>
            </w:r>
          </w:p>
        </w:tc>
      </w:tr>
      <w:tr>
        <w:tc>
          <w:tcPr>
            <w:tcW w:type="dxa" w:w="2556"/>
          </w:tcPr>
          <w:p>
            <w:r>
              <w:rPr>
                <w:b/>
              </w:rPr>
              <w:t>2.4.5 Multiple Ways</w:t>
            </w:r>
          </w:p>
        </w:tc>
        <w:tc>
          <w:tcPr>
            <w:tcW w:type="dxa" w:w="2556"/>
          </w:tcPr>
          <w:p>
            <w:r>
              <w:t>Level AA</w:t>
            </w:r>
          </w:p>
        </w:tc>
        <w:tc>
          <w:tcPr>
            <w:tcW w:type="dxa" w:w="2556"/>
          </w:tcPr>
          <w:p>
            <w:r>
              <w:t>—</w:t>
            </w:r>
          </w:p>
        </w:tc>
        <w:tc>
          <w:tcPr>
            <w:tcW w:type="dxa" w:w="2556"/>
          </w:tcPr>
          <w:p>
            <w:r>
              <w:t xml:space="preserve">Provide a second route to each page — a search, a site map or an index — so that the grade report, the solutions, the calendar and the practice area can be reached without walking the assignments table. </w:t>
            </w:r>
            <w:r>
              <w:t>Product-wide</w:t>
            </w:r>
          </w:p>
        </w:tc>
      </w:tr>
      <w:tr>
        <w:tc>
          <w:tcPr>
            <w:tcW w:type="dxa" w:w="2556"/>
          </w:tcPr>
          <w:p>
            <w:r>
              <w:rPr>
                <w:b/>
              </w:rPr>
              <w:t>3.3.4 Error Prevention (Legal, Financial, Data)</w:t>
            </w:r>
          </w:p>
        </w:tc>
        <w:tc>
          <w:tcPr>
            <w:tcW w:type="dxa" w:w="2556"/>
          </w:tcPr>
          <w:p>
            <w:r>
              <w:t>Level AA</w:t>
            </w:r>
          </w:p>
        </w:tc>
        <w:tc>
          <w:tcPr>
            <w:tcW w:type="dxa" w:w="2556"/>
          </w:tcPr>
          <w:p>
            <w:r>
              <w:t>1</w:t>
            </w:r>
          </w:p>
        </w:tc>
        <w:tc>
          <w:tcPr>
            <w:tcW w:type="dxa" w:w="2556"/>
          </w:tcPr>
          <w:p>
            <w:r>
              <w:t xml:space="preserve">Confirm before any action that changes a student's score. Submit and Feedback act irreversibly on a single activation; "I give up" already asks first and shows the pattern to apply to the other two. </w:t>
            </w:r>
            <w:r>
              <w:t>Take Assignment</w:t>
            </w:r>
          </w:p>
        </w:tc>
      </w:tr>
    </w:tbl>
    <w:p>
      <w:r/>
    </w:p>
    <w:p>
      <w:r/>
      <w:r>
        <w:t>Source database hash a3b887701901c4da.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report-information" TargetMode="External"/><Relationship Id="rId11" Type="http://schemas.openxmlformats.org/officeDocument/2006/relationships/hyperlink" Target="#applicable-standards-guidelines" TargetMode="External"/><Relationship Id="rId12" Type="http://schemas.openxmlformats.org/officeDocument/2006/relationships/hyperlink" Target="#terms" TargetMode="External"/><Relationship Id="rId13" Type="http://schemas.openxmlformats.org/officeDocument/2006/relationships/hyperlink" Target="#wcag-2-2-report" TargetMode="External"/><Relationship Id="rId14" Type="http://schemas.openxmlformats.org/officeDocument/2006/relationships/hyperlink" Target="#table-1-success-criteria-level-a" TargetMode="External"/><Relationship Id="rId15" Type="http://schemas.openxmlformats.org/officeDocument/2006/relationships/hyperlink" Target="#table-2-success-criteria-level-aa" TargetMode="External"/><Relationship Id="rId16" Type="http://schemas.openxmlformats.org/officeDocument/2006/relationships/hyperlink" Target="#revised-section-508-chapter-3-functional-performance-criteria" TargetMode="External"/><Relationship Id="rId17" Type="http://schemas.openxmlformats.org/officeDocument/2006/relationships/hyperlink" Target="#vendor-roadmap" TargetMode="External"/><Relationship Id="rId18" Type="http://schemas.openxmlformats.org/officeDocument/2006/relationships/hyperlink" Target="#needs-immediate-attention" TargetMode="External"/><Relationship Id="rId19" Type="http://schemas.openxmlformats.org/officeDocument/2006/relationships/hyperlink" Target="#should-be-prioritized" TargetMode="External"/><Relationship Id="rId20" Type="http://schemas.openxmlformats.org/officeDocument/2006/relationships/hyperlink" Target="#for-full-compliance" TargetMode="External"/><Relationship Id="rId21" Type="http://schemas.openxmlformats.org/officeDocument/2006/relationships/hyperlink" Target="mailto:fontaine@sfsu.edu" TargetMode="External"/><Relationship Id="rId22" Type="http://schemas.openxmlformats.org/officeDocument/2006/relationships/hyperlink" Target="https://www.w3.org/WAI/WCAG22/Understanding/non-text-content.html" TargetMode="External"/><Relationship Id="rId23" Type="http://schemas.openxmlformats.org/officeDocument/2006/relationships/hyperlink" Target="https://www.w3.org/WAI/WCAG22/Understanding/audio-only-and-video-only-prerecorded.html" TargetMode="External"/><Relationship Id="rId24" Type="http://schemas.openxmlformats.org/officeDocument/2006/relationships/hyperlink" Target="https://www.w3.org/WAI/WCAG22/Understanding/captions-prerecorded.html" TargetMode="External"/><Relationship Id="rId25" Type="http://schemas.openxmlformats.org/officeDocument/2006/relationships/hyperlink" Target="https://www.w3.org/WAI/WCAG22/Understanding/audio-description-or-media-alternative-prerecorded.html" TargetMode="External"/><Relationship Id="rId26" Type="http://schemas.openxmlformats.org/officeDocument/2006/relationships/hyperlink" Target="https://www.w3.org/WAI/WCAG22/Understanding/info-and-relationships.html" TargetMode="External"/><Relationship Id="rId27" Type="http://schemas.openxmlformats.org/officeDocument/2006/relationships/hyperlink" Target="https://www.w3.org/WAI/WCAG22/Understanding/meaningful-sequence.html" TargetMode="External"/><Relationship Id="rId28" Type="http://schemas.openxmlformats.org/officeDocument/2006/relationships/hyperlink" Target="https://www.w3.org/WAI/WCAG22/Understanding/sensory-characteristics.html" TargetMode="External"/><Relationship Id="rId29" Type="http://schemas.openxmlformats.org/officeDocument/2006/relationships/hyperlink" Target="https://www.w3.org/WAI/WCAG22/Understanding/use-of-color.html" TargetMode="External"/><Relationship Id="rId30" Type="http://schemas.openxmlformats.org/officeDocument/2006/relationships/hyperlink" Target="https://www.w3.org/WAI/WCAG22/Understanding/audio-control.html" TargetMode="External"/><Relationship Id="rId31" Type="http://schemas.openxmlformats.org/officeDocument/2006/relationships/hyperlink" Target="https://www.w3.org/WAI/WCAG22/Understanding/keyboard.html" TargetMode="External"/><Relationship Id="rId32" Type="http://schemas.openxmlformats.org/officeDocument/2006/relationships/hyperlink" Target="https://www.w3.org/WAI/WCAG22/Understanding/no-keyboard-trap.html" TargetMode="External"/><Relationship Id="rId33" Type="http://schemas.openxmlformats.org/officeDocument/2006/relationships/hyperlink" Target="https://www.w3.org/WAI/WCAG22/Understanding/character-key-shortcuts.html" TargetMode="External"/><Relationship Id="rId34" Type="http://schemas.openxmlformats.org/officeDocument/2006/relationships/hyperlink" Target="https://www.w3.org/WAI/WCAG22/Understanding/timing-adjustable.html" TargetMode="External"/><Relationship Id="rId35" Type="http://schemas.openxmlformats.org/officeDocument/2006/relationships/hyperlink" Target="https://www.w3.org/WAI/WCAG22/Understanding/pause-stop-hide.html" TargetMode="External"/><Relationship Id="rId36" Type="http://schemas.openxmlformats.org/officeDocument/2006/relationships/hyperlink" Target="https://www.w3.org/WAI/WCAG22/Understanding/three-flashes-or-below-threshold.html" TargetMode="External"/><Relationship Id="rId37" Type="http://schemas.openxmlformats.org/officeDocument/2006/relationships/hyperlink" Target="https://www.w3.org/WAI/WCAG22/Understanding/bypass-blocks.html" TargetMode="External"/><Relationship Id="rId38" Type="http://schemas.openxmlformats.org/officeDocument/2006/relationships/hyperlink" Target="https://www.w3.org/WAI/WCAG22/Understanding/page-titled.html" TargetMode="External"/><Relationship Id="rId39" Type="http://schemas.openxmlformats.org/officeDocument/2006/relationships/hyperlink" Target="https://www.w3.org/WAI/WCAG22/Understanding/focus-order.html" TargetMode="External"/><Relationship Id="rId40" Type="http://schemas.openxmlformats.org/officeDocument/2006/relationships/hyperlink" Target="https://www.w3.org/WAI/WCAG22/Understanding/link-purpose-in-context.html" TargetMode="External"/><Relationship Id="rId41" Type="http://schemas.openxmlformats.org/officeDocument/2006/relationships/hyperlink" Target="https://www.w3.org/WAI/WCAG22/Understanding/pointer-gestures.html" TargetMode="External"/><Relationship Id="rId42" Type="http://schemas.openxmlformats.org/officeDocument/2006/relationships/hyperlink" Target="https://www.w3.org/WAI/WCAG22/Understanding/pointer-cancellation.html" TargetMode="External"/><Relationship Id="rId43" Type="http://schemas.openxmlformats.org/officeDocument/2006/relationships/hyperlink" Target="https://www.w3.org/WAI/WCAG22/Understanding/label-in-name.html" TargetMode="External"/><Relationship Id="rId44" Type="http://schemas.openxmlformats.org/officeDocument/2006/relationships/hyperlink" Target="https://www.w3.org/WAI/WCAG22/Understanding/motion-actuation.html" TargetMode="External"/><Relationship Id="rId45" Type="http://schemas.openxmlformats.org/officeDocument/2006/relationships/hyperlink" Target="https://www.w3.org/WAI/WCAG22/Understanding/language-of-page.html" TargetMode="External"/><Relationship Id="rId46" Type="http://schemas.openxmlformats.org/officeDocument/2006/relationships/hyperlink" Target="https://www.w3.org/WAI/WCAG22/Understanding/on-focus.html" TargetMode="External"/><Relationship Id="rId47" Type="http://schemas.openxmlformats.org/officeDocument/2006/relationships/hyperlink" Target="https://www.w3.org/WAI/WCAG22/Understanding/on-input.html" TargetMode="External"/><Relationship Id="rId48" Type="http://schemas.openxmlformats.org/officeDocument/2006/relationships/hyperlink" Target="https://www.w3.org/WAI/WCAG22/Understanding/consistent-help.html" TargetMode="External"/><Relationship Id="rId49" Type="http://schemas.openxmlformats.org/officeDocument/2006/relationships/hyperlink" Target="https://www.w3.org/WAI/WCAG22/Understanding/error-identification.html" TargetMode="External"/><Relationship Id="rId50" Type="http://schemas.openxmlformats.org/officeDocument/2006/relationships/hyperlink" Target="https://www.w3.org/WAI/WCAG22/Understanding/labels-or-instructions.html" TargetMode="External"/><Relationship Id="rId51" Type="http://schemas.openxmlformats.org/officeDocument/2006/relationships/hyperlink" Target="https://www.w3.org/WAI/WCAG22/Understanding/redundant-entry.html" TargetMode="External"/><Relationship Id="rId52" Type="http://schemas.openxmlformats.org/officeDocument/2006/relationships/hyperlink" Target="https://www.w3.org/WAI/WCAG22/Understanding/name-role-value.html" TargetMode="External"/><Relationship Id="rId53" Type="http://schemas.openxmlformats.org/officeDocument/2006/relationships/hyperlink" Target="https://www.w3.org/WAI/WCAG22/Understanding/captions-live.html" TargetMode="External"/><Relationship Id="rId54" Type="http://schemas.openxmlformats.org/officeDocument/2006/relationships/hyperlink" Target="https://www.w3.org/WAI/WCAG22/Understanding/audio-description-prerecorded.html" TargetMode="External"/><Relationship Id="rId55" Type="http://schemas.openxmlformats.org/officeDocument/2006/relationships/hyperlink" Target="https://www.w3.org/WAI/WCAG22/Understanding/orientation.html" TargetMode="External"/><Relationship Id="rId56" Type="http://schemas.openxmlformats.org/officeDocument/2006/relationships/hyperlink" Target="https://www.w3.org/WAI/WCAG22/Understanding/identify-input-purpose.html" TargetMode="External"/><Relationship Id="rId57" Type="http://schemas.openxmlformats.org/officeDocument/2006/relationships/hyperlink" Target="https://www.w3.org/WAI/WCAG22/Understanding/contrast-minimum.html" TargetMode="External"/><Relationship Id="rId58" Type="http://schemas.openxmlformats.org/officeDocument/2006/relationships/hyperlink" Target="https://www.w3.org/WAI/WCAG22/Understanding/resize-text.html" TargetMode="External"/><Relationship Id="rId59" Type="http://schemas.openxmlformats.org/officeDocument/2006/relationships/hyperlink" Target="https://www.w3.org/WAI/WCAG22/Understanding/images-of-text.html" TargetMode="External"/><Relationship Id="rId60" Type="http://schemas.openxmlformats.org/officeDocument/2006/relationships/hyperlink" Target="https://www.w3.org/WAI/WCAG22/Understanding/reflow.html" TargetMode="External"/><Relationship Id="rId61" Type="http://schemas.openxmlformats.org/officeDocument/2006/relationships/hyperlink" Target="https://www.w3.org/WAI/WCAG22/Understanding/non-text-contrast.html" TargetMode="External"/><Relationship Id="rId62" Type="http://schemas.openxmlformats.org/officeDocument/2006/relationships/hyperlink" Target="https://www.w3.org/WAI/WCAG22/Understanding/text-spacing.html" TargetMode="External"/><Relationship Id="rId63" Type="http://schemas.openxmlformats.org/officeDocument/2006/relationships/hyperlink" Target="https://www.w3.org/WAI/WCAG22/Understanding/content-on-hover-or-focus.html" TargetMode="External"/><Relationship Id="rId64" Type="http://schemas.openxmlformats.org/officeDocument/2006/relationships/hyperlink" Target="https://www.w3.org/WAI/WCAG22/Understanding/multiple-ways.html" TargetMode="External"/><Relationship Id="rId65" Type="http://schemas.openxmlformats.org/officeDocument/2006/relationships/hyperlink" Target="https://www.w3.org/WAI/WCAG22/Understanding/headings-and-labels.html" TargetMode="External"/><Relationship Id="rId66" Type="http://schemas.openxmlformats.org/officeDocument/2006/relationships/hyperlink" Target="https://www.w3.org/WAI/WCAG22/Understanding/focus-visible.html" TargetMode="External"/><Relationship Id="rId67" Type="http://schemas.openxmlformats.org/officeDocument/2006/relationships/hyperlink" Target="https://www.w3.org/WAI/WCAG22/Understanding/focus-not-obscured-minimum.html" TargetMode="External"/><Relationship Id="rId68" Type="http://schemas.openxmlformats.org/officeDocument/2006/relationships/hyperlink" Target="https://www.w3.org/WAI/WCAG22/Understanding/dragging-movements.html" TargetMode="External"/><Relationship Id="rId69" Type="http://schemas.openxmlformats.org/officeDocument/2006/relationships/hyperlink" Target="https://www.w3.org/WAI/WCAG22/Understanding/target-size-minimum.html" TargetMode="External"/><Relationship Id="rId70" Type="http://schemas.openxmlformats.org/officeDocument/2006/relationships/hyperlink" Target="https://www.w3.org/WAI/WCAG22/Understanding/language-of-parts.html" TargetMode="External"/><Relationship Id="rId71" Type="http://schemas.openxmlformats.org/officeDocument/2006/relationships/hyperlink" Target="https://www.w3.org/WAI/WCAG22/Understanding/consistent-navigation.html" TargetMode="External"/><Relationship Id="rId72" Type="http://schemas.openxmlformats.org/officeDocument/2006/relationships/hyperlink" Target="https://www.w3.org/WAI/WCAG22/Understanding/consistent-identification.html" TargetMode="External"/><Relationship Id="rId73" Type="http://schemas.openxmlformats.org/officeDocument/2006/relationships/hyperlink" Target="https://www.w3.org/WAI/WCAG22/Understanding/error-suggestion.html" TargetMode="External"/><Relationship Id="rId74" Type="http://schemas.openxmlformats.org/officeDocument/2006/relationships/hyperlink" Target="https://www.w3.org/WAI/WCAG22/Understanding/error-prevention-legal-financial-data.html" TargetMode="External"/><Relationship Id="rId75" Type="http://schemas.openxmlformats.org/officeDocument/2006/relationships/hyperlink" Target="https://www.w3.org/WAI/WCAG22/Understanding/accessible-authentication-minimum.html" TargetMode="External"/><Relationship Id="rId76"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