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44802" cy="384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brn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4802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/>
    </w:p>
    <w:p>
      <w:pPr>
        <w:pStyle w:val="Heading1"/>
      </w:pPr>
      <w:r>
        <w:t>San Francisco Bay Region Network Manual Product Accessibility Evaluation</w:t>
      </w:r>
      <w:r/>
    </w:p>
    <w:p>
      <w:r/>
      <w:r>
        <w:rPr>
          <w:b/>
        </w:rPr>
        <w:t>The Expert TA</w:t>
      </w:r>
      <w:r>
        <w:t xml:space="preserve"> — Internal Report, based on VPAT</w:t>
      </w:r>
      <w:r>
        <w:rPr>
          <w:vertAlign w:val="superscript"/>
        </w:rPr>
        <w:t>®</w:t>
      </w:r>
      <w:r>
        <w:t xml:space="preserve"> Version 2.5Rev, WCAG Edition</w:t>
      </w:r>
      <w:r/>
      <w:r/>
    </w:p>
    <w:p>
      <w:r/>
      <w:r>
        <w:rPr>
          <w:b/>
        </w:rPr>
        <w:t>Internal document. Not for distribution to the supplier or the public.</w:t>
      </w:r>
      <w:r>
        <w:t xml:space="preserve"> Produced from the same evaluation, and the same evidence, as the accessibility conformance report for this product.</w:t>
      </w:r>
      <w:r/>
      <w:r/>
    </w:p>
    <w:p>
      <w:pPr>
        <w:pStyle w:val="Heading2"/>
      </w:pPr>
      <w:r>
        <w:t>Contents</w:t>
      </w:r>
    </w:p>
    <w:p>
      <w:pPr>
        <w:pStyle w:val="ListBullet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Report information</w:t>
        </w:r>
      </w:hyperlink>
    </w:p>
    <w:p>
      <w:pPr>
        <w:pStyle w:val="ListBullet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Applicable standards / guidelines</w:t>
        </w:r>
      </w:hyperlink>
    </w:p>
    <w:p>
      <w:pPr>
        <w:pStyle w:val="ListBullet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Terms</w:t>
        </w:r>
      </w:hyperlink>
    </w:p>
    <w:p>
      <w:pPr>
        <w:pStyle w:val="ListBullet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User Functional Limitations</w:t>
        </w:r>
      </w:hyperlink>
    </w:p>
    <w:p>
      <w:pPr>
        <w:pStyle w:val="ListBullet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Summary</w:t>
        </w:r>
      </w:hyperlink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Barriers by user group</w:t>
        </w:r>
      </w:hyperlink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WCAG 2.2 Report</w:t>
        </w:r>
      </w:hyperlink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Table 1: Success Criteria, Level A</w:t>
        </w:r>
      </w:hyperlink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Table 2: Success Criteria, Level AA</w:t>
        </w:r>
      </w:hyperlink>
    </w:p>
    <w:p>
      <w:pPr>
        <w:pStyle w:val="ListBullet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Revised Section 508 — Chapter 3: Functional Performance Criteria</w:t>
        </w:r>
      </w:hyperlink>
      <w:r/>
    </w:p>
    <w:p>
      <w:pPr>
        <w:pStyle w:val="Heading2"/>
      </w:pPr>
      <w:r>
        <w:t>Report information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5112"/>
          </w:tcPr>
          <w:p>
            <w:r>
              <w:rPr>
                <w:b/>
              </w:rPr>
              <w:t>Approved with TAAP</w:t>
            </w:r>
            <w:r>
              <w:rPr>
                <w:b/>
              </w:rPr>
              <w:t xml:space="preserve"> — The product may be acquired only alongside a Temporary Alternative Access Plan covering the barriers below. </w:t>
            </w:r>
            <w:r>
              <w:rPr>
                <w:b/>
              </w:rPr>
              <w:t>2026-09-25 · Daniel Fontaine (SFBRN ATI Coordinator), reviewer of record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Name of product</w:t>
            </w:r>
          </w:p>
        </w:tc>
        <w:tc>
          <w:tcPr>
            <w:tcW w:type="dxa" w:w="5112"/>
          </w:tcPr>
          <w:p>
            <w:r>
              <w:t>The Expert TA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Report date</w:t>
            </w:r>
          </w:p>
        </w:tc>
        <w:tc>
          <w:tcPr>
            <w:tcW w:type="dxa" w:w="5112"/>
          </w:tcPr>
          <w:p>
            <w:r>
              <w:t>September 2026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Product description</w:t>
            </w:r>
          </w:p>
        </w:tc>
        <w:tc>
          <w:tcPr>
            <w:tcW w:type="dxa" w:w="5112"/>
          </w:tcPr>
          <w:p>
            <w:r>
              <w:t>Web-delivered software evaluated across 10 pages of the student-facing interface.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Evaluated by</w:t>
            </w:r>
          </w:p>
        </w:tc>
        <w:tc>
          <w:tcPr>
            <w:tcW w:type="dxa" w:w="5112"/>
          </w:tcPr>
          <w:p>
            <w:r>
              <w:t>Daniel Fontaine, SFBRN Accessible Technology Initiative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Contact information</w:t>
            </w:r>
          </w:p>
        </w:tc>
        <w:tc>
          <w:tcPr>
            <w:tcW w:type="dxa" w:w="5112"/>
          </w:tcPr>
          <w:p>
            <w:hyperlink r:id="rId20">
              <w:r>
                <w:rPr>
                  <w:color w:val="0000EE"/>
                  <w:u w:val="single"/>
                </w:rPr>
                <w:t>fontaine@sfsu.edu</w:t>
              </w:r>
            </w:hyperlink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Evaluation methods used</w:t>
            </w:r>
          </w:p>
        </w:tc>
        <w:tc>
          <w:tcPr>
            <w:tcW w:type="dxa" w:w="5112"/>
          </w:tcPr>
          <w:p>
            <w:r>
              <w:t>Manual testing by a human reviewer operating the product with assistive technology — screen reader, keyboard-only operation, browser zoom, colour filters and contrast measurement — supported by automated scanning (axe-core) and programmatic measurement over the Chrome DevTools Protocol. Automated results were used to direct attention only; no conformance level rests on a tool's output alone.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Pages evaluated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</w:t>
            </w:r>
            <w:r>
              <w:t>/common/default.aspx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</w:t>
            </w:r>
            <w:r>
              <w:t>/common/default2.aspx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</w:t>
            </w:r>
            <w:r>
              <w:t>/Common/TakeTutorialAssignment.aspx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</w:t>
            </w:r>
            <w:r>
              <w:t>/Common/GradeSheetGradeReport.aspx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</w:t>
            </w:r>
            <w:r>
              <w:t>/common/calendar.aspx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</w:t>
            </w:r>
            <w:r>
              <w:t>/Login.aspx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</w:t>
            </w:r>
            <w:r>
              <w:t>/Common/ViewAssignmentSolutionsV2.aspx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</w:t>
            </w:r>
            <w:r>
              <w:t>/Tutorial/ClassTutorialSelection.aspx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</w:t>
            </w:r>
            <w:r>
              <w:t>/Common/ViewAssignmentDetails.aspx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</w:t>
            </w:r>
            <w:r>
              <w:t>/ResetPassword.aspx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Excluded from scope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Academic Integrity Preferences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Grades (Spreadsheet)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Manage Class Roster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Assignments Grade Sheet</w:t>
            </w:r>
            <w:r>
              <w:t xml:space="preserve"> — not student-facing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5112"/>
          </w:tcPr>
          <w:p>
            <w:r>
              <w:t xml:space="preserve">Task walk-throughs completed: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Open an assignment and read a problem — </w:t>
            </w:r>
            <w:r>
              <w:rPr>
                <w:b/>
              </w:rPr>
              <w:t>Pass with barriers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Answer and submit a problem — </w:t>
            </w:r>
            <w:r>
              <w:rPr>
                <w:b/>
              </w:rPr>
              <w:t>Fail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Complete an assignment under time limits and accommodations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Author an assignment from the library (instructor)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Check grades and feedback — </w:t>
            </w:r>
            <w:r>
              <w:rPr>
                <w:b/>
              </w:rPr>
              <w:t>Not run</w:t>
            </w:r>
          </w:p>
        </w:tc>
      </w:tr>
    </w:tbl>
    <w:p>
      <w:r/>
    </w:p>
    <w:p>
      <w:pPr>
        <w:pStyle w:val="Heading2"/>
      </w:pPr>
      <w:r>
        <w:t>Applicable standards / guidelines</w:t>
      </w:r>
      <w:r/>
    </w:p>
    <w:p>
      <w:r/>
      <w:r>
        <w:t>This report covers the degree of conformance for the following accessibility standard/guidelines.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Standard / Guideline</w:t>
            </w:r>
          </w:p>
        </w:tc>
        <w:tc>
          <w:tcPr>
            <w:tcW w:type="dxa" w:w="5112"/>
          </w:tcPr>
          <w:p>
            <w:r>
              <w:rPr>
                <w:b/>
              </w:rPr>
              <w:t>Included in report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Web Content Accessibility Guidelines 2.2</w:t>
            </w:r>
          </w:p>
        </w:tc>
        <w:tc>
          <w:tcPr>
            <w:tcW w:type="dxa" w:w="5112"/>
          </w:tcPr>
          <w:p>
            <w:r>
              <w:t xml:space="preserve">Level A (Yes) </w:t>
              <w:br/>
            </w:r>
            <w:r>
              <w:t xml:space="preserve"> Level AA (Yes) </w:t>
              <w:br/>
            </w:r>
            <w:r>
              <w:t xml:space="preserve"> Level AAA (No)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Revised Section 508 — Chapter 3, Functional Performance Criteria</w:t>
            </w:r>
          </w:p>
        </w:tc>
        <w:tc>
          <w:tcPr>
            <w:tcW w:type="dxa" w:w="5112"/>
          </w:tcPr>
          <w:p>
            <w:r>
              <w:t>Yes — reported in addition to the WCAG edition's requirements</w:t>
            </w:r>
          </w:p>
        </w:tc>
      </w:tr>
    </w:tbl>
    <w:p>
      <w:r/>
    </w:p>
    <w:p>
      <w:pPr>
        <w:pStyle w:val="Heading2"/>
      </w:pPr>
      <w:r>
        <w:t>Terms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5112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Supports</w:t>
            </w:r>
          </w:p>
        </w:tc>
        <w:tc>
          <w:tcPr>
            <w:tcW w:type="dxa" w:w="5112"/>
          </w:tcPr>
          <w:p>
            <w:r>
              <w:t>The functionality of the product has at least one method that meets the criterion without known defects, or meets with equivalent facilitation.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Partially Supports</w:t>
            </w:r>
          </w:p>
        </w:tc>
        <w:tc>
          <w:tcPr>
            <w:tcW w:type="dxa" w:w="5112"/>
          </w:tcPr>
          <w:p>
            <w:r>
              <w:t>Some functionality of the product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Does Not Support</w:t>
            </w:r>
          </w:p>
        </w:tc>
        <w:tc>
          <w:tcPr>
            <w:tcW w:type="dxa" w:w="5112"/>
          </w:tcPr>
          <w:p>
            <w:r>
              <w:t>The majority of product functionality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Applicable</w:t>
            </w:r>
          </w:p>
        </w:tc>
        <w:tc>
          <w:tcPr>
            <w:tcW w:type="dxa" w:w="5112"/>
          </w:tcPr>
          <w:p>
            <w:r>
              <w:t>The criterion is not relevant to the product.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Evaluated</w:t>
            </w:r>
          </w:p>
        </w:tc>
        <w:tc>
          <w:tcPr>
            <w:tcW w:type="dxa" w:w="5112"/>
          </w:tcPr>
          <w:p>
            <w:r>
              <w:t>The product has not been evaluated against the criterion. This can be used only in WCAG 2.x Level AAA.</w:t>
            </w:r>
          </w:p>
        </w:tc>
      </w:tr>
    </w:tbl>
    <w:p>
      <w:r/>
    </w:p>
    <w:p>
      <w:pPr>
        <w:pStyle w:val="Heading2"/>
      </w:pPr>
      <w:r>
        <w:t>User Functional Limitations</w:t>
      </w:r>
    </w:p>
    <w:p>
      <w:r/>
      <w:r>
        <w:t>This product's interface presents usability barriers for people with disabilities. Use the table below to plan equally effective alternatives.</w:t>
      </w:r>
    </w:p>
    <w:p>
      <w:pPr>
        <w:pStyle w:val="Heading3"/>
      </w:pPr>
      <w:r>
        <w:t>Summary</w:t>
      </w:r>
    </w:p>
    <w:p>
      <w:r/>
      <w:r>
        <w:t>Of the seven user groups this evaluation covers, five meet barriers in this product; no barrier was found for speech-input users and users with photosensitivity. Blind users are affected most: 5 of the 10 pages evaluated could not be used at all, and 3 of the 22 barriers listed for them stop a task outright rather than slow it down. Of the same 10 pages, low-vision users cannot use 5 and keyboard-only users 3. Of the tasks walked from end to end, “Answer and submit a problem” could not be completed at all and “Open an assignment and read a problem” completed only with barriers; three further tasks have not been walked yet, so this is a floor rather than a full count. The barriers reach 8 of the 10 pages evaluated, so an alternative has to cover whole tasks rather than stand in for a single page.</w:t>
      </w:r>
    </w:p>
    <w:p>
      <w:pPr>
        <w:pStyle w:val="Heading3"/>
      </w:pPr>
      <w:r>
        <w:t>Barriers by user group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User group</w:t>
            </w:r>
          </w:p>
        </w:tc>
        <w:tc>
          <w:tcPr>
            <w:tcW w:type="dxa" w:w="5112"/>
          </w:tcPr>
          <w:p>
            <w:r>
              <w:rPr>
                <w:b/>
              </w:rPr>
              <w:t>What the user cannot do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Blindness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Take Assignment, View Grade Report,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student's submitted work is shown as images with no text alternative, so a screen-reader user cannot read their own graded answers.</w:t>
            </w:r>
            <w:r>
              <w:t>Blocker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answer read-back speaks raw markup instead of the mathematics, so a screen-reader user cannot check what they have entered before submitting.</w:t>
            </w:r>
            <w:r>
              <w:t>Blocker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assignments table and its controls carry no headings or landmarks, so a screen-reader user must tab through the whole page to find an assignment.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diagram in a problem is hidden from assistive technology, so a screen-reader user cannot see the figure the question depends on.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grade report's help links contain only punctuation, so a screen-reader user hears 22 anonymous links and cannot tell what help any of them offers.</w:t>
            </w:r>
            <w:r>
              <w:t>Major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  <w:r>
              <w:t>View Assignment Solutions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An assignment's due date and duration are shown only by the coloured bar's extent, so neither a screen-reader nor a colour-blind user can tell when work is due.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selection re-announces the whole page identically, so a screen-reader user is never told which part actually changed.</w:t>
            </w:r>
            <w:r>
              <w:t>Major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mathematical expression on the printable assignment is exposed as an unnamed button, so a screen-reader user gets a control instead of the mathematics.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popup form fields are not associated with their captions, so a screen-reader user is not told what each field expects.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class selection controls announce an instruction instead of their label, so a screen-reader user learns what a control is for only after moving past it.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11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Low Vision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View Printable Assignment, Take Assignment, View Grade Report, Calendar, View Assignment Solutions.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page is fixed at 1300 pixels wide and does not reflow, so a low-vision user at high zoom must scroll horizontally to read any line.</w:t>
            </w:r>
            <w:r>
              <w:t>Major</w:t>
            </w:r>
            <w:r>
              <w:t>Class Management (standard mode), Student Practice Area, Academic Integrity Preferences, View Grades (Spreadsheet),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Section headings, deduction percentages and randomised values fall below the required contrast, so a low-vision user cannot read the numbers a task depends on.</w:t>
            </w:r>
            <w:r>
              <w:t>Major</w:t>
            </w:r>
            <w:r>
              <w:t>Class Management (standard mode), Assignment Editor (edit), Student Practice Area, View Grade Report, Manage Class Roster, View Assignment Solutions, View Printable Assignment,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problem figures are low-resolution images containing text, so they blur at high zoom and the mathematics inside them becomes unreadable.</w:t>
            </w:r>
            <w:r>
              <w:t>Major</w:t>
            </w:r>
            <w:r>
              <w:t>Take Assignment, View Grade Report, View Assignment Solutions, 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Edit Class popup is fixed in size and the page behind it cannot scroll, so above 175 per cent zoom its fields and buttons cannot be reached at all.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  <w:r>
              <w:t>View Printable Assignment, Student Practice Area, View Grade Report, Take Assignment, View Assignment Solutions, Calendar, Class Management (standard mode)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Deafness · Hard of Hearing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The library videos rely on automatically generated captions, so a user who cannot hear gets an unreviewed transcript of instructional material.</w:t>
            </w:r>
            <w:r>
              <w:t>Major</w:t>
            </w:r>
            <w:r>
              <w:t>Assignment Editor (edit)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Speech Disabilities</w:t>
            </w:r>
          </w:p>
        </w:tc>
        <w:tc>
          <w:tcPr>
            <w:tcW w:type="dxa" w:w="5112"/>
          </w:tcPr>
          <w:p>
            <w:r/>
            <w:r>
              <w:t>No barriers found in the evaluated sample.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Limited Manual Dexterity · Limited Reach and Strength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3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Cognitive Disability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Submitting an answer and requesting feedback each reduce the score on a single activation without asking, so a user who activates one in error loses marks irreversibly.</w:t>
            </w:r>
            <w:r>
              <w:t>Major</w:t>
            </w:r>
            <w:r>
              <w:t>Take Assignment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Photosensitivity</w:t>
            </w:r>
          </w:p>
        </w:tc>
        <w:tc>
          <w:tcPr>
            <w:tcW w:type="dxa" w:w="5112"/>
          </w:tcPr>
          <w:p>
            <w:r/>
            <w:r>
              <w:t>No barriers found.</w:t>
            </w:r>
          </w:p>
        </w:tc>
      </w:tr>
    </w:tbl>
    <w:p>
      <w:r/>
    </w:p>
    <w:p>
      <w:pPr>
        <w:pStyle w:val="Heading2"/>
      </w:pPr>
      <w:r>
        <w:t>WCAG 2.2 Report</w:t>
      </w:r>
      <w:r/>
    </w:p>
    <w:p>
      <w:r/>
      <w:r>
        <w:t>Tables 1 and 2 also document conformance with EN 301 549 and Revised Section 508 where those standards incorporate WCAG by reference.</w:t>
      </w:r>
      <w:r/>
    </w:p>
    <w:p>
      <w:pPr>
        <w:pStyle w:val="Heading3"/>
      </w:pPr>
      <w:r>
        <w:t>Table 1: Success Criteria, Level 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21">
              <w:r>
                <w:rPr>
                  <w:color w:val="0000EE"/>
                  <w:u w:val="single"/>
                </w:rPr>
                <w:t>1.1.1 Non-text Content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student's submitted work is shown as images with no text alternative, so a screen-reader user cannot read their own graded answers.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diagram in a problem is hidden from assistive technology, so a screen-reader user cannot see the figure the question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— 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22">
              <w:r>
                <w:rPr>
                  <w:color w:val="0000EE"/>
                  <w:u w:val="single"/>
                </w:rPr>
                <w:t>1.2.1 Audio-only and Video-only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audio-only or video-only prerecorded media in the sample.</w:t>
            </w:r>
          </w:p>
        </w:tc>
      </w:tr>
      <w:tr>
        <w:tc>
          <w:tcPr>
            <w:tcW w:type="dxa" w:w="3408"/>
          </w:tcPr>
          <w:p>
            <w:hyperlink r:id="rId23">
              <w:r>
                <w:rPr>
                  <w:color w:val="0000EE"/>
                  <w:u w:val="single"/>
                </w:rPr>
                <w:t>1.2.2 Captions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only prerecorded video in the sample — YouTube embeds in the expanding area under Library on the Assignment Editor — has captions, but they are YouTube auto-generated.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The library videos rely on automatically generated captions, so a user who cannot hear gets an unreviewed transcript of instructional material.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4">
              <w:r>
                <w:rPr>
                  <w:color w:val="0000EE"/>
                  <w:u w:val="single"/>
                </w:rPr>
                <w:t>1.2.3 Audio Description or Media Alternative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25">
              <w:r>
                <w:rPr>
                  <w:color w:val="0000EE"/>
                  <w:u w:val="single"/>
                </w:rPr>
                <w:t>1.3.1 Info and Relationships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(standard mode) confirmed with NVDA: no headings/landmarks, grids told apart by position, editors unlabelled —, stand on both Class Management pages.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An assignment's due date and duration are shown only by the coloured bar's extent, so neither a screen-reader nor a colour-blind user can tell when work is due.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two data grids share one generic caption and generic column headers, so a screen-reader user can tell them apart only by their position on the page.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Empty layout-table cells are announced as content, so a screen-reader user hears repeated blank cells between the parts of a problem.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26">
              <w:r>
                <w:rPr>
                  <w:color w:val="0000EE"/>
                  <w:u w:val="single"/>
                </w:rPr>
                <w:t>1.3.2 Meaningful Sequence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Reading order matches the meaning of the visual order — verified on all pages tested.</w:t>
            </w:r>
          </w:p>
        </w:tc>
      </w:tr>
      <w:tr>
        <w:tc>
          <w:tcPr>
            <w:tcW w:type="dxa" w:w="3408"/>
          </w:tcPr>
          <w:p>
            <w:hyperlink r:id="rId27">
              <w:r>
                <w:rPr>
                  <w:color w:val="0000EE"/>
                  <w:u w:val="single"/>
                </w:rPr>
                <w:t>1.3.3 Sensory Characteristics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Nothing is conveyed only by visual position, shape, or size — verified on 6 of the 10 pages tested.</w:t>
            </w:r>
          </w:p>
        </w:tc>
      </w:tr>
      <w:tr>
        <w:tc>
          <w:tcPr>
            <w:tcW w:type="dxa" w:w="3408"/>
          </w:tcPr>
          <w:p>
            <w:hyperlink r:id="rId28">
              <w:r>
                <w:rPr>
                  <w:color w:val="0000EE"/>
                  <w:u w:val="single"/>
                </w:rPr>
                <w:t>1.4.1 Use of Color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Colour is the only visual carrier in four separate places, and two of them are information the student must act on: on </w:t>
            </w:r>
            <w:r>
              <w:rPr>
                <w:b/>
              </w:rPr>
              <w:t>Take Assignment</w:t>
            </w:r>
            <w:r>
              <w:t xml:space="preserve"> the randomised variable values — the numbers that go into the calculation — and the hint deduction percentages that say what help costs; on </w:t>
            </w:r>
            <w:r>
              <w:rPr>
                <w:b/>
              </w:rPr>
              <w:t>View Assignment Solutions</w:t>
            </w:r>
            <w:r>
              <w:t xml:space="preserve"> the same orange-red number token inside the worked solutions; on the </w:t>
            </w:r>
            <w:r>
              <w:rPr>
                <w:b/>
              </w:rPr>
              <w:t>Calendar</w:t>
            </w:r>
            <w:r>
              <w:t xml:space="preserve"> the event bar carrying an assignment's name and the days it spans, which fails totally; on </w:t>
            </w:r>
            <w:r>
              <w:rPr>
                <w:b/>
              </w:rPr>
              <w:t>Class Management</w:t>
            </w:r>
            <w:r>
              <w:t xml:space="preserve"> the headings that label the two grids.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and 6 other pages</w:t>
            </w:r>
            <w:r>
              <w:t xml:space="preserve"> — 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9">
              <w:r>
                <w:rPr>
                  <w:color w:val="0000EE"/>
                  <w:u w:val="single"/>
                </w:rPr>
                <w:t>1.4.2 Audio Control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 plays automatically anywhere in the sample.</w:t>
            </w:r>
          </w:p>
        </w:tc>
      </w:tr>
      <w:tr>
        <w:tc>
          <w:tcPr>
            <w:tcW w:type="dxa" w:w="3408"/>
          </w:tcPr>
          <w:p>
            <w:hyperlink r:id="rId30">
              <w:r>
                <w:rPr>
                  <w:color w:val="0000EE"/>
                  <w:u w:val="single"/>
                </w:rPr>
                <w:t>2.1.1 Keyboard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In standard mode the assignment row's action menu — the only route to Take Assignment, View Grade Report and the other row actions — opens by mouse click only; nothing in the row is focusable and no key opens it.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31">
              <w:r>
                <w:rPr>
                  <w:color w:val="0000EE"/>
                  <w:u w:val="single"/>
                </w:rPr>
                <w:t>2.1.2 No Keyboard Trap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 is never trapped — verified on all pages tested.</w:t>
            </w:r>
          </w:p>
        </w:tc>
      </w:tr>
      <w:tr>
        <w:tc>
          <w:tcPr>
            <w:tcW w:type="dxa" w:w="3408"/>
          </w:tcPr>
          <w:p>
            <w:hyperlink r:id="rId32">
              <w:r>
                <w:rPr>
                  <w:color w:val="0000EE"/>
                  <w:u w:val="single"/>
                </w:rPr>
                <w:t>2.1.4 Character Key Shortcuts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3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Every keyboard shortcut this product defines is a modifier chord.</w:t>
            </w:r>
          </w:p>
        </w:tc>
      </w:tr>
      <w:tr>
        <w:tc>
          <w:tcPr>
            <w:tcW w:type="dxa" w:w="3408"/>
          </w:tcPr>
          <w:p>
            <w:hyperlink r:id="rId33">
              <w:r>
                <w:rPr>
                  <w:color w:val="0000EE"/>
                  <w:u w:val="single"/>
                </w:rPr>
                <w:t>2.2.1 Timing Adjustable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timeouts encountered.</w:t>
            </w:r>
          </w:p>
        </w:tc>
      </w:tr>
      <w:tr>
        <w:tc>
          <w:tcPr>
            <w:tcW w:type="dxa" w:w="3408"/>
          </w:tcPr>
          <w:p>
            <w:hyperlink r:id="rId34">
              <w:r>
                <w:rPr>
                  <w:color w:val="0000EE"/>
                  <w:u w:val="single"/>
                </w:rPr>
                <w:t>2.2.2 Pause, Stop, Hide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Nothing moves, blinks, scrolls or updates automatically, so there is nothing to pause, stop or hide.</w:t>
            </w:r>
          </w:p>
        </w:tc>
      </w:tr>
      <w:tr>
        <w:tc>
          <w:tcPr>
            <w:tcW w:type="dxa" w:w="3408"/>
          </w:tcPr>
          <w:p>
            <w:hyperlink r:id="rId35">
              <w:r>
                <w:rPr>
                  <w:color w:val="0000EE"/>
                  <w:u w:val="single"/>
                </w:rPr>
                <w:t>2.3.1 Three Flashes or Below Threshold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CSS animation, animated image, marquee, blink, canvas, SVG animation or video anywhere in the sample, so nothing can flash.</w:t>
            </w:r>
          </w:p>
        </w:tc>
      </w:tr>
      <w:tr>
        <w:tc>
          <w:tcPr>
            <w:tcW w:type="dxa" w:w="3408"/>
          </w:tcPr>
          <w:p>
            <w:hyperlink r:id="rId36">
              <w:r>
                <w:rPr>
                  <w:color w:val="0000EE"/>
                  <w:u w:val="single"/>
                </w:rPr>
                <w:t>2.4.1 Bypass Blocks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section skip links work (focus moves to the next section) and a top-of-page jump point exists, so a bypass mechanism is present in Accessibility Mode; the controls are links by role and confusingly worded.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37">
              <w:r>
                <w:rPr>
                  <w:color w:val="0000EE"/>
                  <w:u w:val="single"/>
                </w:rPr>
                <w:t>2.4.2 Page Titled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Page/view title identifies its purpose — verified on all pages tested.</w:t>
            </w:r>
          </w:p>
        </w:tc>
      </w:tr>
      <w:tr>
        <w:tc>
          <w:tcPr>
            <w:tcW w:type="dxa" w:w="3408"/>
          </w:tcPr>
          <w:p>
            <w:hyperlink r:id="rId38">
              <w:r>
                <w:rPr>
                  <w:color w:val="0000EE"/>
                  <w:u w:val="single"/>
                </w:rPr>
                <w:t>2.4.3 Focus Order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activating a problem link does not move focus into the problem; the vendor's jump-point menu mounts links outside the natural focus path and is itself a hidden tab stop.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39">
              <w:r>
                <w:rPr>
                  <w:color w:val="0000EE"/>
                  <w:u w:val="single"/>
                </w:rPr>
                <w:t>2.4.4 Link Purpose (In Context)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Link purpose on Take Assignment and the remaining views still to be walked.: the grade report's 22 </w:t>
            </w:r>
            <w:r>
              <w:rPr>
                <w:rFonts w:ascii="Courier" w:hAnsi="Courier"/>
              </w:rPr>
              <w:t>[?]</w:t>
            </w:r>
            <w:r>
              <w:t xml:space="preserve"> help links have </w:t>
            </w:r>
            <w:r>
              <w:rPr>
                <w:rFonts w:ascii="Courier" w:hAnsi="Courier"/>
              </w:rPr>
              <w:t>[?]</w:t>
            </w:r>
            <w:r>
              <w:t xml:space="preserve"> as their entire text, no title and no aria-label, so the accessible name is empty and NVDA announces only "Visited Link".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0">
              <w:r>
                <w:rPr>
                  <w:color w:val="0000EE"/>
                  <w:u w:val="single"/>
                </w:rPr>
                <w:t>2.5.1 Pointer Gestures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41">
              <w:r>
                <w:rPr>
                  <w:color w:val="0000EE"/>
                  <w:u w:val="single"/>
                </w:rPr>
                <w:t>2.5.2 Pointer Cancellation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Pointer actions can be cancelled — verified on all pages tested.</w:t>
            </w:r>
          </w:p>
        </w:tc>
      </w:tr>
      <w:tr>
        <w:tc>
          <w:tcPr>
            <w:tcW w:type="dxa" w:w="3408"/>
          </w:tcPr>
          <w:p>
            <w:hyperlink r:id="rId42">
              <w:r>
                <w:rPr>
                  <w:color w:val="0000EE"/>
                  <w:u w:val="single"/>
                </w:rPr>
                <w:t>2.5.3 Label in Name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Classes and Class Menu selects' accessible names are an instruction sentence; the visible labels "Classes:" / "Class Menu:" are not part of the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43">
              <w:r>
                <w:rPr>
                  <w:color w:val="0000EE"/>
                  <w:u w:val="single"/>
                </w:rPr>
                <w:t>2.5.4 Motion Actuation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 xml:space="preserve">No </w:t>
            </w:r>
            <w:r>
              <w:rPr>
                <w:rFonts w:ascii="Courier" w:hAnsi="Courier"/>
              </w:rPr>
              <w:t>devicemotion</w:t>
            </w:r>
            <w:r>
              <w:t xml:space="preserve"> or </w:t>
            </w:r>
            <w:r>
              <w:rPr>
                <w:rFonts w:ascii="Courier" w:hAnsi="Courier"/>
              </w:rPr>
              <w:t>deviceorientation</w:t>
            </w:r>
            <w:r>
              <w:t xml:space="preserve"> use in any readable script, so no functionality is operated by motion.</w:t>
            </w:r>
          </w:p>
        </w:tc>
      </w:tr>
      <w:tr>
        <w:tc>
          <w:tcPr>
            <w:tcW w:type="dxa" w:w="3408"/>
          </w:tcPr>
          <w:p>
            <w:hyperlink r:id="rId44">
              <w:r>
                <w:rPr>
                  <w:color w:val="0000EE"/>
                  <w:u w:val="single"/>
                </w:rPr>
                <w:t>3.1.1 Language of Page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Earlier,: three of the fourteen sampled views declare no </w:t>
            </w:r>
            <w:r>
              <w:rPr>
                <w:rFonts w:ascii="Courier" w:hAnsi="Courier"/>
              </w:rPr>
              <w:t>lang</w:t>
            </w:r>
            <w:r>
              <w:t xml:space="preserve"> — Take Assignment (Take Assignment), Sign in (Sign in), the Edit Class popup (Edit Class popup); the other eleven declare </w:t>
            </w:r>
            <w:r>
              <w:rPr>
                <w:rFonts w:ascii="Courier" w:hAnsi="Courier"/>
              </w:rPr>
              <w:t>en</w:t>
            </w:r>
            <w:r>
              <w:t xml:space="preserve"> (probe runs.).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Four pages declare no language, so a screen reader may pronounce them with the wrong voice.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5">
              <w:r>
                <w:rPr>
                  <w:color w:val="0000EE"/>
                  <w:u w:val="single"/>
                </w:rPr>
                <w:t>3.2.1 On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46">
              <w:r>
                <w:rPr>
                  <w:color w:val="0000EE"/>
                  <w:u w:val="single"/>
                </w:rPr>
                <w:t>3.2.2 On Input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47">
              <w:r>
                <w:rPr>
                  <w:color w:val="0000EE"/>
                  <w:u w:val="single"/>
                </w:rPr>
                <w:t>3.2.6 Consistent Help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4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Help appears in a consistent location — verified on all pages tested.</w:t>
            </w:r>
          </w:p>
        </w:tc>
      </w:tr>
      <w:tr>
        <w:tc>
          <w:tcPr>
            <w:tcW w:type="dxa" w:w="3408"/>
          </w:tcPr>
          <w:p>
            <w:hyperlink r:id="rId48">
              <w:r>
                <w:rPr>
                  <w:color w:val="0000EE"/>
                  <w:u w:val="single"/>
                </w:rPr>
                <w:t>3.3.1 Error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You have previously used this answer.</w:t>
            </w:r>
          </w:p>
        </w:tc>
      </w:tr>
      <w:tr>
        <w:tc>
          <w:tcPr>
            <w:tcW w:type="dxa" w:w="3408"/>
          </w:tcPr>
          <w:p>
            <w:hyperlink r:id="rId49">
              <w:r>
                <w:rPr>
                  <w:color w:val="0000EE"/>
                  <w:u w:val="single"/>
                </w:rPr>
                <w:t>3.3.2 Labels or Instructions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pattern is one mechanism: the application lays its forms out in tables and lets the surrounding table text stand in for a label, so the screen reader announces context rather than a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0">
              <w:r>
                <w:rPr>
                  <w:color w:val="0000EE"/>
                  <w:u w:val="single"/>
                </w:rPr>
                <w:t>3.3.7 Redundant Entry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5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Previously entered information is not demanded again — verified on 7 of the 10 pages tested.</w:t>
            </w:r>
          </w:p>
        </w:tc>
      </w:tr>
      <w:tr>
        <w:tc>
          <w:tcPr>
            <w:tcW w:type="dxa" w:w="3408"/>
          </w:tcPr>
          <w:p>
            <w:hyperlink r:id="rId51">
              <w:r>
                <w:rPr>
                  <w:color w:val="0000EE"/>
                  <w:u w:val="single"/>
                </w:rPr>
                <w:t>4.1.2 Name, Role, Value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5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— Accessibility Mode: skip controls exposed as links though they act as buttons; per-row Actions select without a name; popup inputs without names.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per-row action control has no accessible name, so a screen-reader user cannot tell what the control does before using it.</w:t>
            </w:r>
            <w:r>
              <w:t>Minor</w:t>
            </w:r>
          </w:p>
        </w:tc>
      </w:tr>
    </w:tbl>
    <w:p>
      <w:r/>
    </w:p>
    <w:p>
      <w:pPr>
        <w:pStyle w:val="Heading3"/>
      </w:pPr>
      <w:r>
        <w:t>Table 2: Success Criteria, Level AA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52">
              <w:r>
                <w:rPr>
                  <w:color w:val="0000EE"/>
                  <w:u w:val="single"/>
                </w:rPr>
                <w:t>1.2.4 Captions (Live)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live audio or video in the product.</w:t>
            </w:r>
          </w:p>
        </w:tc>
      </w:tr>
      <w:tr>
        <w:tc>
          <w:tcPr>
            <w:tcW w:type="dxa" w:w="3408"/>
          </w:tcPr>
          <w:p>
            <w:hyperlink r:id="rId53">
              <w:r>
                <w:rPr>
                  <w:color w:val="0000EE"/>
                  <w:u w:val="single"/>
                </w:rPr>
                <w:t>1.2.5 Audio Description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54">
              <w:r>
                <w:rPr>
                  <w:color w:val="0000EE"/>
                  <w:u w:val="single"/>
                </w:rPr>
                <w:t>1.3.4 Orientation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works in both portrait and landscape — verified on all pages tested.</w:t>
            </w:r>
          </w:p>
        </w:tc>
      </w:tr>
      <w:tr>
        <w:tc>
          <w:tcPr>
            <w:tcW w:type="dxa" w:w="3408"/>
          </w:tcPr>
          <w:p>
            <w:hyperlink r:id="rId55">
              <w:r>
                <w:rPr>
                  <w:color w:val="0000EE"/>
                  <w:u w:val="single"/>
                </w:rPr>
                <w:t>1.3.5 Identify Input Purpose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 other field in the sample collects the user's own data (the instructor pages hold class and assignment data).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— The sign-in user-name field carries no autocomplete token, so browsers and assistive technology cannot identify its purpose to fill it automatically.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6">
              <w:r>
                <w:rPr>
                  <w:color w:val="0000EE"/>
                  <w:u w:val="single"/>
                </w:rPr>
                <w:t>1.4.3 Contrast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Most body text and controls pass; the product's section-heading and caption colours (orange </w:t>
            </w:r>
            <w:r>
              <w:rPr>
                <w:rFonts w:ascii="Courier" w:hAnsi="Courier"/>
              </w:rPr>
              <w:t>#EFBB75</w:t>
            </w:r>
            <w:r>
              <w:t xml:space="preserve"> 1.74:1, </w:t>
            </w:r>
            <w:r>
              <w:rPr>
                <w:rFonts w:ascii="Courier" w:hAnsi="Courier"/>
              </w:rPr>
              <w:t>#E58F65</w:t>
            </w:r>
            <w:r>
              <w:t xml:space="preserve"> 2.48:1, </w:t>
            </w:r>
            <w:r>
              <w:rPr>
                <w:rFonts w:ascii="Courier" w:hAnsi="Courier"/>
              </w:rPr>
              <w:t>#DB715C</w:t>
            </w:r>
            <w:r>
              <w:t xml:space="preserve"> 3.21:1, teal </w:t>
            </w:r>
            <w:r>
              <w:rPr>
                <w:rFonts w:ascii="Courier" w:hAnsi="Courier"/>
              </w:rPr>
              <w:t>#48848C</w:t>
            </w:r>
            <w:r>
              <w:t xml:space="preserve"> 4.23:1), its grey 12 px notice text (</w:t>
            </w:r>
            <w:r>
              <w:rPr>
                <w:rFonts w:ascii="Courier" w:hAnsi="Courier"/>
              </w:rPr>
              <w:t>#808080</w:t>
            </w:r>
            <w:r>
              <w:t xml:space="preserve"> 3.94:1) and the coloured values students act on (deduction % </w:t>
            </w:r>
            <w:r>
              <w:rPr>
                <w:rFonts w:ascii="Courier" w:hAnsi="Courier"/>
              </w:rPr>
              <w:t>#FF9900</w:t>
            </w:r>
            <w:r>
              <w:t xml:space="preserve"> 2.14:1; red variable/MathJax values 2.94–3.99:1) fall below 4.5:1.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7 other pages</w:t>
            </w:r>
            <w:r>
              <w:t xml:space="preserve"> — Section headings, deduction percentages and randomised values fall below the required contrast, so a low-vision user cannot read the numbers a task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7">
              <w:r>
                <w:rPr>
                  <w:color w:val="0000EE"/>
                  <w:u w:val="single"/>
                </w:rPr>
                <w:t>1.4.4 Resize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Text resizes to 400 % without loss on Class Management (both modes), Take Assignment, View Grade Report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8">
              <w:r>
                <w:rPr>
                  <w:color w:val="0000EE"/>
                  <w:u w:val="single"/>
                </w:rPr>
                <w:t>1.4.5 Images of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problem figures on Take Assignment (and the same images on the solutions and printable views) are raster images containing mathematical text that blurs at 400 % zoom; the image form is not essential — the page renders its other mathematics as MathJax text.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9">
              <w:r>
                <w:rPr>
                  <w:color w:val="0000EE"/>
                  <w:u w:val="single"/>
                </w:rPr>
                <w:t>1.4.10 Reflow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Product-wide: a fixed 1300 px container on every sampled page, so nothing reflows at 320 CSS px / 400 % zoom ( measured fail on all 14 low-vision runs; reviewer confirmed at real 400 % zoom on Class Management and Take Assignment,: nothing is hidden or lost at 400%, but no reflow).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4 other pages</w:t>
            </w:r>
            <w:r>
              <w:t xml:space="preserve"> — Every page is fixed at 1300 pixels wide and does not reflow, so a low-vision user at high zoom must scroll horizontally to read any line.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60">
              <w:r>
                <w:rPr>
                  <w:color w:val="0000EE"/>
                  <w:u w:val="single"/>
                </w:rPr>
                <w:t>1.4.11 Non-text Contrast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Controls pass 3:1 on Class Management (both modes), Take Assignment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 — The grade tables and calendar grid draw their rules below the required contrast, so a low-vision user loses the boundaries between cells.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61">
              <w:r>
                <w:rPr>
                  <w:color w:val="0000EE"/>
                  <w:u w:val="single"/>
                </w:rPr>
                <w:t>1.4.12 Text Spacing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tolerates text-spacing overrides without loss — verified on all pages tested.</w:t>
            </w:r>
          </w:p>
        </w:tc>
      </w:tr>
      <w:tr>
        <w:tc>
          <w:tcPr>
            <w:tcW w:type="dxa" w:w="3408"/>
          </w:tcPr>
          <w:p>
            <w:hyperlink r:id="rId62">
              <w:r>
                <w:rPr>
                  <w:color w:val="0000EE"/>
                  <w:u w:val="single"/>
                </w:rPr>
                <w:t>1.4.13 Content on Hover or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Content appearing on hover/focus is dismissible, hoverable, persistent — verified on all pages tested.</w:t>
            </w:r>
          </w:p>
        </w:tc>
      </w:tr>
      <w:tr>
        <w:tc>
          <w:tcPr>
            <w:tcW w:type="dxa" w:w="3408"/>
          </w:tcPr>
          <w:p>
            <w:hyperlink r:id="rId63">
              <w:r>
                <w:rPr>
                  <w:color w:val="0000EE"/>
                  <w:u w:val="single"/>
                </w:rPr>
                <w:t>2.4.5 Multiple Ways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Fails on all 10 views.</w:t>
            </w:r>
          </w:p>
        </w:tc>
      </w:tr>
      <w:tr>
        <w:tc>
          <w:tcPr>
            <w:tcW w:type="dxa" w:w="3408"/>
          </w:tcPr>
          <w:p>
            <w:hyperlink r:id="rId64">
              <w:r>
                <w:rPr>
                  <w:color w:val="0000EE"/>
                  <w:u w:val="single"/>
                </w:rPr>
                <w:t>2.4.6 Headings and Labels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Headings and landmarks exist, are hierarchical, and support navigation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65">
              <w:r>
                <w:rPr>
                  <w:color w:val="0000EE"/>
                  <w:u w:val="single"/>
                </w:rPr>
                <w:t>2.4.7 Focus Visible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Focus is visible on every Tab stop of Take Assignment ( keyboard) and at 400 % zoom on Class Management, Take Assignment, View Grade Report, the Calendar and Sign in 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</w:tc>
      </w:tr>
      <w:tr>
        <w:tc>
          <w:tcPr>
            <w:tcW w:type="dxa" w:w="3408"/>
          </w:tcPr>
          <w:p>
            <w:hyperlink r:id="rId66">
              <w:r>
                <w:rPr>
                  <w:color w:val="0000EE"/>
                  <w:u w:val="single"/>
                </w:rPr>
                <w:t>2.4.11 Focus Not Obscured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Nothing sticky or floating hides the focused element: at 400 % zoom the focus ring stayed visible and unobscured on Class Management (both modes), Take Assignment, View Grade Report, the Calendar and Sign in.</w:t>
            </w:r>
          </w:p>
        </w:tc>
      </w:tr>
      <w:tr>
        <w:tc>
          <w:tcPr>
            <w:tcW w:type="dxa" w:w="3408"/>
          </w:tcPr>
          <w:p>
            <w:hyperlink r:id="rId67">
              <w:r>
                <w:rPr>
                  <w:color w:val="0000EE"/>
                  <w:u w:val="single"/>
                </w:rPr>
                <w:t>2.5.7 Dragging Movements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68">
              <w:r>
                <w:rPr>
                  <w:color w:val="0000EE"/>
                  <w:u w:val="single"/>
                </w:rPr>
                <w:t>2.5.8 Target Size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other eleven views measured no undersized, unspaced targets.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Assignment Editor (edit)</w:t>
            </w:r>
            <w:r>
              <w:t xml:space="preserve"> — The row action control and the problem-navigator links are smaller than 24 pixels and sit close together, so a user with a tremor or a coarse pointer hits the wrong one.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69">
              <w:r>
                <w:rPr>
                  <w:color w:val="0000EE"/>
                  <w:u w:val="single"/>
                </w:rPr>
                <w:t>3.1.2 Language of Parts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passage or phrase in a language other than English was found in any sampled view.</w:t>
            </w:r>
          </w:p>
        </w:tc>
      </w:tr>
      <w:tr>
        <w:tc>
          <w:tcPr>
            <w:tcW w:type="dxa" w:w="3408"/>
          </w:tcPr>
          <w:p>
            <w:hyperlink r:id="rId70">
              <w:r>
                <w:rPr>
                  <w:color w:val="0000EE"/>
                  <w:u w:val="single"/>
                </w:rPr>
                <w:t>3.2.3 Consistent Navigation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71">
              <w:r>
                <w:rPr>
                  <w:color w:val="0000EE"/>
                  <w:u w:val="single"/>
                </w:rPr>
                <w:t>3.2.4 Consistent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72">
              <w:r>
                <w:rPr>
                  <w:color w:val="0000EE"/>
                  <w:u w:val="single"/>
                </w:rPr>
                <w:t>3.3.3 Error Suggestion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Errors suggest how to fix the problem — verified on 3 of the 10 pages tested.</w:t>
            </w:r>
          </w:p>
        </w:tc>
      </w:tr>
      <w:tr>
        <w:tc>
          <w:tcPr>
            <w:tcW w:type="dxa" w:w="3408"/>
          </w:tcPr>
          <w:p>
            <w:hyperlink r:id="rId73">
              <w:r>
                <w:rPr>
                  <w:color w:val="0000EE"/>
                  <w:u w:val="single"/>
                </w:rPr>
                <w:t>3.3.4 Error Prevention (Legal, Financial, Data)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Submit does not warn, 'I give up' does warn, 'Feedback' does not warn, each of these has an effect on the total points earned.</w:t>
            </w:r>
            <w:r>
              <w:rPr>
                <w:b/>
              </w:rPr>
              <w:t xml:space="preserve"> 3.3.4 covers submissions that </w:t>
            </w:r>
            <w:r>
              <w:t>submit user test responses, which these are.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Submitting an answer and requesting feedback each reduce the score on a single activation without asking, so a user who activates one in error loses marks irreversibly.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74">
              <w:r>
                <w:rPr>
                  <w:color w:val="0000EE"/>
                  <w:u w:val="single"/>
                </w:rPr>
                <w:t>3.3.8 Accessible Authentication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7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Authentication does not require transcription or memorization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75">
              <w:r>
                <w:rPr>
                  <w:color w:val="0000EE"/>
                  <w:u w:val="single"/>
                </w:rPr>
                <w:t>4.1.3 Status Messages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7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the instruction read-out (Ctrl+Shift+5) is announced correctly via the alert region; the answer read-out (Ctrl+Shift+2) injects raw MathJax markup for math-bearing options, so the status message is unusable; on the drag-and-drop alternative form, placements are not announced and the read-back runs items together.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Every selection re-announces the whole page identically, so a screen-reader user is never told which part actually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Placing an item in the drag-and-drop ranking is not announced, so a screen-reader user cannot confirm where their answer went.</w:t>
            </w:r>
            <w:r>
              <w:t>Minor</w:t>
            </w:r>
          </w:p>
        </w:tc>
      </w:tr>
    </w:tbl>
    <w:p>
      <w:r/>
    </w:p>
    <w:p>
      <w:pPr>
        <w:pStyle w:val="Heading2"/>
      </w:pPr>
      <w:r>
        <w:t>Revised Section 508 — Chapter 3: Functional Performance Criteria</w:t>
      </w:r>
      <w:r/>
    </w:p>
    <w:p>
      <w:r/>
      <w:r>
        <w:t>Derived from the proportion of sampled views evaluated for each functional modality and the check rows recorded against them. A criterion whose views are not all evaluated is reported as Not Evaluated rather than inferred.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302.1 Without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46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>.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Coverage limit:</w:t>
            </w:r>
            <w:r>
              <w:t xml:space="preserve"> 9 of 10 pages carry a completed result, and 1 check row elsewhere remains unanswered. Still outstanding: </w:t>
            </w:r>
            <w:r>
              <w:rPr>
                <w:b/>
              </w:rPr>
              <w:t>View Printable Assignment</w:t>
            </w:r>
            <w:r>
              <w:t>. The level above reflects the pages that were evaluated.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302.2 With Limited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1 of the 10 pages evaluated could not be used by this method, and 25 recorded checks failed. Affected: </w:t>
            </w:r>
            <w:r>
              <w:rPr>
                <w:b/>
              </w:rPr>
              <w:t>View Printable Assignment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302.3 Without Perception of Color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21 recorded checks failed. Affected: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View Assignment Solutions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302.4 Without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302.5 With Limited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302.6 Without Speech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302.7 With Limited Manipulation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302.8 With Limited Reach and Strength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302.9 With Limited Language, Cognitive, and Learning Abilities</w:t>
            </w:r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method, but 12 recorded checks failed.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</w:tbl>
    <w:p>
      <w:r/>
    </w:p>
    <w:p>
      <w:r/>
      <w:r>
        <w:t>Source database hash a3b887701901c4da. VPAT</w:t>
      </w:r>
      <w:r>
        <w:rPr>
          <w:vertAlign w:val="superscript"/>
        </w:rPr>
        <w:t>®</w:t>
      </w:r>
      <w:r>
        <w:t xml:space="preserve"> is a registered service mark of the Information Technology Industry Council (ITI); this report follows the structure of VPAT</w:t>
      </w:r>
      <w:r>
        <w:rPr>
          <w:vertAlign w:val="superscript"/>
        </w:rPr>
        <w:t>®</w:t>
      </w:r>
      <w:r>
        <w:t xml:space="preserve"> 2.5 and is not endorsed by ITI.</w:t>
      </w:r>
      <w:r/>
      <w:r/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#report-information" TargetMode="External"/><Relationship Id="rId11" Type="http://schemas.openxmlformats.org/officeDocument/2006/relationships/hyperlink" Target="#applicable-standards-guidelines" TargetMode="External"/><Relationship Id="rId12" Type="http://schemas.openxmlformats.org/officeDocument/2006/relationships/hyperlink" Target="#terms" TargetMode="External"/><Relationship Id="rId13" Type="http://schemas.openxmlformats.org/officeDocument/2006/relationships/hyperlink" Target="#user-functional-limitations" TargetMode="External"/><Relationship Id="rId14" Type="http://schemas.openxmlformats.org/officeDocument/2006/relationships/hyperlink" Target="#summary" TargetMode="External"/><Relationship Id="rId15" Type="http://schemas.openxmlformats.org/officeDocument/2006/relationships/hyperlink" Target="#barriers-by-user-group" TargetMode="External"/><Relationship Id="rId16" Type="http://schemas.openxmlformats.org/officeDocument/2006/relationships/hyperlink" Target="#wcag-2-2-report" TargetMode="External"/><Relationship Id="rId17" Type="http://schemas.openxmlformats.org/officeDocument/2006/relationships/hyperlink" Target="#table-1-success-criteria-level-a" TargetMode="External"/><Relationship Id="rId18" Type="http://schemas.openxmlformats.org/officeDocument/2006/relationships/hyperlink" Target="#table-2-success-criteria-level-aa" TargetMode="External"/><Relationship Id="rId19" Type="http://schemas.openxmlformats.org/officeDocument/2006/relationships/hyperlink" Target="#revised-section-508-chapter-3-functional-performance-criteria" TargetMode="External"/><Relationship Id="rId20" Type="http://schemas.openxmlformats.org/officeDocument/2006/relationships/hyperlink" Target="mailto:fontaine@sfsu.edu" TargetMode="External"/><Relationship Id="rId21" Type="http://schemas.openxmlformats.org/officeDocument/2006/relationships/hyperlink" Target="https://www.w3.org/WAI/WCAG22/Understanding/non-text-content.html" TargetMode="External"/><Relationship Id="rId22" Type="http://schemas.openxmlformats.org/officeDocument/2006/relationships/hyperlink" Target="https://www.w3.org/WAI/WCAG22/Understanding/audio-only-and-video-only-prerecorded.html" TargetMode="External"/><Relationship Id="rId23" Type="http://schemas.openxmlformats.org/officeDocument/2006/relationships/hyperlink" Target="https://www.w3.org/WAI/WCAG22/Understanding/captions-prerecorded.html" TargetMode="External"/><Relationship Id="rId24" Type="http://schemas.openxmlformats.org/officeDocument/2006/relationships/hyperlink" Target="https://www.w3.org/WAI/WCAG22/Understanding/audio-description-or-media-alternative-prerecorded.html" TargetMode="External"/><Relationship Id="rId25" Type="http://schemas.openxmlformats.org/officeDocument/2006/relationships/hyperlink" Target="https://www.w3.org/WAI/WCAG22/Understanding/info-and-relationships.html" TargetMode="External"/><Relationship Id="rId26" Type="http://schemas.openxmlformats.org/officeDocument/2006/relationships/hyperlink" Target="https://www.w3.org/WAI/WCAG22/Understanding/meaningful-sequence.html" TargetMode="External"/><Relationship Id="rId27" Type="http://schemas.openxmlformats.org/officeDocument/2006/relationships/hyperlink" Target="https://www.w3.org/WAI/WCAG22/Understanding/sensory-characteristics.html" TargetMode="External"/><Relationship Id="rId28" Type="http://schemas.openxmlformats.org/officeDocument/2006/relationships/hyperlink" Target="https://www.w3.org/WAI/WCAG22/Understanding/use-of-color.html" TargetMode="External"/><Relationship Id="rId29" Type="http://schemas.openxmlformats.org/officeDocument/2006/relationships/hyperlink" Target="https://www.w3.org/WAI/WCAG22/Understanding/audio-control.html" TargetMode="External"/><Relationship Id="rId30" Type="http://schemas.openxmlformats.org/officeDocument/2006/relationships/hyperlink" Target="https://www.w3.org/WAI/WCAG22/Understanding/keyboard.html" TargetMode="External"/><Relationship Id="rId31" Type="http://schemas.openxmlformats.org/officeDocument/2006/relationships/hyperlink" Target="https://www.w3.org/WAI/WCAG22/Understanding/no-keyboard-trap.html" TargetMode="External"/><Relationship Id="rId32" Type="http://schemas.openxmlformats.org/officeDocument/2006/relationships/hyperlink" Target="https://www.w3.org/WAI/WCAG22/Understanding/character-key-shortcuts.html" TargetMode="External"/><Relationship Id="rId33" Type="http://schemas.openxmlformats.org/officeDocument/2006/relationships/hyperlink" Target="https://www.w3.org/WAI/WCAG22/Understanding/timing-adjustable.html" TargetMode="External"/><Relationship Id="rId34" Type="http://schemas.openxmlformats.org/officeDocument/2006/relationships/hyperlink" Target="https://www.w3.org/WAI/WCAG22/Understanding/pause-stop-hide.html" TargetMode="External"/><Relationship Id="rId35" Type="http://schemas.openxmlformats.org/officeDocument/2006/relationships/hyperlink" Target="https://www.w3.org/WAI/WCAG22/Understanding/three-flashes-or-below-threshold.html" TargetMode="External"/><Relationship Id="rId36" Type="http://schemas.openxmlformats.org/officeDocument/2006/relationships/hyperlink" Target="https://www.w3.org/WAI/WCAG22/Understanding/bypass-blocks.html" TargetMode="External"/><Relationship Id="rId37" Type="http://schemas.openxmlformats.org/officeDocument/2006/relationships/hyperlink" Target="https://www.w3.org/WAI/WCAG22/Understanding/page-titled.html" TargetMode="External"/><Relationship Id="rId38" Type="http://schemas.openxmlformats.org/officeDocument/2006/relationships/hyperlink" Target="https://www.w3.org/WAI/WCAG22/Understanding/focus-order.html" TargetMode="External"/><Relationship Id="rId39" Type="http://schemas.openxmlformats.org/officeDocument/2006/relationships/hyperlink" Target="https://www.w3.org/WAI/WCAG22/Understanding/link-purpose-in-context.html" TargetMode="External"/><Relationship Id="rId40" Type="http://schemas.openxmlformats.org/officeDocument/2006/relationships/hyperlink" Target="https://www.w3.org/WAI/WCAG22/Understanding/pointer-gestures.html" TargetMode="External"/><Relationship Id="rId41" Type="http://schemas.openxmlformats.org/officeDocument/2006/relationships/hyperlink" Target="https://www.w3.org/WAI/WCAG22/Understanding/pointer-cancellation.html" TargetMode="External"/><Relationship Id="rId42" Type="http://schemas.openxmlformats.org/officeDocument/2006/relationships/hyperlink" Target="https://www.w3.org/WAI/WCAG22/Understanding/label-in-name.html" TargetMode="External"/><Relationship Id="rId43" Type="http://schemas.openxmlformats.org/officeDocument/2006/relationships/hyperlink" Target="https://www.w3.org/WAI/WCAG22/Understanding/motion-actuation.html" TargetMode="External"/><Relationship Id="rId44" Type="http://schemas.openxmlformats.org/officeDocument/2006/relationships/hyperlink" Target="https://www.w3.org/WAI/WCAG22/Understanding/language-of-page.html" TargetMode="External"/><Relationship Id="rId45" Type="http://schemas.openxmlformats.org/officeDocument/2006/relationships/hyperlink" Target="https://www.w3.org/WAI/WCAG22/Understanding/on-focus.html" TargetMode="External"/><Relationship Id="rId46" Type="http://schemas.openxmlformats.org/officeDocument/2006/relationships/hyperlink" Target="https://www.w3.org/WAI/WCAG22/Understanding/on-input.html" TargetMode="External"/><Relationship Id="rId47" Type="http://schemas.openxmlformats.org/officeDocument/2006/relationships/hyperlink" Target="https://www.w3.org/WAI/WCAG22/Understanding/consistent-help.html" TargetMode="External"/><Relationship Id="rId48" Type="http://schemas.openxmlformats.org/officeDocument/2006/relationships/hyperlink" Target="https://www.w3.org/WAI/WCAG22/Understanding/error-identification.html" TargetMode="External"/><Relationship Id="rId49" Type="http://schemas.openxmlformats.org/officeDocument/2006/relationships/hyperlink" Target="https://www.w3.org/WAI/WCAG22/Understanding/labels-or-instructions.html" TargetMode="External"/><Relationship Id="rId50" Type="http://schemas.openxmlformats.org/officeDocument/2006/relationships/hyperlink" Target="https://www.w3.org/WAI/WCAG22/Understanding/redundant-entry.html" TargetMode="External"/><Relationship Id="rId51" Type="http://schemas.openxmlformats.org/officeDocument/2006/relationships/hyperlink" Target="https://www.w3.org/WAI/WCAG22/Understanding/name-role-value.html" TargetMode="External"/><Relationship Id="rId52" Type="http://schemas.openxmlformats.org/officeDocument/2006/relationships/hyperlink" Target="https://www.w3.org/WAI/WCAG22/Understanding/captions-live.html" TargetMode="External"/><Relationship Id="rId53" Type="http://schemas.openxmlformats.org/officeDocument/2006/relationships/hyperlink" Target="https://www.w3.org/WAI/WCAG22/Understanding/audio-description-prerecorded.html" TargetMode="External"/><Relationship Id="rId54" Type="http://schemas.openxmlformats.org/officeDocument/2006/relationships/hyperlink" Target="https://www.w3.org/WAI/WCAG22/Understanding/orientation.html" TargetMode="External"/><Relationship Id="rId55" Type="http://schemas.openxmlformats.org/officeDocument/2006/relationships/hyperlink" Target="https://www.w3.org/WAI/WCAG22/Understanding/identify-input-purpose.html" TargetMode="External"/><Relationship Id="rId56" Type="http://schemas.openxmlformats.org/officeDocument/2006/relationships/hyperlink" Target="https://www.w3.org/WAI/WCAG22/Understanding/contrast-minimum.html" TargetMode="External"/><Relationship Id="rId57" Type="http://schemas.openxmlformats.org/officeDocument/2006/relationships/hyperlink" Target="https://www.w3.org/WAI/WCAG22/Understanding/resize-text.html" TargetMode="External"/><Relationship Id="rId58" Type="http://schemas.openxmlformats.org/officeDocument/2006/relationships/hyperlink" Target="https://www.w3.org/WAI/WCAG22/Understanding/images-of-text.html" TargetMode="External"/><Relationship Id="rId59" Type="http://schemas.openxmlformats.org/officeDocument/2006/relationships/hyperlink" Target="https://www.w3.org/WAI/WCAG22/Understanding/reflow.html" TargetMode="External"/><Relationship Id="rId60" Type="http://schemas.openxmlformats.org/officeDocument/2006/relationships/hyperlink" Target="https://www.w3.org/WAI/WCAG22/Understanding/non-text-contrast.html" TargetMode="External"/><Relationship Id="rId61" Type="http://schemas.openxmlformats.org/officeDocument/2006/relationships/hyperlink" Target="https://www.w3.org/WAI/WCAG22/Understanding/text-spacing.html" TargetMode="External"/><Relationship Id="rId62" Type="http://schemas.openxmlformats.org/officeDocument/2006/relationships/hyperlink" Target="https://www.w3.org/WAI/WCAG22/Understanding/content-on-hover-or-focus.html" TargetMode="External"/><Relationship Id="rId63" Type="http://schemas.openxmlformats.org/officeDocument/2006/relationships/hyperlink" Target="https://www.w3.org/WAI/WCAG22/Understanding/multiple-ways.html" TargetMode="External"/><Relationship Id="rId64" Type="http://schemas.openxmlformats.org/officeDocument/2006/relationships/hyperlink" Target="https://www.w3.org/WAI/WCAG22/Understanding/headings-and-labels.html" TargetMode="External"/><Relationship Id="rId65" Type="http://schemas.openxmlformats.org/officeDocument/2006/relationships/hyperlink" Target="https://www.w3.org/WAI/WCAG22/Understanding/focus-visible.html" TargetMode="External"/><Relationship Id="rId66" Type="http://schemas.openxmlformats.org/officeDocument/2006/relationships/hyperlink" Target="https://www.w3.org/WAI/WCAG22/Understanding/focus-not-obscured-minimum.html" TargetMode="External"/><Relationship Id="rId67" Type="http://schemas.openxmlformats.org/officeDocument/2006/relationships/hyperlink" Target="https://www.w3.org/WAI/WCAG22/Understanding/dragging-movements.html" TargetMode="External"/><Relationship Id="rId68" Type="http://schemas.openxmlformats.org/officeDocument/2006/relationships/hyperlink" Target="https://www.w3.org/WAI/WCAG22/Understanding/target-size-minimum.html" TargetMode="External"/><Relationship Id="rId69" Type="http://schemas.openxmlformats.org/officeDocument/2006/relationships/hyperlink" Target="https://www.w3.org/WAI/WCAG22/Understanding/language-of-parts.html" TargetMode="External"/><Relationship Id="rId70" Type="http://schemas.openxmlformats.org/officeDocument/2006/relationships/hyperlink" Target="https://www.w3.org/WAI/WCAG22/Understanding/consistent-navigation.html" TargetMode="External"/><Relationship Id="rId71" Type="http://schemas.openxmlformats.org/officeDocument/2006/relationships/hyperlink" Target="https://www.w3.org/WAI/WCAG22/Understanding/consistent-identification.html" TargetMode="External"/><Relationship Id="rId72" Type="http://schemas.openxmlformats.org/officeDocument/2006/relationships/hyperlink" Target="https://www.w3.org/WAI/WCAG22/Understanding/error-suggestion.html" TargetMode="External"/><Relationship Id="rId73" Type="http://schemas.openxmlformats.org/officeDocument/2006/relationships/hyperlink" Target="https://www.w3.org/WAI/WCAG22/Understanding/error-prevention-legal-financial-data.html" TargetMode="External"/><Relationship Id="rId74" Type="http://schemas.openxmlformats.org/officeDocument/2006/relationships/hyperlink" Target="https://www.w3.org/WAI/WCAG22/Understanding/accessible-authentication-minimum.html" TargetMode="External"/><Relationship Id="rId75" Type="http://schemas.openxmlformats.org/officeDocument/2006/relationships/hyperlink" Target="https://www.w3.org/WAI/WCAG22/Understanding/status-messag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