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Accessibility Review Report — Adobe Express</w:t>
      </w:r>
    </w:p>
    <w:p>
      <w:r>
        <w:t xml:space="preserve">Independent verification by the CSU System-level ICT accessibility review team, serving campus RFPs and systemwide purchase agreements. This is </w:t>
      </w:r>
      <w:r>
        <w:rPr>
          <w:b/>
        </w:rPr>
        <w:t>not a vendor VPAT/ACR</w:t>
      </w:r>
      <w:r>
        <w:t xml:space="preserve"> — the vendor's self-attestation is audited in §Vendor ACR audit; the per-criterion technical record is </w:t>
      </w:r>
      <w:r>
        <w:rPr>
          <w:rFonts w:ascii="Consolas" w:hAnsi="Consolas"/>
          <w:sz w:val="19"/>
        </w:rPr>
        <w:t>05-results.md</w:t>
      </w:r>
      <w:r>
        <w:t xml:space="preserve">. Derivation rules: </w:t>
      </w:r>
      <w:r>
        <w:rPr>
          <w:rFonts w:ascii="Consolas" w:hAnsi="Consolas"/>
          <w:sz w:val="19"/>
        </w:rPr>
        <w:t>ontology/reporting.md</w:t>
      </w:r>
      <w:r>
        <w:t>.</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tcPr>
          <w:p>
            <w:pPr>
              <w:spacing w:after="40"/>
            </w:pPr>
            <w:r>
              <w:rPr>
                <w:b/>
                <w:sz w:val="19"/>
              </w:rPr>
              <w:t>Review ID</w:t>
            </w:r>
          </w:p>
        </w:tc>
        <w:tc>
          <w:tcPr>
            <w:tcW w:type="dxa" w:w="4824"/>
          </w:tcPr>
          <w:p>
            <w:pPr>
              <w:spacing w:after="40"/>
            </w:pPr>
            <w:r>
              <w:rPr>
                <w:sz w:val="19"/>
              </w:rPr>
              <w:t>2026-07-adobe-express</w:t>
            </w:r>
          </w:p>
        </w:tc>
      </w:tr>
      <w:tr>
        <w:tc>
          <w:tcPr>
            <w:tcW w:type="dxa" w:w="4824"/>
          </w:tcPr>
          <w:p>
            <w:pPr>
              <w:spacing w:after="40"/>
            </w:pPr>
            <w:r>
              <w:rPr>
                <w:b/>
                <w:sz w:val="19"/>
              </w:rPr>
              <w:t>Report status</w:t>
            </w:r>
          </w:p>
        </w:tc>
        <w:tc>
          <w:tcPr>
            <w:tcW w:type="dxa" w:w="4824"/>
          </w:tcPr>
          <w:p>
            <w:pPr>
              <w:spacing w:after="40"/>
            </w:pPr>
            <w:r>
              <w:rPr>
                <w:b/>
                <w:sz w:val="19"/>
              </w:rPr>
              <w:t>INTERIM — testing in progress</w:t>
            </w:r>
            <w:r>
              <w:rPr>
                <w:sz w:val="19"/>
              </w:rPr>
              <w:t xml:space="preserve"> (see §Coverage &amp; limitations)</w:t>
            </w:r>
          </w:p>
        </w:tc>
      </w:tr>
      <w:tr>
        <w:tc>
          <w:tcPr>
            <w:tcW w:type="dxa" w:w="4824"/>
          </w:tcPr>
          <w:p>
            <w:pPr>
              <w:spacing w:after="40"/>
            </w:pPr>
            <w:r>
              <w:rPr>
                <w:b/>
                <w:sz w:val="19"/>
              </w:rPr>
              <w:t>Report date</w:t>
            </w:r>
          </w:p>
        </w:tc>
        <w:tc>
          <w:tcPr>
            <w:tcW w:type="dxa" w:w="4824"/>
          </w:tcPr>
          <w:p>
            <w:pPr>
              <w:spacing w:after="40"/>
            </w:pPr>
          </w:p>
        </w:tc>
      </w:tr>
      <w:tr>
        <w:tc>
          <w:tcPr>
            <w:tcW w:type="dxa" w:w="4824"/>
          </w:tcPr>
          <w:p>
            <w:pPr>
              <w:spacing w:after="40"/>
            </w:pPr>
            <w:r>
              <w:rPr>
                <w:b/>
                <w:sz w:val="19"/>
              </w:rPr>
              <w:t>Reviewer(s)</w:t>
            </w:r>
          </w:p>
        </w:tc>
        <w:tc>
          <w:tcPr>
            <w:tcW w:type="dxa" w:w="4824"/>
          </w:tcPr>
          <w:p>
            <w:pPr>
              <w:spacing w:after="40"/>
            </w:pPr>
          </w:p>
        </w:tc>
      </w:tr>
      <w:tr>
        <w:tc>
          <w:tcPr>
            <w:tcW w:type="dxa" w:w="4824"/>
          </w:tcPr>
          <w:p>
            <w:pPr>
              <w:spacing w:after="40"/>
            </w:pPr>
            <w:r>
              <w:rPr>
                <w:b/>
                <w:sz w:val="19"/>
              </w:rPr>
              <w:t>Product &amp; version</w:t>
            </w:r>
          </w:p>
        </w:tc>
        <w:tc>
          <w:tcPr>
            <w:tcW w:type="dxa" w:w="4824"/>
          </w:tcPr>
          <w:p>
            <w:pPr>
              <w:spacing w:after="40"/>
            </w:pPr>
            <w:r>
              <w:rPr>
                <w:sz w:val="19"/>
              </w:rPr>
              <w:t>Adobe Express (web app, new.express.adobe.com)</w:t>
            </w:r>
          </w:p>
        </w:tc>
      </w:tr>
      <w:tr>
        <w:tc>
          <w:tcPr>
            <w:tcW w:type="dxa" w:w="4824"/>
          </w:tcPr>
          <w:p>
            <w:pPr>
              <w:spacing w:after="40"/>
            </w:pPr>
            <w:r>
              <w:rPr>
                <w:b/>
                <w:sz w:val="19"/>
              </w:rPr>
              <w:t>Vendor ACR reviewed</w:t>
            </w:r>
          </w:p>
        </w:tc>
        <w:tc>
          <w:tcPr>
            <w:tcW w:type="dxa" w:w="4824"/>
          </w:tcPr>
          <w:p>
            <w:pPr>
              <w:spacing w:after="40"/>
            </w:pPr>
            <w:r>
              <w:rPr>
                <w:sz w:val="19"/>
              </w:rPr>
              <w:t>"Adobe Express Web App" ACR, 2023 — written against WCAG 2.1 (see §Vendor ACR audit)</w:t>
            </w:r>
          </w:p>
        </w:tc>
      </w:tr>
      <w:tr>
        <w:tc>
          <w:tcPr>
            <w:tcW w:type="dxa" w:w="4824"/>
          </w:tcPr>
          <w:p>
            <w:pPr>
              <w:spacing w:after="40"/>
            </w:pPr>
            <w:r>
              <w:rPr>
                <w:b/>
                <w:sz w:val="19"/>
              </w:rPr>
              <w:t>Conformance target</w:t>
            </w:r>
          </w:p>
        </w:tc>
        <w:tc>
          <w:tcPr>
            <w:tcW w:type="dxa" w:w="4824"/>
          </w:tcPr>
          <w:p>
            <w:pPr>
              <w:spacing w:after="40"/>
            </w:pPr>
            <w:r>
              <w:rPr>
                <w:sz w:val="19"/>
              </w:rPr>
              <w:t>WCAG 2.2 Level AA</w:t>
            </w:r>
          </w:p>
        </w:tc>
      </w:tr>
      <w:tr>
        <w:tc>
          <w:tcPr>
            <w:tcW w:type="dxa" w:w="4824"/>
          </w:tcPr>
          <w:p>
            <w:pPr>
              <w:spacing w:after="40"/>
            </w:pPr>
            <w:r>
              <w:rPr>
                <w:b/>
                <w:sz w:val="19"/>
              </w:rPr>
              <w:t>Methodology</w:t>
            </w:r>
          </w:p>
        </w:tc>
        <w:tc>
          <w:tcPr>
            <w:tcW w:type="dxa" w:w="4824"/>
          </w:tcPr>
          <w:p>
            <w:pPr>
              <w:spacing w:after="40"/>
            </w:pPr>
            <w:r>
              <w:rPr>
                <w:sz w:val="19"/>
              </w:rPr>
              <w:t xml:space="preserve">WCAG-EM 2.0 (scope &amp; sample: </w:t>
            </w:r>
            <w:r>
              <w:rPr>
                <w:rFonts w:ascii="Consolas" w:hAnsi="Consolas"/>
                <w:sz w:val="19"/>
              </w:rPr>
              <w:t>03-scope-and-sample.md</w:t>
            </w:r>
            <w:r>
              <w:rPr>
                <w:sz w:val="19"/>
              </w:rPr>
              <w:t>)</w:t>
            </w:r>
          </w:p>
        </w:tc>
      </w:tr>
      <w:tr>
        <w:tc>
          <w:tcPr>
            <w:tcW w:type="dxa" w:w="4824"/>
          </w:tcPr>
          <w:p>
            <w:pPr>
              <w:spacing w:after="40"/>
            </w:pPr>
            <w:r>
              <w:rPr>
                <w:b/>
                <w:sz w:val="19"/>
              </w:rPr>
              <w:t>Instruments &amp; baselines</w:t>
            </w:r>
          </w:p>
        </w:tc>
        <w:tc>
          <w:tcPr>
            <w:tcW w:type="dxa" w:w="4824"/>
          </w:tcPr>
          <w:p>
            <w:pPr>
              <w:spacing w:after="40"/>
            </w:pPr>
            <w:r>
              <w:rPr>
                <w:sz w:val="19"/>
              </w:rPr>
              <w:t>NVDA 2026.1.1 + Chrome 150.0.7871.187 (B4); axe-core 4.10.3 (assistant-run sweeps); keyboard-only (B2) and 400% zoom (B3) pending; JAWS (B1) suspended pending a scope decision</w:t>
            </w:r>
          </w:p>
        </w:tc>
      </w:tr>
    </w:tbl>
    <w:p>
      <w:pPr>
        <w:spacing w:after="40"/>
      </w:pPr>
    </w:p>
    <w:p>
      <w:pPr>
        <w:pStyle w:val="Heading2"/>
      </w:pPr>
      <w:r>
        <w:t>Procurement decision</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tcPr>
          <w:p>
            <w:pPr>
              <w:spacing w:after="40"/>
            </w:pPr>
            <w:r>
              <w:rPr>
                <w:b/>
                <w:sz w:val="19"/>
              </w:rPr>
              <w:t>Decision</w:t>
            </w:r>
          </w:p>
        </w:tc>
        <w:tc>
          <w:tcPr>
            <w:tcW w:type="dxa" w:w="4824"/>
          </w:tcPr>
          <w:p>
            <w:pPr>
              <w:spacing w:after="40"/>
            </w:pPr>
            <w:r>
              <w:rPr>
                <w:sz w:val="19"/>
              </w:rPr>
              <w:t>Approved / Needs TAAP / Denied</w:t>
            </w:r>
          </w:p>
        </w:tc>
      </w:tr>
      <w:tr>
        <w:tc>
          <w:tcPr>
            <w:tcW w:type="dxa" w:w="4824"/>
          </w:tcPr>
          <w:p>
            <w:pPr>
              <w:spacing w:after="40"/>
            </w:pPr>
            <w:r>
              <w:rPr>
                <w:b/>
                <w:sz w:val="19"/>
              </w:rPr>
              <w:t>Decision date</w:t>
            </w:r>
          </w:p>
        </w:tc>
        <w:tc>
          <w:tcPr>
            <w:tcW w:type="dxa" w:w="4824"/>
          </w:tcPr>
          <w:p>
            <w:pPr>
              <w:spacing w:after="40"/>
            </w:pPr>
          </w:p>
        </w:tc>
      </w:tr>
      <w:tr>
        <w:tc>
          <w:tcPr>
            <w:tcW w:type="dxa" w:w="4824"/>
          </w:tcPr>
          <w:p>
            <w:pPr>
              <w:spacing w:after="40"/>
            </w:pPr>
            <w:r>
              <w:rPr>
                <w:b/>
                <w:sz w:val="19"/>
              </w:rPr>
              <w:t>Decided by</w:t>
            </w:r>
          </w:p>
        </w:tc>
        <w:tc>
          <w:tcPr>
            <w:tcW w:type="dxa" w:w="4824"/>
          </w:tcPr>
          <w:p>
            <w:pPr>
              <w:spacing w:after="40"/>
            </w:pPr>
          </w:p>
        </w:tc>
      </w:tr>
      <w:tr>
        <w:tc>
          <w:tcPr>
            <w:tcW w:type="dxa" w:w="4824"/>
          </w:tcPr>
          <w:p>
            <w:pPr>
              <w:spacing w:after="40"/>
            </w:pPr>
            <w:r>
              <w:rPr>
                <w:b/>
                <w:sz w:val="19"/>
              </w:rPr>
              <w:t>Rationale</w:t>
            </w:r>
          </w:p>
        </w:tc>
        <w:tc>
          <w:tcPr>
            <w:tcW w:type="dxa" w:w="4824"/>
          </w:tcPr>
          <w:p>
            <w:pPr>
              <w:spacing w:after="40"/>
            </w:pPr>
          </w:p>
        </w:tc>
      </w:tr>
    </w:tbl>
    <w:p>
      <w:pPr>
        <w:spacing w:after="40"/>
      </w:pPr>
    </w:p>
    <w:p>
      <w:r>
        <w:rPr>
          <w:b/>
        </w:rPr>
        <w:t>Decision buckets</w:t>
      </w:r>
      <w:r>
        <w:t xml:space="preserve"> — driven by the task verdicts in </w:t>
      </w:r>
      <w:r>
        <w:rPr>
          <w:rFonts w:ascii="Consolas" w:hAnsi="Consolas"/>
          <w:sz w:val="19"/>
        </w:rPr>
        <w:t>04-task-testing.md</w:t>
      </w:r>
      <w:r>
        <w:t>; apply the first bucket whose conditions all hold:</w:t>
      </w:r>
    </w:p>
    <w:p>
      <w:pPr>
        <w:pStyle w:val="ListBullet"/>
      </w:pPr>
      <w:r>
        <w:rPr>
          <w:b/>
        </w:rPr>
        <w:t>Approved</w:t>
      </w:r>
      <w:r>
        <w:t xml:space="preserve"> — the product may enter the campus ecosystem. No task verdict of </w:t>
      </w:r>
      <w:r>
        <w:rPr>
          <w:b/>
        </w:rPr>
        <w:t>Fail</w:t>
      </w:r>
      <w:r>
        <w:t>, no Blocker findings, and no "Does Not Support" outcome or Major finding that substantially burdens an essential task for any affected user group.</w:t>
      </w:r>
    </w:p>
    <w:p>
      <w:pPr>
        <w:pStyle w:val="ListBullet"/>
      </w:pPr>
      <w:r>
        <w:rPr>
          <w:b/>
        </w:rPr>
        <w:t>Needs TAAP</w:t>
      </w:r>
      <w:r>
        <w:t xml:space="preserve"> — the product may be procured only with a Technology Accessibility Accommodation Plan. Task failures or Major barriers exist, but every essential task remains achievable through accommodation, and the vendor commits to a remediation roadmap.</w:t>
      </w:r>
    </w:p>
    <w:p>
      <w:pPr>
        <w:pStyle w:val="ListBullet"/>
      </w:pPr>
      <w:r>
        <w:rPr>
          <w:b/>
        </w:rPr>
        <w:t>Denied</w:t>
      </w:r>
      <w:r>
        <w:t xml:space="preserve"> — the product may not enter the campus ecosystem. One or more essential tasks are blocked for an affected user group with no workable accommodation, or the vendor will not commit to remediation.</w:t>
      </w:r>
    </w:p>
    <w:p>
      <w:pPr>
        <w:pStyle w:val="Heading2"/>
      </w:pPr>
      <w:r>
        <w:t>At a glance</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tcPr>
          <w:p>
            <w:pPr>
              <w:spacing w:after="40"/>
            </w:pPr>
            <w:r>
              <w:rPr>
                <w:b/>
                <w:sz w:val="19"/>
              </w:rPr>
              <w:t>Headline</w:t>
            </w:r>
          </w:p>
        </w:tc>
        <w:tc>
          <w:tcPr>
            <w:tcW w:type="dxa" w:w="4824"/>
          </w:tcPr>
          <w:p>
            <w:pPr>
              <w:spacing w:after="40"/>
            </w:pPr>
            <w:r>
              <w:rPr>
                <w:sz w:val="19"/>
              </w:rPr>
              <w:t xml:space="preserve">A screen-reader user can </w:t>
            </w:r>
            <w:r>
              <w:rPr>
                <w:b/>
                <w:sz w:val="19"/>
              </w:rPr>
              <w:t>author</w:t>
            </w:r>
            <w:r>
              <w:rPr>
                <w:sz w:val="19"/>
              </w:rPr>
              <w:t xml:space="preserve"> a design end to end, but cannot readily </w:t>
            </w:r>
            <w:r>
              <w:rPr>
                <w:b/>
                <w:sz w:val="19"/>
              </w:rPr>
              <w:t>choose</w:t>
            </w:r>
            <w:r>
              <w:rPr>
                <w:sz w:val="19"/>
              </w:rPr>
              <w:t xml:space="preserve"> a template by name, </w:t>
            </w:r>
            <w:r>
              <w:rPr>
                <w:b/>
                <w:sz w:val="19"/>
              </w:rPr>
              <w:t>revise</w:t>
            </w:r>
            <w:r>
              <w:rPr>
                <w:sz w:val="19"/>
              </w:rPr>
              <w:t xml:space="preserve"> existing work, or </w:t>
            </w:r>
            <w:r>
              <w:rPr>
                <w:b/>
                <w:sz w:val="19"/>
              </w:rPr>
              <w:t>tell when operations complete</w:t>
            </w:r>
            <w:r>
              <w:rPr>
                <w:sz w:val="19"/>
              </w:rPr>
              <w:t>.</w:t>
            </w:r>
          </w:p>
        </w:tc>
      </w:tr>
      <w:tr>
        <w:tc>
          <w:tcPr>
            <w:tcW w:type="dxa" w:w="4824"/>
          </w:tcPr>
          <w:p>
            <w:pPr>
              <w:spacing w:after="40"/>
            </w:pPr>
            <w:r>
              <w:rPr>
                <w:b/>
                <w:sz w:val="19"/>
              </w:rPr>
              <w:t>Essential tasks</w:t>
            </w:r>
          </w:p>
        </w:tc>
        <w:tc>
          <w:tcPr>
            <w:tcW w:type="dxa" w:w="4824"/>
          </w:tcPr>
          <w:p>
            <w:pPr>
              <w:spacing w:after="40"/>
            </w:pPr>
            <w:r>
              <w:rPr>
                <w:sz w:val="19"/>
              </w:rPr>
              <w:t xml:space="preserve">2 defined: T1 (create from template) </w:t>
            </w:r>
            <w:r>
              <w:rPr>
                <w:b/>
                <w:sz w:val="19"/>
              </w:rPr>
              <w:t>Pass with barriers</w:t>
            </w:r>
            <w:r>
              <w:rPr>
                <w:sz w:val="19"/>
              </w:rPr>
              <w:t>; T2 (author from scratch) in progress — authoring steps pass, feedback steps fail</w:t>
            </w:r>
          </w:p>
        </w:tc>
      </w:tr>
      <w:tr>
        <w:tc>
          <w:tcPr>
            <w:tcW w:type="dxa" w:w="4824"/>
          </w:tcPr>
          <w:p>
            <w:pPr>
              <w:spacing w:after="40"/>
            </w:pPr>
            <w:r>
              <w:rPr>
                <w:b/>
                <w:sz w:val="19"/>
              </w:rPr>
              <w:t>Criteria verified</w:t>
            </w:r>
          </w:p>
        </w:tc>
        <w:tc>
          <w:tcPr>
            <w:tcW w:type="dxa" w:w="4824"/>
          </w:tcPr>
          <w:p>
            <w:pPr>
              <w:spacing w:after="40"/>
            </w:pPr>
            <w:r>
              <w:rPr>
                <w:b/>
                <w:sz w:val="19"/>
              </w:rPr>
              <w:t>12 of 55</w:t>
            </w:r>
            <w:r>
              <w:rPr>
                <w:sz w:val="19"/>
              </w:rPr>
              <w:t>: 1 Supports · 8 Partially Supports · 3 Does Not Support</w:t>
            </w:r>
          </w:p>
        </w:tc>
      </w:tr>
      <w:tr>
        <w:tc>
          <w:tcPr>
            <w:tcW w:type="dxa" w:w="4824"/>
          </w:tcPr>
          <w:p>
            <w:pPr>
              <w:spacing w:after="40"/>
            </w:pPr>
            <w:r>
              <w:rPr>
                <w:b/>
                <w:sz w:val="19"/>
              </w:rPr>
              <w:t>Findings</w:t>
            </w:r>
          </w:p>
        </w:tc>
        <w:tc>
          <w:tcPr>
            <w:tcW w:type="dxa" w:w="4824"/>
          </w:tcPr>
          <w:p>
            <w:pPr>
              <w:spacing w:after="40"/>
            </w:pPr>
            <w:r>
              <w:rPr>
                <w:b/>
                <w:sz w:val="19"/>
              </w:rPr>
              <w:t>14 active</w:t>
            </w:r>
            <w:r>
              <w:rPr>
                <w:sz w:val="19"/>
              </w:rPr>
              <w:t xml:space="preserve"> (0 Blocker · 12 Major · 2 Minor) + 1 raised-and-withdrawn, retained for the record; at least 3 product-wide</w:t>
            </w:r>
          </w:p>
        </w:tc>
      </w:tr>
      <w:tr>
        <w:tc>
          <w:tcPr>
            <w:tcW w:type="dxa" w:w="4824"/>
          </w:tcPr>
          <w:p>
            <w:pPr>
              <w:spacing w:after="40"/>
            </w:pPr>
            <w:r>
              <w:rPr>
                <w:b/>
                <w:sz w:val="19"/>
              </w:rPr>
              <w:t>Vendor ACR coverage</w:t>
            </w:r>
          </w:p>
        </w:tc>
        <w:tc>
          <w:tcPr>
            <w:tcW w:type="dxa" w:w="4824"/>
          </w:tcPr>
          <w:p>
            <w:pPr>
              <w:spacing w:after="40"/>
            </w:pPr>
            <w:r>
              <w:rPr>
                <w:sz w:val="19"/>
              </w:rPr>
              <w:t xml:space="preserve">2023, written against </w:t>
            </w:r>
            <w:r>
              <w:rPr>
                <w:b/>
                <w:sz w:val="19"/>
              </w:rPr>
              <w:t>WCAG 2.1</w:t>
            </w:r>
            <w:r>
              <w:rPr>
                <w:sz w:val="19"/>
              </w:rPr>
              <w:t>: 6 of the 55 target criteria unaddressed (all six WCAG 2.2 additions), 1 claim obsolete (4.1.1)</w:t>
            </w:r>
          </w:p>
        </w:tc>
      </w:tr>
      <w:tr>
        <w:tc>
          <w:tcPr>
            <w:tcW w:type="dxa" w:w="4824"/>
          </w:tcPr>
          <w:p>
            <w:pPr>
              <w:spacing w:after="40"/>
            </w:pPr>
            <w:r>
              <w:rPr>
                <w:b/>
                <w:sz w:val="19"/>
              </w:rPr>
              <w:t>Vendor ACR reliability</w:t>
            </w:r>
          </w:p>
        </w:tc>
        <w:tc>
          <w:tcPr>
            <w:tcW w:type="dxa" w:w="4824"/>
          </w:tcPr>
          <w:p>
            <w:pPr>
              <w:spacing w:after="40"/>
            </w:pPr>
            <w:r>
              <w:rPr>
                <w:sz w:val="19"/>
              </w:rPr>
              <w:t xml:space="preserve">Of 12 verified: </w:t>
            </w:r>
            <w:r>
              <w:rPr>
                <w:b/>
                <w:sz w:val="19"/>
              </w:rPr>
              <w:t>4 worse than claimed · 4 better · 3 agree</w:t>
            </w:r>
            <w:r>
              <w:rPr>
                <w:sz w:val="19"/>
              </w:rPr>
              <w:t xml:space="preserve"> (+1 with no claim to check)</w:t>
            </w:r>
          </w:p>
        </w:tc>
      </w:tr>
      <w:tr>
        <w:tc>
          <w:tcPr>
            <w:tcW w:type="dxa" w:w="4824"/>
          </w:tcPr>
          <w:p>
            <w:pPr>
              <w:spacing w:after="40"/>
            </w:pPr>
            <w:r>
              <w:rPr>
                <w:b/>
                <w:sz w:val="19"/>
              </w:rPr>
              <w:t>Remediation outlook</w:t>
            </w:r>
          </w:p>
        </w:tc>
        <w:tc>
          <w:tcPr>
            <w:tcW w:type="dxa" w:w="4824"/>
          </w:tcPr>
          <w:p>
            <w:pPr>
              <w:spacing w:after="40"/>
            </w:pPr>
            <w:r>
              <w:rPr>
                <w:sz w:val="19"/>
              </w:rPr>
              <w:t xml:space="preserve">Mostly </w:t>
            </w:r>
            <w:r>
              <w:rPr>
                <w:b/>
                <w:sz w:val="19"/>
              </w:rPr>
              <w:t>additive and cheap</w:t>
            </w:r>
            <w:r>
              <w:rPr>
                <w:sz w:val="19"/>
              </w:rPr>
              <w:t xml:space="preserve"> (names, announcements — see exhibit); one structural item (canvas object identity)</w:t>
            </w:r>
          </w:p>
        </w:tc>
      </w:tr>
      <w:tr>
        <w:tc>
          <w:tcPr>
            <w:tcW w:type="dxa" w:w="4824"/>
          </w:tcPr>
          <w:p>
            <w:pPr>
              <w:spacing w:after="40"/>
            </w:pPr>
            <w:r>
              <w:rPr>
                <w:b/>
                <w:sz w:val="19"/>
              </w:rPr>
              <w:t>Coverage of this review</w:t>
            </w:r>
          </w:p>
        </w:tc>
        <w:tc>
          <w:tcPr>
            <w:tcW w:type="dxa" w:w="4824"/>
          </w:tcPr>
          <w:p>
            <w:pPr>
              <w:spacing w:after="40"/>
            </w:pPr>
            <w:r>
              <w:rPr>
                <w:sz w:val="19"/>
              </w:rPr>
              <w:t xml:space="preserve">9 of 28 view×modality cells run; </w:t>
            </w:r>
            <w:r>
              <w:rPr>
                <w:b/>
                <w:sz w:val="19"/>
              </w:rPr>
              <w:t>all screen-reader evidence is NVDA-only</w:t>
            </w:r>
          </w:p>
        </w:tc>
      </w:tr>
    </w:tbl>
    <w:p>
      <w:pPr>
        <w:spacing w:after="40"/>
      </w:pPr>
    </w:p>
    <w:p>
      <w:pPr>
        <w:pStyle w:val="Heading2"/>
      </w:pPr>
      <w:r>
        <w:t>Executive summary</w:t>
      </w:r>
    </w:p>
    <w:p>
      <w:r>
        <w:t>Adobe Express (web) was evaluated against WCAG 2.2 Level AA using WCAG-EM, with task-based testing by a screen-reader-using reviewer across the home dashboard, template gallery, and editor. The product's fundamentals are sound — a user was able to author, name, and populate a design entirely by keyboard and screen reader — but a consistent product-wide pattern of missing names and missing status feedback means the same user cannot choose between visually-distinguished options, revise existing work, or tell when asynchronous operations finish. The vendor's ACR predates the target standard and misstates roughly a third of the criteria verified so far, in both directions. Testing is incomplete; this interim report exists to support early procurement conversation, not a final decision.</w:t>
      </w:r>
    </w:p>
    <w:p>
      <w:pPr>
        <w:pStyle w:val="Heading2"/>
      </w:pPr>
      <w:r>
        <w:t>Character of the barriers</w:t>
      </w:r>
    </w:p>
    <w:p>
      <w:r>
        <w:rPr>
          <w:b/>
        </w:rPr>
        <w:t>The product is broadly operable and fails on feedback, not on mechanics.</w:t>
      </w:r>
      <w:r>
        <w:t xml:space="preserve"> Across three views tested to date, the baseline semantics are sound: real headings, real buttons, landmark structure on most views, keyboard reachability of essentially everything, and — where tested — correct focus containment in dialogs. Very little is outright broken.</w:t>
      </w:r>
    </w:p>
    <w:p>
      <w:r>
        <w:rPr>
          <w:b/>
        </w:rPr>
        <w:t>What is thin is the supplementary layer that conveys *meaning* — and in this product that is the layer that matters most.</w:t>
      </w:r>
      <w:r>
        <w:t xml:space="preserve"> This is an application for producing </w:t>
      </w:r>
      <w:r>
        <w:rPr>
          <w:b/>
        </w:rPr>
        <w:t>visual artifacts</w:t>
      </w:r>
      <w:r>
        <w:t>, so a user who cannot see the artifact depends entirely on what the interface tells them. More feedback should be expected here than in an ordinary web application, not less. The evidence is consistent on this point:</w:t>
      </w:r>
    </w:p>
    <w:p>
      <w:pPr>
        <w:pStyle w:val="ListBullet"/>
      </w:pPr>
      <w:r>
        <w:rPr>
          <w:b/>
        </w:rPr>
        <w:t>Grouping exists but is unnamed</w:t>
      </w:r>
      <w:r>
        <w:t xml:space="preserve"> — 17 of 18 grids across all sampled views carry no accessible name (V-F11), while the headings that would name them sit unused beside them.</w:t>
      </w:r>
    </w:p>
    <w:p>
      <w:pPr>
        <w:pStyle w:val="ListBullet"/>
      </w:pPr>
      <w:r>
        <w:rPr>
          <w:b/>
        </w:rPr>
        <w:t>Selection is not conveyed</w:t>
      </w:r>
      <w:r>
        <w:t xml:space="preserve"> — choosing any object on the canvas announces "Canvas" or "Canvas Graphic", identically for a text box, an image or a shape (R015 O9, R016 O8).</w:t>
      </w:r>
    </w:p>
    <w:p>
      <w:pPr>
        <w:pStyle w:val="ListBullet"/>
      </w:pPr>
      <w:r>
        <w:rPr>
          <w:b/>
        </w:rPr>
        <w:t>Navigation is not conveyed</w:t>
      </w:r>
      <w:r>
        <w:t xml:space="preserve"> — moving between views announces "current page, current page" and never changes the page title (T1-F1, V-F8).</w:t>
      </w:r>
    </w:p>
    <w:p>
      <w:pPr>
        <w:pStyle w:val="ListBullet"/>
      </w:pPr>
      <w:r>
        <w:rPr>
          <w:b/>
        </w:rPr>
        <w:t>Completion is not conveyed</w:t>
      </w:r>
      <w:r>
        <w:t xml:space="preserve"> — search results, lazily-loaded content, image insertion and AI generation all finish silently (T1-F2, T2-F2).</w:t>
      </w:r>
    </w:p>
    <w:p>
      <w:pPr>
        <w:pStyle w:val="ListBullet"/>
      </w:pPr>
      <w:r>
        <w:rPr>
          <w:b/>
        </w:rPr>
        <w:t>Identity is not conveyed</w:t>
      </w:r>
      <w:r>
        <w:t xml:space="preserve"> — template items, six of the seven create-flow categories, and the text-editing field itself carry no accessible names (T1-F2, T2-F1, R015 O8).</w:t>
      </w:r>
    </w:p>
    <w:p>
      <w:r>
        <w:rPr>
          <w:b/>
        </w:rPr>
        <w:t>The exceptions prove it is a choice, not a limitation.</w:t>
      </w:r>
      <w:r>
        <w:t xml:space="preserve"> Where the product does supply ARIA, it works well: the layers list carries a genuinely instructive label including its keyboard shortcuts; adding new text announces "edit selected add text"; document creation announces "Loading Document"; renaming is fully operable by keyboard. The same codebase does this correctly in some places and omits it in most.</w:t>
      </w:r>
    </w:p>
    <w:p>
      <w:r>
        <w:rPr>
          <w:b/>
        </w:rPr>
        <w:t>Framing that survives vendor rebuttal.</w:t>
      </w:r>
      <w:r>
        <w:t xml:space="preserve"> Two easy claims are </w:t>
      </w:r>
      <w:r>
        <w:rPr>
          <w:i/>
        </w:rPr>
        <w:t>not</w:t>
      </w:r>
      <w:r>
        <w:t xml:space="preserve"> supported: "the editor is inaccessible" (a user authored a design end to end) and "tables are misused for navigation" (these are ARIA </w:t>
      </w:r>
      <w:r>
        <w:rPr>
          <w:rFonts w:ascii="Consolas" w:hAnsi="Consolas"/>
          <w:sz w:val="19"/>
        </w:rPr>
        <w:t>grid</w:t>
      </w:r>
      <w:r>
        <w:t xml:space="preserve"> roles misapplied to carousels, not layout tables). The defensible statements:</w:t>
      </w:r>
    </w:p>
    <w:p>
      <w:r>
        <w:rPr>
          <w:b/>
        </w:rPr>
        <w:t>a screen-reader user can author a design but cannot readily revise one</w:t>
      </w:r>
      <w:r>
        <w:t xml:space="preserve"> — including their own work in a later session (R016 O6); remediation is mostly additive; and almost none of this is visible to automated testing (the editor sweep returned 43 passes and said nothing about the canvas).</w:t>
      </w:r>
    </w:p>
    <w:p>
      <w:pPr>
        <w:pStyle w:val="Heading2"/>
      </w:pPr>
      <w:r>
        <w:t>Task outcomes</w:t>
      </w:r>
    </w:p>
    <w:tbl>
      <w:tblPr>
        <w:tblStyle w:val="TableGrid"/>
        <w:tblW w:type="auto" w:w="0"/>
        <w:jc w:val="left"/>
        <w:tblLayout w:type="autofit"/>
        <w:tblLook w:firstColumn="1" w:firstRow="1" w:lastColumn="0" w:lastRow="0" w:noHBand="0" w:noVBand="1" w:val="04A0"/>
      </w:tblPr>
      <w:tblGrid>
        <w:gridCol w:w="1930"/>
        <w:gridCol w:w="1930"/>
        <w:gridCol w:w="1930"/>
        <w:gridCol w:w="1930"/>
        <w:gridCol w:w="1930"/>
      </w:tblGrid>
      <w:tr>
        <w:trPr>
          <w:tblHeader w:val="true"/>
        </w:trPr>
        <w:tc>
          <w:tcPr>
            <w:tcW w:type="dxa" w:w="1930"/>
            <w:shd w:val="clear" w:fill="D9D9D9"/>
          </w:tcPr>
          <w:p>
            <w:pPr>
              <w:spacing w:after="40"/>
            </w:pPr>
            <w:r>
              <w:rPr>
                <w:b/>
                <w:sz w:val="19"/>
              </w:rPr>
              <w:t>Task</w:t>
            </w:r>
          </w:p>
        </w:tc>
        <w:tc>
          <w:tcPr>
            <w:tcW w:type="dxa" w:w="1930"/>
            <w:shd w:val="clear" w:fill="D9D9D9"/>
          </w:tcPr>
          <w:p>
            <w:pPr>
              <w:spacing w:after="40"/>
            </w:pPr>
            <w:r>
              <w:rPr>
                <w:b/>
                <w:sz w:val="19"/>
              </w:rPr>
              <w:t>User story</w:t>
            </w:r>
          </w:p>
        </w:tc>
        <w:tc>
          <w:tcPr>
            <w:tcW w:type="dxa" w:w="1930"/>
            <w:shd w:val="clear" w:fill="D9D9D9"/>
          </w:tcPr>
          <w:p>
            <w:pPr>
              <w:spacing w:after="40"/>
            </w:pPr>
            <w:r>
              <w:rPr>
                <w:b/>
                <w:sz w:val="19"/>
              </w:rPr>
              <w:t>Verdict</w:t>
            </w:r>
          </w:p>
        </w:tc>
        <w:tc>
          <w:tcPr>
            <w:tcW w:type="dxa" w:w="1930"/>
            <w:shd w:val="clear" w:fill="D9D9D9"/>
          </w:tcPr>
          <w:p>
            <w:pPr>
              <w:spacing w:after="40"/>
            </w:pPr>
            <w:r>
              <w:rPr>
                <w:b/>
                <w:sz w:val="19"/>
              </w:rPr>
              <w:t>WCAG criteria failed</w:t>
            </w:r>
          </w:p>
        </w:tc>
        <w:tc>
          <w:tcPr>
            <w:tcW w:type="dxa" w:w="1930"/>
            <w:shd w:val="clear" w:fill="D9D9D9"/>
          </w:tcPr>
          <w:p>
            <w:pPr>
              <w:spacing w:after="40"/>
            </w:pPr>
            <w:r>
              <w:rPr>
                <w:b/>
                <w:sz w:val="19"/>
              </w:rPr>
              <w:t>Findings</w:t>
            </w:r>
          </w:p>
        </w:tc>
      </w:tr>
      <w:tr>
        <w:tc>
          <w:tcPr>
            <w:tcW w:type="dxa" w:w="1930"/>
          </w:tcPr>
          <w:p>
            <w:pPr>
              <w:spacing w:after="40"/>
            </w:pPr>
            <w:r>
              <w:rPr>
                <w:sz w:val="19"/>
              </w:rPr>
              <w:t>T1</w:t>
            </w:r>
          </w:p>
        </w:tc>
        <w:tc>
          <w:tcPr>
            <w:tcW w:type="dxa" w:w="1930"/>
          </w:tcPr>
          <w:p>
            <w:pPr>
              <w:spacing w:after="40"/>
            </w:pPr>
            <w:r>
              <w:rPr>
                <w:sz w:val="19"/>
              </w:rPr>
              <w:t>Create a design from a template (F1 — core purpose)</w:t>
            </w:r>
          </w:p>
        </w:tc>
        <w:tc>
          <w:tcPr>
            <w:tcW w:type="dxa" w:w="1930"/>
          </w:tcPr>
          <w:p>
            <w:pPr>
              <w:spacing w:after="40"/>
            </w:pPr>
            <w:r>
              <w:rPr>
                <w:b/>
                <w:sz w:val="19"/>
              </w:rPr>
              <w:t>Pass with barriers</w:t>
            </w:r>
            <w:r>
              <w:rPr>
                <w:sz w:val="19"/>
              </w:rPr>
              <w:t xml:space="preserve"> (B4/NVDA; Fail was considered and rejected by reviewer decision — see 04 §A)</w:t>
            </w:r>
          </w:p>
        </w:tc>
        <w:tc>
          <w:tcPr>
            <w:tcW w:type="dxa" w:w="1930"/>
          </w:tcPr>
          <w:p>
            <w:pPr>
              <w:spacing w:after="40"/>
            </w:pPr>
            <w:r>
              <w:rPr>
                <w:sz w:val="19"/>
              </w:rPr>
              <w:t>4.1.2, 1.1.1, 1.3.1, 2.4.3, 4.1.3, 1.3.3, 2.4.2</w:t>
            </w:r>
          </w:p>
        </w:tc>
        <w:tc>
          <w:tcPr>
            <w:tcW w:type="dxa" w:w="1930"/>
          </w:tcPr>
          <w:p>
            <w:pPr>
              <w:spacing w:after="40"/>
            </w:pPr>
            <w:r>
              <w:rPr>
                <w:sz w:val="19"/>
              </w:rPr>
              <w:t>T1-F1, T1-F2 (+V-F8, V-F9)</w:t>
            </w:r>
          </w:p>
        </w:tc>
      </w:tr>
      <w:tr>
        <w:tc>
          <w:tcPr>
            <w:tcW w:type="dxa" w:w="1930"/>
          </w:tcPr>
          <w:p>
            <w:pPr>
              <w:spacing w:after="40"/>
            </w:pPr>
            <w:r>
              <w:rPr>
                <w:sz w:val="19"/>
              </w:rPr>
              <w:t>T2</w:t>
            </w:r>
          </w:p>
        </w:tc>
        <w:tc>
          <w:tcPr>
            <w:tcW w:type="dxa" w:w="1930"/>
          </w:tcPr>
          <w:p>
            <w:pPr>
              <w:spacing w:after="40"/>
            </w:pPr>
            <w:r>
              <w:rPr>
                <w:sz w:val="19"/>
              </w:rPr>
              <w:t>Author a design from scratch: add text, add an image, save (F2+F5)</w:t>
            </w:r>
          </w:p>
        </w:tc>
        <w:tc>
          <w:tcPr>
            <w:tcW w:type="dxa" w:w="1930"/>
          </w:tcPr>
          <w:p>
            <w:pPr>
              <w:spacing w:after="40"/>
            </w:pPr>
            <w:r>
              <w:rPr>
                <w:b/>
                <w:sz w:val="19"/>
              </w:rPr>
              <w:t>In progress</w:t>
            </w:r>
            <w:r>
              <w:rPr>
                <w:sz w:val="19"/>
              </w:rPr>
              <w:t xml:space="preserve"> — create/rename/add-text pass cleanly; image feedback fails; export not yet walked</w:t>
            </w:r>
          </w:p>
        </w:tc>
        <w:tc>
          <w:tcPr>
            <w:tcW w:type="dxa" w:w="1930"/>
          </w:tcPr>
          <w:p>
            <w:pPr>
              <w:spacing w:after="40"/>
            </w:pPr>
            <w:r>
              <w:rPr>
                <w:sz w:val="19"/>
              </w:rPr>
              <w:t>4.1.2, 1.1.1, 4.1.3 (so far)</w:t>
            </w:r>
          </w:p>
        </w:tc>
        <w:tc>
          <w:tcPr>
            <w:tcW w:type="dxa" w:w="1930"/>
          </w:tcPr>
          <w:p>
            <w:pPr>
              <w:spacing w:after="40"/>
            </w:pPr>
            <w:r>
              <w:rPr>
                <w:sz w:val="19"/>
              </w:rPr>
              <w:t>T2-F1, T2-F2</w:t>
            </w:r>
          </w:p>
        </w:tc>
      </w:tr>
    </w:tbl>
    <w:p>
      <w:pPr>
        <w:spacing w:after="40"/>
      </w:pPr>
    </w:p>
    <w:p>
      <w:pPr>
        <w:pStyle w:val="Heading2"/>
      </w:pPr>
      <w:r>
        <w:t>Key findings, by user impact</w:t>
      </w:r>
    </w:p>
    <w:p>
      <w:pPr>
        <w:pStyle w:val="Heading3"/>
      </w:pPr>
      <w:r>
        <w:t>1. Existing designs cannot readily be revised — the authoring/revising asymmetry (R015, R016 O6)</w:t>
      </w:r>
    </w:p>
    <w:p>
      <w:pPr>
        <w:pStyle w:val="ListBullet"/>
      </w:pPr>
      <w:r>
        <w:rPr>
          <w:b/>
        </w:rPr>
        <w:t>Impact:</w:t>
      </w:r>
      <w:r>
        <w:t xml:space="preserve"> A screen-reader user can create content but cannot practically return to it — their own later drafts, or a colleague's file. Selecting any canvas object announces only "Canvas"/"Canvas Graphic" with no name, type or content; the layers list (the only route to existing objects) appears in no NVDA navigation view and sits ~32 tab stops deep; the editing field, once reached, has no accessible name.</w:t>
      </w:r>
    </w:p>
    <w:p>
      <w:pPr>
        <w:pStyle w:val="ListBullet"/>
      </w:pPr>
      <w:r>
        <w:rPr>
          <w:b/>
        </w:rPr>
        <w:t>Where:</w:t>
      </w:r>
      <w:r>
        <w:t xml:space="preserve"> S3 Editor, all object types tested.</w:t>
      </w:r>
    </w:p>
    <w:p>
      <w:pPr>
        <w:pStyle w:val="ListBullet"/>
      </w:pPr>
      <w:r>
        <w:rPr>
          <w:b/>
        </w:rPr>
        <w:t>Root cause:</w:t>
      </w:r>
      <w:r>
        <w:t xml:space="preserve"> canvas objects have no representation in the accessibility tree; the on-demand </w:t>
      </w:r>
      <w:r>
        <w:rPr>
          <w:rFonts w:ascii="Consolas" w:hAnsi="Consolas"/>
          <w:sz w:val="19"/>
        </w:rPr>
        <w:t>&lt;textarea&gt;</w:t>
      </w:r>
      <w:r>
        <w:t xml:space="preserve"> is unnamed.</w:t>
      </w:r>
    </w:p>
    <w:p>
      <w:pPr>
        <w:pStyle w:val="ListBullet"/>
      </w:pPr>
      <w:r>
        <w:rPr>
          <w:b/>
        </w:rPr>
        <w:t>Evidence:</w:t>
      </w:r>
      <w:r>
        <w:t xml:space="preserve"> R015 O2/O3/O8/O9; R016 O6, O8, O9.</w:t>
      </w:r>
    </w:p>
    <w:p>
      <w:pPr>
        <w:pStyle w:val="Heading3"/>
      </w:pPr>
      <w:r>
        <w:t>2. Choosing between visual options is guesswork — templates and create-flow (T1-F2, T2-F1, V-F5)</w:t>
      </w:r>
    </w:p>
    <w:p>
      <w:pPr>
        <w:pStyle w:val="ListBullet"/>
      </w:pPr>
      <w:r>
        <w:rPr>
          <w:b/>
        </w:rPr>
        <w:t>Impact:</w:t>
      </w:r>
      <w:r>
        <w:t xml:space="preserve"> The product's selling point is choosing among visually-distinguished designs; a screen-reader user cannot tell the options apart. Template-grid items have no names and their thumbnails are absent from the accessibility tree; six of seven create-chooser categories announce every option as "Clickable Figure Template Button"; ten modal buttons share one name.</w:t>
      </w:r>
    </w:p>
    <w:p>
      <w:pPr>
        <w:pStyle w:val="ListBullet"/>
      </w:pPr>
      <w:r>
        <w:rPr>
          <w:b/>
        </w:rPr>
        <w:t>Where:</w:t>
      </w:r>
      <w:r>
        <w:t xml:space="preserve"> S2 Explore grid; S1/"Get started" chooser.</w:t>
      </w:r>
    </w:p>
    <w:p>
      <w:pPr>
        <w:pStyle w:val="ListBullet"/>
      </w:pPr>
      <w:r>
        <w:rPr>
          <w:b/>
        </w:rPr>
        <w:t>Root cause (grid):</w:t>
      </w:r>
      <w:r>
        <w:t xml:space="preserve"> </w:t>
      </w:r>
      <w:r>
        <w:rPr>
          <w:rFonts w:ascii="Consolas" w:hAnsi="Consolas"/>
          <w:sz w:val="19"/>
        </w:rPr>
        <w:t>&lt;x-masonry role="row"&gt;</w:t>
      </w:r>
      <w:r>
        <w:t xml:space="preserve"> with </w:t>
      </w:r>
      <w:r>
        <w:rPr>
          <w:b/>
        </w:rPr>
        <w:t>no grid parent</w:t>
      </w:r>
      <w:r>
        <w:t xml:space="preserve"> (axe critical, R011 O1) — and a correctly-built list sits on the same view (the search results list, R013 O13), proving the pattern is achievable in this codebase.</w:t>
      </w:r>
    </w:p>
    <w:p>
      <w:pPr>
        <w:pStyle w:val="ListBullet"/>
      </w:pPr>
      <w:r>
        <w:rPr>
          <w:b/>
        </w:rPr>
        <w:t>Evidence:</w:t>
      </w:r>
      <w:r>
        <w:t xml:space="preserve"> R013 O3–O8; R016 O1/O2; R011 O1.</w:t>
      </w:r>
    </w:p>
    <w:p>
      <w:pPr>
        <w:pStyle w:val="Heading3"/>
      </w:pPr>
      <w:r>
        <w:t>3. Operations complete silently — three instances of the same 4.1.3 defect (T1-F2, T2-F2)</w:t>
      </w:r>
    </w:p>
    <w:p>
      <w:pPr>
        <w:pStyle w:val="ListBullet"/>
      </w:pPr>
      <w:r>
        <w:rPr>
          <w:b/>
        </w:rPr>
        <w:t>Impact:</w:t>
      </w:r>
      <w:r>
        <w:t xml:space="preserve"> Search results arrive, lazy content loads, images insert, and AI generation runs for many seconds — none of it announced. "Still working", "finished" and "failed" are indistinguishable. Sharpest on </w:t>
      </w:r>
      <w:r>
        <w:rPr>
          <w:b/>
        </w:rPr>
        <w:t>Generate with AI</w:t>
      </w:r>
      <w:r>
        <w:t>, the product's most promoted capability.</w:t>
      </w:r>
    </w:p>
    <w:p>
      <w:pPr>
        <w:pStyle w:val="ListBullet"/>
      </w:pPr>
      <w:r>
        <w:rPr>
          <w:b/>
        </w:rPr>
        <w:t>The clincher:</w:t>
      </w:r>
      <w:r>
        <w:t xml:space="preserve"> the same panel announces </w:t>
      </w:r>
      <w:r>
        <w:rPr>
          <w:i/>
        </w:rPr>
        <w:t>text</w:t>
      </w:r>
      <w:r>
        <w:t xml:space="preserve"> insertion ("edit selected add text") — the capability exists and is unevenly applied.</w:t>
      </w:r>
    </w:p>
    <w:p>
      <w:pPr>
        <w:pStyle w:val="ListBullet"/>
      </w:pPr>
      <w:r>
        <w:rPr>
          <w:b/>
        </w:rPr>
        <w:t>Evidence:</w:t>
      </w:r>
      <w:r>
        <w:t xml:space="preserve"> R013 O3/O8/O13; R016 O7.</w:t>
      </w:r>
    </w:p>
    <w:p>
      <w:pPr>
        <w:pStyle w:val="Heading3"/>
      </w:pPr>
      <w:r>
        <w:t>4. No orientation across views — titles and navigation (V-F8, T1-F1)</w:t>
      </w:r>
    </w:p>
    <w:p>
      <w:pPr>
        <w:pStyle w:val="ListBullet"/>
      </w:pPr>
      <w:r>
        <w:rPr>
          <w:b/>
        </w:rPr>
        <w:t>Impact:</w:t>
      </w:r>
      <w:r>
        <w:t xml:space="preserve"> The document title is "Adobe Express" on every view (4 views verified, 1 title) and rail navigation announces only "current page, current page" while focus stays behind — so moving through the app gives a screen-reader user no signal of where they are. Verified worse than the vendor's own claim (2.4.2: claimed Partially Supports, verified </w:t>
      </w:r>
      <w:r>
        <w:rPr>
          <w:b/>
        </w:rPr>
        <w:t>Does Not Support</w:t>
      </w:r>
      <w:r>
        <w:t xml:space="preserve">). Documents </w:t>
      </w:r>
      <w:r>
        <w:rPr>
          <w:i/>
        </w:rPr>
        <w:t>do</w:t>
      </w:r>
      <w:r>
        <w:t xml:space="preserve"> retitle, so the capability exists.</w:t>
      </w:r>
    </w:p>
    <w:p>
      <w:pPr>
        <w:pStyle w:val="ListBullet"/>
      </w:pPr>
      <w:r>
        <w:rPr>
          <w:b/>
        </w:rPr>
        <w:t>Evidence:</w:t>
      </w:r>
      <w:r>
        <w:t xml:space="preserve"> R012 O16; R013 O1; title comparison in R012.</w:t>
      </w:r>
    </w:p>
    <w:p>
      <w:pPr>
        <w:pStyle w:val="Heading3"/>
      </w:pPr>
      <w:r>
        <w:t>5. Product-wide unnamed grids (V-F11)</w:t>
      </w:r>
    </w:p>
    <w:p>
      <w:pPr>
        <w:pStyle w:val="ListBullet"/>
      </w:pPr>
      <w:r>
        <w:rPr>
          <w:b/>
        </w:rPr>
        <w:t>Impact:</w:t>
      </w:r>
      <w:r>
        <w:t xml:space="preserve"> 17 of 18 grids across all four sampled views have no accessible name; users land in anonymous "grid"/"table" containers. ARIA </w:t>
      </w:r>
      <w:r>
        <w:rPr>
          <w:rFonts w:ascii="Consolas" w:hAnsi="Consolas"/>
          <w:sz w:val="19"/>
        </w:rPr>
        <w:t>grid</w:t>
      </w:r>
      <w:r>
        <w:t xml:space="preserve"> is also misapplied to one-dimensional carousels.</w:t>
      </w:r>
    </w:p>
    <w:p>
      <w:pPr>
        <w:pStyle w:val="ListBullet"/>
      </w:pPr>
      <w:r>
        <w:rPr>
          <w:b/>
        </w:rPr>
        <w:t>Remediation is one line per grid</w:t>
      </w:r>
      <w:r>
        <w:t xml:space="preserve"> — each already has an adjacent exposed heading; </w:t>
      </w:r>
      <w:r>
        <w:rPr>
          <w:rFonts w:ascii="Consolas" w:hAnsi="Consolas"/>
          <w:sz w:val="19"/>
        </w:rPr>
        <w:t>aria-labelledby</w:t>
      </w:r>
      <w:r>
        <w:t xml:space="preserve"> closes it.</w:t>
      </w:r>
    </w:p>
    <w:p>
      <w:pPr>
        <w:pStyle w:val="ListBullet"/>
      </w:pPr>
      <w:r>
        <w:rPr>
          <w:b/>
        </w:rPr>
        <w:t>Evidence:</w:t>
      </w:r>
      <w:r>
        <w:t xml:space="preserve"> R015 O10 (counts across S1/S2/S3/S4).</w:t>
      </w:r>
    </w:p>
    <w:p>
      <w:pPr>
        <w:pStyle w:val="Heading3"/>
      </w:pPr>
      <w:r>
        <w:t>6. Keyboard-only users have no bypass (V-F3 — reviewer decision pending)</w:t>
      </w:r>
    </w:p>
    <w:p>
      <w:pPr>
        <w:pStyle w:val="ListBullet"/>
      </w:pPr>
      <w:r>
        <w:rPr>
          <w:b/>
        </w:rPr>
        <w:t>Impact:</w:t>
      </w:r>
      <w:r>
        <w:t xml:space="preserve"> No skip link; ~15 tab stops of Adobe cross-product chrome precede content on every page. Screen-reader users bypass via landmarks (confirmed in both JAWS and NVDA), so this is scoped to keyboard-without-AT users. Held at Does Not Support pending the reviewer's 2.4.1 call — note the editor (S3) has </w:t>
      </w:r>
      <w:r>
        <w:rPr>
          <w:b/>
        </w:rPr>
        <w:t>no `main` landmark</w:t>
      </w:r>
      <w:r>
        <w:t>, so the landmark bypass does not exist there.</w:t>
      </w:r>
    </w:p>
    <w:p>
      <w:pPr>
        <w:pStyle w:val="ListBullet"/>
      </w:pPr>
      <w:r>
        <w:rPr>
          <w:b/>
        </w:rPr>
        <w:t>Evidence:</w:t>
      </w:r>
      <w:r>
        <w:t xml:space="preserve"> R004 O1; R001 O7; R012 O7; R014 O3.</w:t>
      </w:r>
    </w:p>
    <w:p>
      <w:pPr>
        <w:pStyle w:val="Heading3"/>
      </w:pPr>
      <w:r>
        <w:t>7. Hover flyout violates all three 1.4.13 conditions (V-F1 — pointer confirmation pending)</w:t>
      </w:r>
    </w:p>
    <w:p>
      <w:pPr>
        <w:pStyle w:val="ListBullet"/>
      </w:pPr>
      <w:r>
        <w:rPr>
          <w:b/>
        </w:rPr>
        <w:t>Impact:</w:t>
      </w:r>
      <w:r>
        <w:t xml:space="preserve"> The left-rail flyout dismisses when approached, ignores Esc, and then persists indefinitely over content. Worse than the vendor's claim if confirmed with continuous pointer movement.</w:t>
      </w:r>
    </w:p>
    <w:p>
      <w:pPr>
        <w:pStyle w:val="ListBullet"/>
      </w:pPr>
      <w:r>
        <w:rPr>
          <w:b/>
        </w:rPr>
        <w:t>Evidence:</w:t>
      </w:r>
      <w:r>
        <w:t xml:space="preserve"> R002 O4/O5; R003.</w:t>
      </w:r>
    </w:p>
    <w:p>
      <w:pPr>
        <w:pStyle w:val="Heading3"/>
      </w:pPr>
      <w:r>
        <w:t>8. Unnamed icon controls and a stateless toggle (V-F4, V-F10, R015 O6)</w:t>
      </w:r>
    </w:p>
    <w:p>
      <w:pPr>
        <w:pStyle w:val="ListBullet"/>
      </w:pPr>
      <w:r>
        <w:rPr>
          <w:b/>
        </w:rPr>
        <w:t>Impact:</w:t>
      </w:r>
      <w:r>
        <w:t xml:space="preserve"> The header community button (every view) and the editor's page-nav "more" button announce as bare "button"; the floating text-toolbar's Bold/Italic/Underline carry no labels; Italic exposes no pressed state. Scope verified narrow — these are specific misses, not a systemic component failure (48 of 49 controls on S1 are correctly named).</w:t>
      </w:r>
    </w:p>
    <w:p>
      <w:pPr>
        <w:pStyle w:val="ListBullet"/>
      </w:pPr>
      <w:r>
        <w:rPr>
          <w:b/>
        </w:rPr>
        <w:t>Evidence:</w:t>
      </w:r>
      <w:r>
        <w:t xml:space="preserve"> R012 O1; R014 O1; R015 O6.</w:t>
      </w:r>
    </w:p>
    <w:p>
      <w:pPr>
        <w:pStyle w:val="Heading3"/>
      </w:pPr>
      <w:r>
        <w:t>Positives that shape the decision</w:t>
      </w:r>
    </w:p>
    <w:p>
      <w:pPr>
        <w:pStyle w:val="ListBullet"/>
      </w:pPr>
      <w:r>
        <w:rPr>
          <w:b/>
        </w:rPr>
        <w:t>Authoring works end to end</w:t>
      </w:r>
      <w:r>
        <w:t>: blank document created, named ("Test-With-Keyboard"), text added with correct announcements, edit mode entered automatically, content confirmable by ear (R016 O4/O5).</w:t>
      </w:r>
    </w:p>
    <w:p>
      <w:pPr>
        <w:pStyle w:val="ListBullet"/>
      </w:pPr>
      <w:r>
        <w:rPr>
          <w:b/>
        </w:rPr>
        <w:t>The "Get started" modal is exemplary on focus</w:t>
      </w:r>
      <w:r>
        <w:t>: focus moves in, is contained, Esc closes (R012 O8/O13 — a Major finding was raised against it in error and formally withdrawn, V-F6).</w:t>
      </w:r>
    </w:p>
    <w:p>
      <w:pPr>
        <w:pStyle w:val="ListBullet"/>
      </w:pPr>
      <w:r>
        <w:rPr>
          <w:b/>
        </w:rPr>
        <w:t>2.5.8 Target Size: Supports</w:t>
      </w:r>
      <w:r>
        <w:t xml:space="preserve"> — measured across all 51 interactive targets; independent evidence for a criterion the vendor never addressed.</w:t>
      </w:r>
    </w:p>
    <w:p>
      <w:pPr>
        <w:pStyle w:val="ListBullet"/>
      </w:pPr>
      <w:r>
        <w:rPr>
          <w:b/>
        </w:rPr>
        <w:t>App-bar contrast passes at 11–12:1</w:t>
      </w:r>
      <w:r>
        <w:t xml:space="preserve"> where two automated instruments returned "indeterminate" (and axe's two </w:t>
      </w:r>
      <w:r>
        <w:rPr>
          <w:i/>
        </w:rPr>
        <w:t>failing</w:t>
      </w:r>
      <w:r>
        <w:t xml:space="preserve"> contrast numbers on the editor were proven false positives by pixel measurement).</w:t>
      </w:r>
    </w:p>
    <w:p>
      <w:pPr>
        <w:pStyle w:val="Heading2"/>
      </w:pPr>
      <w:r>
        <w:t>Findings by sensory/functional modality (Section 508 FPC)</w:t>
      </w:r>
    </w:p>
    <w:p>
      <w:r>
        <w:rPr>
          <w:i/>
        </w:rPr>
        <w:t>Procurement reads in functional terms — "can a blind user, a deaf user, a keyboard-only user actually work?" This slices the same findings by the Section 508 Functional Performance Criteria (302.1–302.9), per the modality→WCAG map in `ontology/modality-checks.md`.</w:t>
      </w:r>
    </w:p>
    <w:tbl>
      <w:tblPr>
        <w:tblStyle w:val="TableGrid"/>
        <w:tblW w:type="auto" w:w="0"/>
        <w:jc w:val="left"/>
        <w:tblLayout w:type="autofit"/>
        <w:tblLook w:firstColumn="1" w:firstRow="1" w:lastColumn="0" w:lastRow="0" w:noHBand="0" w:noVBand="1" w:val="04A0"/>
      </w:tblPr>
      <w:tblGrid>
        <w:gridCol w:w="1930"/>
        <w:gridCol w:w="1930"/>
        <w:gridCol w:w="1930"/>
        <w:gridCol w:w="1930"/>
        <w:gridCol w:w="1930"/>
      </w:tblGrid>
      <w:tr>
        <w:trPr>
          <w:tblHeader w:val="true"/>
        </w:trPr>
        <w:tc>
          <w:tcPr>
            <w:tcW w:type="dxa" w:w="1930"/>
            <w:shd w:val="clear" w:fill="D9D9D9"/>
          </w:tcPr>
          <w:p>
            <w:pPr>
              <w:spacing w:after="40"/>
            </w:pPr>
            <w:r>
              <w:rPr>
                <w:b/>
                <w:sz w:val="19"/>
              </w:rPr>
              <w:t>Modality (508 FPC)</w:t>
            </w:r>
          </w:p>
        </w:tc>
        <w:tc>
          <w:tcPr>
            <w:tcW w:type="dxa" w:w="1930"/>
            <w:shd w:val="clear" w:fill="D9D9D9"/>
          </w:tcPr>
          <w:p>
            <w:pPr>
              <w:spacing w:after="40"/>
            </w:pPr>
            <w:r>
              <w:rPr>
                <w:b/>
                <w:sz w:val="19"/>
              </w:rPr>
              <w:t>Coverage so far</w:t>
            </w:r>
          </w:p>
        </w:tc>
        <w:tc>
          <w:tcPr>
            <w:tcW w:type="dxa" w:w="1930"/>
            <w:shd w:val="clear" w:fill="D9D9D9"/>
          </w:tcPr>
          <w:p>
            <w:pPr>
              <w:spacing w:after="40"/>
            </w:pPr>
            <w:r>
              <w:rPr>
                <w:b/>
                <w:sz w:val="19"/>
              </w:rPr>
              <w:t>Criteria failed</w:t>
            </w:r>
          </w:p>
        </w:tc>
        <w:tc>
          <w:tcPr>
            <w:tcW w:type="dxa" w:w="1930"/>
            <w:shd w:val="clear" w:fill="D9D9D9"/>
          </w:tcPr>
          <w:p>
            <w:pPr>
              <w:spacing w:after="40"/>
            </w:pPr>
            <w:r>
              <w:rPr>
                <w:b/>
                <w:sz w:val="19"/>
              </w:rPr>
              <w:t>Findings</w:t>
            </w:r>
          </w:p>
        </w:tc>
        <w:tc>
          <w:tcPr>
            <w:tcW w:type="dxa" w:w="1930"/>
            <w:shd w:val="clear" w:fill="D9D9D9"/>
          </w:tcPr>
          <w:p>
            <w:pPr>
              <w:spacing w:after="40"/>
            </w:pPr>
            <w:r>
              <w:rPr>
                <w:b/>
                <w:sz w:val="19"/>
              </w:rPr>
              <w:t>What it means for this user group</w:t>
            </w:r>
          </w:p>
        </w:tc>
      </w:tr>
      <w:tr>
        <w:tc>
          <w:tcPr>
            <w:tcW w:type="dxa" w:w="1930"/>
          </w:tcPr>
          <w:p>
            <w:pPr>
              <w:spacing w:after="40"/>
            </w:pPr>
            <w:r>
              <w:rPr>
                <w:b/>
                <w:sz w:val="19"/>
              </w:rPr>
              <w:t>Without vision</w:t>
            </w:r>
            <w:r>
              <w:rPr>
                <w:sz w:val="19"/>
              </w:rPr>
              <w:t xml:space="preserve"> (302.1)</w:t>
            </w:r>
          </w:p>
        </w:tc>
        <w:tc>
          <w:tcPr>
            <w:tcW w:type="dxa" w:w="1930"/>
          </w:tcPr>
          <w:p>
            <w:pPr>
              <w:spacing w:after="40"/>
            </w:pPr>
            <w:r>
              <w:rPr>
                <w:sz w:val="19"/>
              </w:rPr>
              <w:t>S1 ✓, S2 ✓, S3 in progress (NVDA only)</w:t>
            </w:r>
          </w:p>
        </w:tc>
        <w:tc>
          <w:tcPr>
            <w:tcW w:type="dxa" w:w="1930"/>
          </w:tcPr>
          <w:p>
            <w:pPr>
              <w:spacing w:after="40"/>
            </w:pPr>
            <w:r>
              <w:rPr>
                <w:sz w:val="19"/>
              </w:rPr>
              <w:t>1.1.1, 1.3.1, 1.3.3, 2.4.2, 2.4.3, 2.4.6, 4.1.2, 4.1.3</w:t>
            </w:r>
          </w:p>
        </w:tc>
        <w:tc>
          <w:tcPr>
            <w:tcW w:type="dxa" w:w="1930"/>
          </w:tcPr>
          <w:p>
            <w:pPr>
              <w:spacing w:after="40"/>
            </w:pPr>
            <w:r>
              <w:rPr>
                <w:sz w:val="19"/>
              </w:rPr>
              <w:t>T1-F1, T1-F2, T2-F1, T2-F2, V-F4, V-F5, V-F7–V-F11</w:t>
            </w:r>
          </w:p>
        </w:tc>
        <w:tc>
          <w:tcPr>
            <w:tcW w:type="dxa" w:w="1930"/>
          </w:tcPr>
          <w:p>
            <w:pPr>
              <w:spacing w:after="40"/>
            </w:pPr>
            <w:r>
              <w:rPr>
                <w:sz w:val="19"/>
              </w:rPr>
              <w:t>Can author a design end to end; cannot choose templates by name, revise existing work, or tell when operations finish. The most-affected group.</w:t>
            </w:r>
          </w:p>
        </w:tc>
      </w:tr>
      <w:tr>
        <w:tc>
          <w:tcPr>
            <w:tcW w:type="dxa" w:w="1930"/>
          </w:tcPr>
          <w:p>
            <w:pPr>
              <w:spacing w:after="40"/>
            </w:pPr>
            <w:r>
              <w:rPr>
                <w:b/>
                <w:sz w:val="19"/>
              </w:rPr>
              <w:t>With limited vision</w:t>
            </w:r>
            <w:r>
              <w:rPr>
                <w:sz w:val="19"/>
              </w:rPr>
              <w:t xml:space="preserve"> (302.2)</w:t>
            </w:r>
          </w:p>
        </w:tc>
        <w:tc>
          <w:tcPr>
            <w:tcW w:type="dxa" w:w="1930"/>
          </w:tcPr>
          <w:p>
            <w:pPr>
              <w:spacing w:after="40"/>
            </w:pPr>
            <w:r>
              <w:rPr>
                <w:sz w:val="19"/>
              </w:rPr>
              <w:t>Partial — reviewer zoom/reflow session pending</w:t>
            </w:r>
          </w:p>
        </w:tc>
        <w:tc>
          <w:tcPr>
            <w:tcW w:type="dxa" w:w="1930"/>
          </w:tcPr>
          <w:p>
            <w:pPr>
              <w:spacing w:after="40"/>
            </w:pPr>
            <w:r>
              <w:rPr>
                <w:sz w:val="19"/>
              </w:rPr>
              <w:t>1.4.3, 1.4.13</w:t>
            </w:r>
          </w:p>
        </w:tc>
        <w:tc>
          <w:tcPr>
            <w:tcW w:type="dxa" w:w="1930"/>
          </w:tcPr>
          <w:p>
            <w:pPr>
              <w:spacing w:after="40"/>
            </w:pPr>
            <w:r>
              <w:rPr>
                <w:sz w:val="19"/>
              </w:rPr>
              <w:t>V-F1, V-F2</w:t>
            </w:r>
          </w:p>
        </w:tc>
        <w:tc>
          <w:tcPr>
            <w:tcW w:type="dxa" w:w="1930"/>
          </w:tcPr>
          <w:p>
            <w:pPr>
              <w:spacing w:after="40"/>
            </w:pPr>
            <w:r>
              <w:rPr>
                <w:sz w:val="19"/>
              </w:rPr>
              <w:t xml:space="preserve">One contrast failure (a 3.96:1 link) and a hover flyout that cannot be dismissed and obscures content. 400% reflow — the core low-vision question — is </w:t>
            </w:r>
            <w:r>
              <w:rPr>
                <w:b/>
                <w:sz w:val="19"/>
              </w:rPr>
              <w:t>untested</w:t>
            </w:r>
            <w:r>
              <w:rPr>
                <w:sz w:val="19"/>
              </w:rPr>
              <w:t>.</w:t>
            </w:r>
          </w:p>
        </w:tc>
      </w:tr>
      <w:tr>
        <w:tc>
          <w:tcPr>
            <w:tcW w:type="dxa" w:w="1930"/>
          </w:tcPr>
          <w:p>
            <w:pPr>
              <w:spacing w:after="40"/>
            </w:pPr>
            <w:r>
              <w:rPr>
                <w:b/>
                <w:sz w:val="19"/>
              </w:rPr>
              <w:t>Without color perception</w:t>
            </w:r>
            <w:r>
              <w:rPr>
                <w:sz w:val="19"/>
              </w:rPr>
              <w:t xml:space="preserve"> (302.3)</w:t>
            </w:r>
          </w:p>
        </w:tc>
        <w:tc>
          <w:tcPr>
            <w:tcW w:type="dxa" w:w="1930"/>
          </w:tcPr>
          <w:p>
            <w:pPr>
              <w:spacing w:after="40"/>
            </w:pPr>
            <w:r>
              <w:rPr>
                <w:sz w:val="19"/>
              </w:rPr>
              <w:t>S1 ✓</w:t>
            </w:r>
          </w:p>
        </w:tc>
        <w:tc>
          <w:tcPr>
            <w:tcW w:type="dxa" w:w="1930"/>
          </w:tcPr>
          <w:p>
            <w:pPr>
              <w:spacing w:after="40"/>
            </w:pPr>
            <w:r>
              <w:rPr>
                <w:sz w:val="19"/>
              </w:rPr>
              <w:t>none found</w:t>
            </w:r>
          </w:p>
        </w:tc>
        <w:tc>
          <w:tcPr>
            <w:tcW w:type="dxa" w:w="1930"/>
          </w:tcPr>
          <w:p>
            <w:pPr>
              <w:spacing w:after="40"/>
            </w:pPr>
            <w:r>
              <w:rPr>
                <w:sz w:val="19"/>
              </w:rPr>
              <w:t>—</w:t>
            </w:r>
          </w:p>
        </w:tc>
        <w:tc>
          <w:tcPr>
            <w:tcW w:type="dxa" w:w="1930"/>
          </w:tcPr>
          <w:p>
            <w:pPr>
              <w:spacing w:after="40"/>
            </w:pPr>
            <w:r>
              <w:rPr>
                <w:sz w:val="19"/>
              </w:rPr>
              <w:t>No color-alone conveyance found on S1; other views pending.</w:t>
            </w:r>
          </w:p>
        </w:tc>
      </w:tr>
      <w:tr>
        <w:tc>
          <w:tcPr>
            <w:tcW w:type="dxa" w:w="1930"/>
          </w:tcPr>
          <w:p>
            <w:pPr>
              <w:spacing w:after="40"/>
            </w:pPr>
            <w:r>
              <w:rPr>
                <w:b/>
                <w:sz w:val="19"/>
              </w:rPr>
              <w:t>Without hearing / limited hearing</w:t>
            </w:r>
            <w:r>
              <w:rPr>
                <w:sz w:val="19"/>
              </w:rPr>
              <w:t xml:space="preserve"> (302.4/.5)</w:t>
            </w:r>
          </w:p>
        </w:tc>
        <w:tc>
          <w:tcPr>
            <w:tcW w:type="dxa" w:w="1930"/>
          </w:tcPr>
          <w:p>
            <w:pPr>
              <w:spacing w:after="40"/>
            </w:pPr>
            <w:r>
              <w:rPr>
                <w:sz w:val="19"/>
              </w:rPr>
              <w:t xml:space="preserve">S1, S2 legitimately N/A; </w:t>
            </w:r>
            <w:r>
              <w:rPr>
                <w:b/>
                <w:sz w:val="19"/>
              </w:rPr>
              <w:t>S3 and Learn are NOT N/A and are untested</w:t>
            </w:r>
          </w:p>
        </w:tc>
        <w:tc>
          <w:tcPr>
            <w:tcW w:type="dxa" w:w="1930"/>
          </w:tcPr>
          <w:p>
            <w:pPr>
              <w:spacing w:after="40"/>
            </w:pPr>
            <w:r>
              <w:rPr>
                <w:sz w:val="19"/>
              </w:rPr>
              <w:t>not yet evaluated</w:t>
            </w:r>
          </w:p>
        </w:tc>
        <w:tc>
          <w:tcPr>
            <w:tcW w:type="dxa" w:w="1930"/>
          </w:tcPr>
          <w:p>
            <w:pPr>
              <w:spacing w:after="40"/>
            </w:pPr>
            <w:r>
              <w:rPr>
                <w:sz w:val="19"/>
              </w:rPr>
              <w:t>—</w:t>
            </w:r>
          </w:p>
        </w:tc>
        <w:tc>
          <w:tcPr>
            <w:tcW w:type="dxa" w:w="1930"/>
          </w:tcPr>
          <w:p>
            <w:pPr>
              <w:spacing w:after="40"/>
            </w:pPr>
            <w:r>
              <w:rPr>
                <w:sz w:val="19"/>
              </w:rPr>
              <w:t>The editor offers insertable video/music/sound assets and Learn is a video tutorial playlist — caption/transcript state unknown. A real gap, not a clean bill.</w:t>
            </w:r>
          </w:p>
        </w:tc>
      </w:tr>
      <w:tr>
        <w:tc>
          <w:tcPr>
            <w:tcW w:type="dxa" w:w="1930"/>
          </w:tcPr>
          <w:p>
            <w:pPr>
              <w:spacing w:after="40"/>
            </w:pPr>
            <w:r>
              <w:rPr>
                <w:b/>
                <w:sz w:val="19"/>
              </w:rPr>
              <w:t>Without speech</w:t>
            </w:r>
            <w:r>
              <w:rPr>
                <w:sz w:val="19"/>
              </w:rPr>
              <w:t xml:space="preserve"> (302.6)</w:t>
            </w:r>
          </w:p>
        </w:tc>
        <w:tc>
          <w:tcPr>
            <w:tcW w:type="dxa" w:w="1930"/>
          </w:tcPr>
          <w:p>
            <w:pPr>
              <w:spacing w:after="40"/>
            </w:pPr>
            <w:r>
              <w:rPr>
                <w:sz w:val="19"/>
              </w:rPr>
              <w:t>All views so far</w:t>
            </w:r>
          </w:p>
        </w:tc>
        <w:tc>
          <w:tcPr>
            <w:tcW w:type="dxa" w:w="1930"/>
          </w:tcPr>
          <w:p>
            <w:pPr>
              <w:spacing w:after="40"/>
            </w:pPr>
            <w:r>
              <w:rPr>
                <w:sz w:val="19"/>
              </w:rPr>
              <w:t>n/a</w:t>
            </w:r>
          </w:p>
        </w:tc>
        <w:tc>
          <w:tcPr>
            <w:tcW w:type="dxa" w:w="1930"/>
          </w:tcPr>
          <w:p>
            <w:pPr>
              <w:spacing w:after="40"/>
            </w:pPr>
            <w:r>
              <w:rPr>
                <w:sz w:val="19"/>
              </w:rPr>
              <w:t>—</w:t>
            </w:r>
          </w:p>
        </w:tc>
        <w:tc>
          <w:tcPr>
            <w:tcW w:type="dxa" w:w="1930"/>
          </w:tcPr>
          <w:p>
            <w:pPr>
              <w:spacing w:after="40"/>
            </w:pPr>
            <w:r>
              <w:rPr>
                <w:sz w:val="19"/>
              </w:rPr>
              <w:t>No voice-input features observed.</w:t>
            </w:r>
          </w:p>
        </w:tc>
      </w:tr>
      <w:tr>
        <w:tc>
          <w:tcPr>
            <w:tcW w:type="dxa" w:w="1930"/>
          </w:tcPr>
          <w:p>
            <w:pPr>
              <w:spacing w:after="40"/>
            </w:pPr>
            <w:r>
              <w:rPr>
                <w:b/>
                <w:sz w:val="19"/>
              </w:rPr>
              <w:t>With limited manipulation/reach/strength</w:t>
            </w:r>
            <w:r>
              <w:rPr>
                <w:sz w:val="19"/>
              </w:rPr>
              <w:t xml:space="preserve"> (302.7/.8)</w:t>
            </w:r>
          </w:p>
        </w:tc>
        <w:tc>
          <w:tcPr>
            <w:tcW w:type="dxa" w:w="1930"/>
          </w:tcPr>
          <w:p>
            <w:pPr>
              <w:spacing w:after="40"/>
            </w:pPr>
            <w:r>
              <w:rPr>
                <w:sz w:val="19"/>
              </w:rPr>
              <w:t>Partial — physical-keyboard sweep pending</w:t>
            </w:r>
          </w:p>
        </w:tc>
        <w:tc>
          <w:tcPr>
            <w:tcW w:type="dxa" w:w="1930"/>
          </w:tcPr>
          <w:p>
            <w:pPr>
              <w:spacing w:after="40"/>
            </w:pPr>
            <w:r>
              <w:rPr>
                <w:sz w:val="19"/>
              </w:rPr>
              <w:t>2.4.1 (reviewer classification pending)</w:t>
            </w:r>
          </w:p>
        </w:tc>
        <w:tc>
          <w:tcPr>
            <w:tcW w:type="dxa" w:w="1930"/>
          </w:tcPr>
          <w:p>
            <w:pPr>
              <w:spacing w:after="40"/>
            </w:pPr>
            <w:r>
              <w:rPr>
                <w:sz w:val="19"/>
              </w:rPr>
              <w:t>V-F3</w:t>
            </w:r>
          </w:p>
        </w:tc>
        <w:tc>
          <w:tcPr>
            <w:tcW w:type="dxa" w:w="1930"/>
          </w:tcPr>
          <w:p>
            <w:pPr>
              <w:spacing w:after="40"/>
            </w:pPr>
            <w:r>
              <w:rPr>
                <w:sz w:val="19"/>
              </w:rPr>
              <w:t xml:space="preserve">Everything reached so far is keyboard-operable (incl. full authoring), but every page visit costs ~15 tab stops of unrelated chrome with no skip mechanism — and the editor has no </w:t>
            </w:r>
            <w:r>
              <w:rPr>
                <w:rFonts w:ascii="Consolas" w:hAnsi="Consolas"/>
                <w:sz w:val="19"/>
              </w:rPr>
              <w:t>main</w:t>
            </w:r>
            <w:r>
              <w:rPr>
                <w:sz w:val="19"/>
              </w:rPr>
              <w:t xml:space="preserve"> landmark to bypass with. </w:t>
            </w:r>
            <w:r>
              <w:rPr>
                <w:b/>
                <w:sz w:val="19"/>
              </w:rPr>
              <w:t>2.5.8 target size verified Supports</w:t>
            </w:r>
            <w:r>
              <w:rPr>
                <w:sz w:val="19"/>
              </w:rPr>
              <w:t xml:space="preserve"> — independent positive on a criterion the vendor never claimed.</w:t>
            </w:r>
          </w:p>
        </w:tc>
      </w:tr>
      <w:tr>
        <w:tc>
          <w:tcPr>
            <w:tcW w:type="dxa" w:w="1930"/>
          </w:tcPr>
          <w:p>
            <w:pPr>
              <w:spacing w:after="40"/>
            </w:pPr>
            <w:r>
              <w:rPr>
                <w:b/>
                <w:sz w:val="19"/>
              </w:rPr>
              <w:t>With limited language/cognitive/learning abilities</w:t>
            </w:r>
            <w:r>
              <w:rPr>
                <w:sz w:val="19"/>
              </w:rPr>
              <w:t xml:space="preserve"> (302.9)</w:t>
            </w:r>
          </w:p>
        </w:tc>
        <w:tc>
          <w:tcPr>
            <w:tcW w:type="dxa" w:w="1930"/>
          </w:tcPr>
          <w:p>
            <w:pPr>
              <w:spacing w:after="40"/>
            </w:pPr>
            <w:r>
              <w:rPr>
                <w:sz w:val="19"/>
              </w:rPr>
              <w:t>Partial — conversational pass pending</w:t>
            </w:r>
          </w:p>
        </w:tc>
        <w:tc>
          <w:tcPr>
            <w:tcW w:type="dxa" w:w="1930"/>
          </w:tcPr>
          <w:p>
            <w:pPr>
              <w:spacing w:after="40"/>
            </w:pPr>
            <w:r>
              <w:rPr>
                <w:sz w:val="19"/>
              </w:rPr>
              <w:t>none yet</w:t>
            </w:r>
          </w:p>
        </w:tc>
        <w:tc>
          <w:tcPr>
            <w:tcW w:type="dxa" w:w="1930"/>
          </w:tcPr>
          <w:p>
            <w:pPr>
              <w:spacing w:after="40"/>
            </w:pPr>
            <w:r>
              <w:rPr>
                <w:sz w:val="19"/>
              </w:rPr>
              <w:t>—</w:t>
            </w:r>
          </w:p>
        </w:tc>
        <w:tc>
          <w:tcPr>
            <w:tcW w:type="dxa" w:w="1930"/>
          </w:tcPr>
          <w:p>
            <w:pPr>
              <w:spacing w:after="40"/>
            </w:pPr>
            <w:r>
              <w:rPr>
                <w:sz w:val="19"/>
              </w:rPr>
              <w:t>Consistency criteria (3.2.3/3.2.4) became answerable once multiple views were tested; not yet walked. No time limits or cognitive-function tests observed.</w:t>
            </w:r>
          </w:p>
        </w:tc>
      </w:tr>
    </w:tbl>
    <w:p>
      <w:pPr>
        <w:spacing w:after="40"/>
      </w:pPr>
    </w:p>
    <w:p>
      <w:r>
        <w:t xml:space="preserve">Two honest caveats this table makes visible: the </w:t>
      </w:r>
      <w:r>
        <w:rPr>
          <w:i/>
        </w:rPr>
        <w:t>worst-tested</w:t>
      </w:r>
      <w:r>
        <w:t xml:space="preserve"> modality (low-vision at 400% zoom) is one of the </w:t>
      </w:r>
      <w:r>
        <w:rPr>
          <w:i/>
        </w:rPr>
        <w:t>likeliest to fail</w:t>
      </w:r>
      <w:r>
        <w:t xml:space="preserve"> on a canvas product, and the two N/A-looking rows (hearing) stop being N/A exactly where the product meets media — neither should be read as "clear".</w:t>
      </w:r>
    </w:p>
    <w:p>
      <w:pPr>
        <w:pStyle w:val="Heading2"/>
      </w:pPr>
      <w:r>
        <w:t>Vendor ACR audit</w:t>
      </w:r>
    </w:p>
    <w:p>
      <w:pPr>
        <w:pStyle w:val="Heading3"/>
      </w:pPr>
      <w:r>
        <w:t>Coverage: the ACR does not address the target standard</w:t>
      </w:r>
    </w:p>
    <w:p>
      <w:r>
        <w:t xml:space="preserve">The vendor's 2023 ACR is a </w:t>
      </w:r>
      <w:r>
        <w:rPr>
          <w:b/>
        </w:rPr>
        <w:t>WCAG 2.1-era document</w:t>
      </w:r>
      <w:r>
        <w:t xml:space="preserve"> offered against a WCAG 2.2 AA procurement. The arithmetic identifies it exactly: 50 criteria claimed; 1 obsolete (4.1.1 Parsing, removed in 2.2); the </w:t>
      </w:r>
      <w:r>
        <w:rPr>
          <w:b/>
        </w:rPr>
        <w:t>6 criteria with no claim at all are precisely the six WCAG 2.2 additions</w:t>
      </w:r>
      <w:r>
        <w:t xml:space="preserve"> — 3.2.6, 3.3.7, 2.4.11, 2.5.7, 2.5.8, 3.3.8 — the criteria protecting motor and cognitive users. ~11% of the standard has no vendor position to verify or hold them to. (Full arithmetic: </w:t>
      </w:r>
      <w:r>
        <w:rPr>
          <w:rFonts w:ascii="Consolas" w:hAnsi="Consolas"/>
          <w:sz w:val="19"/>
        </w:rPr>
        <w:t>05</w:t>
      </w:r>
      <w:r>
        <w:t xml:space="preserve"> §Vendor evidence gap.)</w:t>
      </w:r>
    </w:p>
    <w:p>
      <w:pPr>
        <w:pStyle w:val="Heading3"/>
      </w:pPr>
      <w:r>
        <w:t>Reliability — claims vs verified (12 criteria verified to date)</w:t>
      </w:r>
    </w:p>
    <w:tbl>
      <w:tblPr>
        <w:tblStyle w:val="TableGrid"/>
        <w:tblW w:type="auto" w:w="0"/>
        <w:jc w:val="left"/>
        <w:tblLayout w:type="autofit"/>
        <w:tblLook w:firstColumn="1" w:firstRow="1" w:lastColumn="0" w:lastRow="0" w:noHBand="0" w:noVBand="1" w:val="04A0"/>
      </w:tblPr>
      <w:tblGrid>
        <w:gridCol w:w="1930"/>
        <w:gridCol w:w="1930"/>
        <w:gridCol w:w="1930"/>
        <w:gridCol w:w="1930"/>
        <w:gridCol w:w="1930"/>
      </w:tblGrid>
      <w:tr>
        <w:trPr>
          <w:tblHeader w:val="true"/>
        </w:trPr>
        <w:tc>
          <w:tcPr>
            <w:tcW w:type="dxa" w:w="1930"/>
            <w:shd w:val="clear" w:fill="D9D9D9"/>
          </w:tcPr>
          <w:p>
            <w:pPr>
              <w:spacing w:after="40"/>
            </w:pPr>
            <w:r>
              <w:rPr>
                <w:b/>
                <w:sz w:val="19"/>
              </w:rPr>
              <w:t>Criterion</w:t>
            </w:r>
          </w:p>
        </w:tc>
        <w:tc>
          <w:tcPr>
            <w:tcW w:type="dxa" w:w="1930"/>
            <w:shd w:val="clear" w:fill="D9D9D9"/>
          </w:tcPr>
          <w:p>
            <w:pPr>
              <w:spacing w:after="40"/>
            </w:pPr>
            <w:r>
              <w:rPr>
                <w:b/>
                <w:sz w:val="19"/>
              </w:rPr>
              <w:t>Vendor claim</w:t>
            </w:r>
          </w:p>
        </w:tc>
        <w:tc>
          <w:tcPr>
            <w:tcW w:type="dxa" w:w="1930"/>
            <w:shd w:val="clear" w:fill="D9D9D9"/>
          </w:tcPr>
          <w:p>
            <w:pPr>
              <w:spacing w:after="40"/>
            </w:pPr>
            <w:r>
              <w:rPr>
                <w:b/>
                <w:sz w:val="19"/>
              </w:rPr>
              <w:t>Verified</w:t>
            </w:r>
          </w:p>
        </w:tc>
        <w:tc>
          <w:tcPr>
            <w:tcW w:type="dxa" w:w="1930"/>
            <w:shd w:val="clear" w:fill="D9D9D9"/>
          </w:tcPr>
          <w:p>
            <w:pPr>
              <w:spacing w:after="40"/>
            </w:pPr>
            <w:r>
              <w:rPr>
                <w:b/>
                <w:sz w:val="19"/>
              </w:rPr>
              <w:t>Direction</w:t>
            </w:r>
          </w:p>
        </w:tc>
        <w:tc>
          <w:tcPr>
            <w:tcW w:type="dxa" w:w="1930"/>
            <w:shd w:val="clear" w:fill="D9D9D9"/>
          </w:tcPr>
          <w:p>
            <w:pPr>
              <w:spacing w:after="40"/>
            </w:pPr>
            <w:r>
              <w:rPr>
                <w:b/>
                <w:sz w:val="19"/>
              </w:rPr>
              <w:t>Note</w:t>
            </w:r>
          </w:p>
        </w:tc>
      </w:tr>
      <w:tr>
        <w:tc>
          <w:tcPr>
            <w:tcW w:type="dxa" w:w="1930"/>
          </w:tcPr>
          <w:p>
            <w:pPr>
              <w:spacing w:after="40"/>
            </w:pPr>
            <w:r>
              <w:rPr>
                <w:sz w:val="19"/>
              </w:rPr>
              <w:t>2.4.1</w:t>
            </w:r>
          </w:p>
        </w:tc>
        <w:tc>
          <w:tcPr>
            <w:tcW w:type="dxa" w:w="1930"/>
          </w:tcPr>
          <w:p>
            <w:pPr>
              <w:spacing w:after="40"/>
            </w:pPr>
            <w:r>
              <w:rPr>
                <w:sz w:val="19"/>
              </w:rPr>
              <w:t>Supports</w:t>
            </w:r>
          </w:p>
        </w:tc>
        <w:tc>
          <w:tcPr>
            <w:tcW w:type="dxa" w:w="1930"/>
          </w:tcPr>
          <w:p>
            <w:pPr>
              <w:spacing w:after="40"/>
            </w:pPr>
            <w:r>
              <w:rPr>
                <w:sz w:val="19"/>
              </w:rPr>
              <w:t>Does Not Support¹</w:t>
            </w:r>
          </w:p>
        </w:tc>
        <w:tc>
          <w:tcPr>
            <w:tcW w:type="dxa" w:w="1930"/>
          </w:tcPr>
          <w:p>
            <w:pPr>
              <w:spacing w:after="40"/>
            </w:pPr>
            <w:r>
              <w:rPr>
                <w:b/>
                <w:sz w:val="19"/>
              </w:rPr>
              <w:t>worse</w:t>
            </w:r>
          </w:p>
        </w:tc>
        <w:tc>
          <w:tcPr>
            <w:tcW w:type="dxa" w:w="1930"/>
          </w:tcPr>
          <w:p>
            <w:pPr>
              <w:spacing w:after="40"/>
            </w:pPr>
            <w:r>
              <w:rPr>
                <w:sz w:val="19"/>
              </w:rPr>
              <w:t>no bypass for keyboard-only users; ¹reviewer classification decision pending</w:t>
            </w:r>
          </w:p>
        </w:tc>
      </w:tr>
      <w:tr>
        <w:tc>
          <w:tcPr>
            <w:tcW w:type="dxa" w:w="1930"/>
          </w:tcPr>
          <w:p>
            <w:pPr>
              <w:spacing w:after="40"/>
            </w:pPr>
            <w:r>
              <w:rPr>
                <w:sz w:val="19"/>
              </w:rPr>
              <w:t>2.4.2</w:t>
            </w:r>
          </w:p>
        </w:tc>
        <w:tc>
          <w:tcPr>
            <w:tcW w:type="dxa" w:w="1930"/>
          </w:tcPr>
          <w:p>
            <w:pPr>
              <w:spacing w:after="40"/>
            </w:pPr>
            <w:r>
              <w:rPr>
                <w:sz w:val="19"/>
              </w:rPr>
              <w:t>Partially Supports</w:t>
            </w:r>
          </w:p>
        </w:tc>
        <w:tc>
          <w:tcPr>
            <w:tcW w:type="dxa" w:w="1930"/>
          </w:tcPr>
          <w:p>
            <w:pPr>
              <w:spacing w:after="40"/>
            </w:pPr>
            <w:r>
              <w:rPr>
                <w:sz w:val="19"/>
              </w:rPr>
              <w:t>Does Not Support</w:t>
            </w:r>
          </w:p>
        </w:tc>
        <w:tc>
          <w:tcPr>
            <w:tcW w:type="dxa" w:w="1930"/>
          </w:tcPr>
          <w:p>
            <w:pPr>
              <w:spacing w:after="40"/>
            </w:pPr>
            <w:r>
              <w:rPr>
                <w:b/>
                <w:sz w:val="19"/>
              </w:rPr>
              <w:t>worse</w:t>
            </w:r>
          </w:p>
        </w:tc>
        <w:tc>
          <w:tcPr>
            <w:tcW w:type="dxa" w:w="1930"/>
          </w:tcPr>
          <w:p>
            <w:pPr>
              <w:spacing w:after="40"/>
            </w:pPr>
            <w:r>
              <w:rPr>
                <w:sz w:val="19"/>
              </w:rPr>
              <w:t>one title product-wide; no view distinguishable</w:t>
            </w:r>
          </w:p>
        </w:tc>
      </w:tr>
      <w:tr>
        <w:tc>
          <w:tcPr>
            <w:tcW w:type="dxa" w:w="1930"/>
          </w:tcPr>
          <w:p>
            <w:pPr>
              <w:spacing w:after="40"/>
            </w:pPr>
            <w:r>
              <w:rPr>
                <w:sz w:val="19"/>
              </w:rPr>
              <w:t>1.3.3</w:t>
            </w:r>
          </w:p>
        </w:tc>
        <w:tc>
          <w:tcPr>
            <w:tcW w:type="dxa" w:w="1930"/>
          </w:tcPr>
          <w:p>
            <w:pPr>
              <w:spacing w:after="40"/>
            </w:pPr>
            <w:r>
              <w:rPr>
                <w:sz w:val="19"/>
              </w:rPr>
              <w:t>Supports</w:t>
            </w:r>
          </w:p>
        </w:tc>
        <w:tc>
          <w:tcPr>
            <w:tcW w:type="dxa" w:w="1930"/>
          </w:tcPr>
          <w:p>
            <w:pPr>
              <w:spacing w:after="40"/>
            </w:pPr>
            <w:r>
              <w:rPr>
                <w:sz w:val="19"/>
              </w:rPr>
              <w:t>Partially Supports</w:t>
            </w:r>
          </w:p>
        </w:tc>
        <w:tc>
          <w:tcPr>
            <w:tcW w:type="dxa" w:w="1930"/>
          </w:tcPr>
          <w:p>
            <w:pPr>
              <w:spacing w:after="40"/>
            </w:pPr>
            <w:r>
              <w:rPr>
                <w:b/>
                <w:sz w:val="19"/>
              </w:rPr>
              <w:t>worse</w:t>
            </w:r>
          </w:p>
        </w:tc>
        <w:tc>
          <w:tcPr>
            <w:tcW w:type="dxa" w:w="1930"/>
          </w:tcPr>
          <w:p>
            <w:pPr>
              <w:spacing w:after="40"/>
            </w:pPr>
            <w:r>
              <w:rPr>
                <w:sz w:val="19"/>
              </w:rPr>
              <w:t>templates distinguishable only by visual thumbnail</w:t>
            </w:r>
          </w:p>
        </w:tc>
      </w:tr>
      <w:tr>
        <w:tc>
          <w:tcPr>
            <w:tcW w:type="dxa" w:w="1930"/>
          </w:tcPr>
          <w:p>
            <w:pPr>
              <w:spacing w:after="40"/>
            </w:pPr>
            <w:r>
              <w:rPr>
                <w:sz w:val="19"/>
              </w:rPr>
              <w:t>1.4.13</w:t>
            </w:r>
          </w:p>
        </w:tc>
        <w:tc>
          <w:tcPr>
            <w:tcW w:type="dxa" w:w="1930"/>
          </w:tcPr>
          <w:p>
            <w:pPr>
              <w:spacing w:after="40"/>
            </w:pPr>
            <w:r>
              <w:rPr>
                <w:sz w:val="19"/>
              </w:rPr>
              <w:t>Partially Supports</w:t>
            </w:r>
          </w:p>
        </w:tc>
        <w:tc>
          <w:tcPr>
            <w:tcW w:type="dxa" w:w="1930"/>
          </w:tcPr>
          <w:p>
            <w:pPr>
              <w:spacing w:after="40"/>
            </w:pPr>
            <w:r>
              <w:rPr>
                <w:sz w:val="19"/>
              </w:rPr>
              <w:t>Does Not Support²</w:t>
            </w:r>
          </w:p>
        </w:tc>
        <w:tc>
          <w:tcPr>
            <w:tcW w:type="dxa" w:w="1930"/>
          </w:tcPr>
          <w:p>
            <w:pPr>
              <w:spacing w:after="40"/>
            </w:pPr>
            <w:r>
              <w:rPr>
                <w:b/>
                <w:sz w:val="19"/>
              </w:rPr>
              <w:t>worse</w:t>
            </w:r>
          </w:p>
        </w:tc>
        <w:tc>
          <w:tcPr>
            <w:tcW w:type="dxa" w:w="1930"/>
          </w:tcPr>
          <w:p>
            <w:pPr>
              <w:spacing w:after="40"/>
            </w:pPr>
            <w:r>
              <w:rPr>
                <w:sz w:val="19"/>
              </w:rPr>
              <w:t>flyout fails all three conditions; ²pointer confirmation pending</w:t>
            </w:r>
          </w:p>
        </w:tc>
      </w:tr>
      <w:tr>
        <w:tc>
          <w:tcPr>
            <w:tcW w:type="dxa" w:w="1930"/>
          </w:tcPr>
          <w:p>
            <w:pPr>
              <w:spacing w:after="40"/>
            </w:pPr>
            <w:r>
              <w:rPr>
                <w:sz w:val="19"/>
              </w:rPr>
              <w:t>1.4.3</w:t>
            </w:r>
          </w:p>
        </w:tc>
        <w:tc>
          <w:tcPr>
            <w:tcW w:type="dxa" w:w="1930"/>
          </w:tcPr>
          <w:p>
            <w:pPr>
              <w:spacing w:after="40"/>
            </w:pPr>
            <w:r>
              <w:rPr>
                <w:sz w:val="19"/>
              </w:rPr>
              <w:t>Does Not Support</w:t>
            </w:r>
          </w:p>
        </w:tc>
        <w:tc>
          <w:tcPr>
            <w:tcW w:type="dxa" w:w="1930"/>
          </w:tcPr>
          <w:p>
            <w:pPr>
              <w:spacing w:after="40"/>
            </w:pPr>
            <w:r>
              <w:rPr>
                <w:sz w:val="19"/>
              </w:rPr>
              <w:t>Partially Supports</w:t>
            </w:r>
          </w:p>
        </w:tc>
        <w:tc>
          <w:tcPr>
            <w:tcW w:type="dxa" w:w="1930"/>
          </w:tcPr>
          <w:p>
            <w:pPr>
              <w:spacing w:after="40"/>
            </w:pPr>
            <w:r>
              <w:rPr>
                <w:sz w:val="19"/>
              </w:rPr>
              <w:t>better</w:t>
            </w:r>
          </w:p>
        </w:tc>
        <w:tc>
          <w:tcPr>
            <w:tcW w:type="dxa" w:w="1930"/>
          </w:tcPr>
          <w:p>
            <w:pPr>
              <w:spacing w:after="40"/>
            </w:pPr>
            <w:r>
              <w:rPr>
                <w:sz w:val="19"/>
              </w:rPr>
              <w:t>one confirmed failure (3.96:1 link); app bar measured 11–12:1</w:t>
            </w:r>
          </w:p>
        </w:tc>
      </w:tr>
      <w:tr>
        <w:tc>
          <w:tcPr>
            <w:tcW w:type="dxa" w:w="1930"/>
          </w:tcPr>
          <w:p>
            <w:pPr>
              <w:spacing w:after="40"/>
            </w:pPr>
            <w:r>
              <w:rPr>
                <w:sz w:val="19"/>
              </w:rPr>
              <w:t>2.4.3</w:t>
            </w:r>
          </w:p>
        </w:tc>
        <w:tc>
          <w:tcPr>
            <w:tcW w:type="dxa" w:w="1930"/>
          </w:tcPr>
          <w:p>
            <w:pPr>
              <w:spacing w:after="40"/>
            </w:pPr>
            <w:r>
              <w:rPr>
                <w:sz w:val="19"/>
              </w:rPr>
              <w:t>Does Not Support</w:t>
            </w:r>
          </w:p>
        </w:tc>
        <w:tc>
          <w:tcPr>
            <w:tcW w:type="dxa" w:w="1930"/>
          </w:tcPr>
          <w:p>
            <w:pPr>
              <w:spacing w:after="40"/>
            </w:pPr>
            <w:r>
              <w:rPr>
                <w:sz w:val="19"/>
              </w:rPr>
              <w:t>Partially Supports</w:t>
            </w:r>
          </w:p>
        </w:tc>
        <w:tc>
          <w:tcPr>
            <w:tcW w:type="dxa" w:w="1930"/>
          </w:tcPr>
          <w:p>
            <w:pPr>
              <w:spacing w:after="40"/>
            </w:pPr>
            <w:r>
              <w:rPr>
                <w:sz w:val="19"/>
              </w:rPr>
              <w:t>better</w:t>
            </w:r>
          </w:p>
        </w:tc>
        <w:tc>
          <w:tcPr>
            <w:tcW w:type="dxa" w:w="1930"/>
          </w:tcPr>
          <w:p>
            <w:pPr>
              <w:spacing w:after="40"/>
            </w:pPr>
            <w:r>
              <w:rPr>
                <w:sz w:val="19"/>
              </w:rPr>
              <w:t>S1 modal focus exemplary; failures are task-specific on S2</w:t>
            </w:r>
          </w:p>
        </w:tc>
      </w:tr>
      <w:tr>
        <w:tc>
          <w:tcPr>
            <w:tcW w:type="dxa" w:w="1930"/>
          </w:tcPr>
          <w:p>
            <w:pPr>
              <w:spacing w:after="40"/>
            </w:pPr>
            <w:r>
              <w:rPr>
                <w:sz w:val="19"/>
              </w:rPr>
              <w:t>2.4.6</w:t>
            </w:r>
          </w:p>
        </w:tc>
        <w:tc>
          <w:tcPr>
            <w:tcW w:type="dxa" w:w="1930"/>
          </w:tcPr>
          <w:p>
            <w:pPr>
              <w:spacing w:after="40"/>
            </w:pPr>
            <w:r>
              <w:rPr>
                <w:sz w:val="19"/>
              </w:rPr>
              <w:t>Does Not Support</w:t>
            </w:r>
          </w:p>
        </w:tc>
        <w:tc>
          <w:tcPr>
            <w:tcW w:type="dxa" w:w="1930"/>
          </w:tcPr>
          <w:p>
            <w:pPr>
              <w:spacing w:after="40"/>
            </w:pPr>
            <w:r>
              <w:rPr>
                <w:sz w:val="19"/>
              </w:rPr>
              <w:t>Partially Supports</w:t>
            </w:r>
          </w:p>
        </w:tc>
        <w:tc>
          <w:tcPr>
            <w:tcW w:type="dxa" w:w="1930"/>
          </w:tcPr>
          <w:p>
            <w:pPr>
              <w:spacing w:after="40"/>
            </w:pPr>
            <w:r>
              <w:rPr>
                <w:sz w:val="19"/>
              </w:rPr>
              <w:t>better</w:t>
            </w:r>
          </w:p>
        </w:tc>
        <w:tc>
          <w:tcPr>
            <w:tcW w:type="dxa" w:w="1930"/>
          </w:tcPr>
          <w:p>
            <w:pPr>
              <w:spacing w:after="40"/>
            </w:pPr>
            <w:r>
              <w:rPr>
                <w:sz w:val="19"/>
              </w:rPr>
              <w:t>headings genuinely good; one labelling defect in a modal</w:t>
            </w:r>
          </w:p>
        </w:tc>
      </w:tr>
      <w:tr>
        <w:tc>
          <w:tcPr>
            <w:tcW w:type="dxa" w:w="1930"/>
          </w:tcPr>
          <w:p>
            <w:pPr>
              <w:spacing w:after="40"/>
            </w:pPr>
            <w:r>
              <w:rPr>
                <w:sz w:val="19"/>
              </w:rPr>
              <w:t>4.1.2</w:t>
            </w:r>
          </w:p>
        </w:tc>
        <w:tc>
          <w:tcPr>
            <w:tcW w:type="dxa" w:w="1930"/>
          </w:tcPr>
          <w:p>
            <w:pPr>
              <w:spacing w:after="40"/>
            </w:pPr>
            <w:r>
              <w:rPr>
                <w:sz w:val="19"/>
              </w:rPr>
              <w:t>Does Not Support</w:t>
            </w:r>
          </w:p>
        </w:tc>
        <w:tc>
          <w:tcPr>
            <w:tcW w:type="dxa" w:w="1930"/>
          </w:tcPr>
          <w:p>
            <w:pPr>
              <w:spacing w:after="40"/>
            </w:pPr>
            <w:r>
              <w:rPr>
                <w:sz w:val="19"/>
              </w:rPr>
              <w:t>Partially Supports</w:t>
            </w:r>
          </w:p>
        </w:tc>
        <w:tc>
          <w:tcPr>
            <w:tcW w:type="dxa" w:w="1930"/>
          </w:tcPr>
          <w:p>
            <w:pPr>
              <w:spacing w:after="40"/>
            </w:pPr>
            <w:r>
              <w:rPr>
                <w:sz w:val="19"/>
              </w:rPr>
              <w:t>better</w:t>
            </w:r>
          </w:p>
        </w:tc>
        <w:tc>
          <w:tcPr>
            <w:tcW w:type="dxa" w:w="1930"/>
          </w:tcPr>
          <w:p>
            <w:pPr>
              <w:spacing w:after="40"/>
            </w:pPr>
            <w:r>
              <w:rPr>
                <w:sz w:val="19"/>
              </w:rPr>
              <w:t>specific unnamed controls, not systemic mis-mapping</w:t>
            </w:r>
          </w:p>
        </w:tc>
      </w:tr>
      <w:tr>
        <w:tc>
          <w:tcPr>
            <w:tcW w:type="dxa" w:w="1930"/>
          </w:tcPr>
          <w:p>
            <w:pPr>
              <w:spacing w:after="40"/>
            </w:pPr>
            <w:r>
              <w:rPr>
                <w:sz w:val="19"/>
              </w:rPr>
              <w:t>1.1.1</w:t>
            </w:r>
          </w:p>
        </w:tc>
        <w:tc>
          <w:tcPr>
            <w:tcW w:type="dxa" w:w="1930"/>
          </w:tcPr>
          <w:p>
            <w:pPr>
              <w:spacing w:after="40"/>
            </w:pPr>
            <w:r>
              <w:rPr>
                <w:sz w:val="19"/>
              </w:rPr>
              <w:t>Partially Supports</w:t>
            </w:r>
          </w:p>
        </w:tc>
        <w:tc>
          <w:tcPr>
            <w:tcW w:type="dxa" w:w="1930"/>
          </w:tcPr>
          <w:p>
            <w:pPr>
              <w:spacing w:after="40"/>
            </w:pPr>
            <w:r>
              <w:rPr>
                <w:sz w:val="19"/>
              </w:rPr>
              <w:t>Partially Supports</w:t>
            </w:r>
          </w:p>
        </w:tc>
        <w:tc>
          <w:tcPr>
            <w:tcW w:type="dxa" w:w="1930"/>
          </w:tcPr>
          <w:p>
            <w:pPr>
              <w:spacing w:after="40"/>
            </w:pPr>
            <w:r>
              <w:rPr>
                <w:sz w:val="19"/>
              </w:rPr>
              <w:t>agree</w:t>
            </w:r>
          </w:p>
        </w:tc>
        <w:tc>
          <w:tcPr>
            <w:tcW w:type="dxa" w:w="1930"/>
          </w:tcPr>
          <w:p>
            <w:pPr>
              <w:spacing w:after="40"/>
            </w:pPr>
            <w:r>
              <w:rPr>
                <w:sz w:val="19"/>
              </w:rPr>
              <w:t>vendor's own exception wording reproduced on S1</w:t>
            </w:r>
          </w:p>
        </w:tc>
      </w:tr>
      <w:tr>
        <w:tc>
          <w:tcPr>
            <w:tcW w:type="dxa" w:w="1930"/>
          </w:tcPr>
          <w:p>
            <w:pPr>
              <w:spacing w:after="40"/>
            </w:pPr>
            <w:r>
              <w:rPr>
                <w:sz w:val="19"/>
              </w:rPr>
              <w:t>1.3.1</w:t>
            </w:r>
          </w:p>
        </w:tc>
        <w:tc>
          <w:tcPr>
            <w:tcW w:type="dxa" w:w="1930"/>
          </w:tcPr>
          <w:p>
            <w:pPr>
              <w:spacing w:after="40"/>
            </w:pPr>
            <w:r>
              <w:rPr>
                <w:sz w:val="19"/>
              </w:rPr>
              <w:t>Partially Supports</w:t>
            </w:r>
          </w:p>
        </w:tc>
        <w:tc>
          <w:tcPr>
            <w:tcW w:type="dxa" w:w="1930"/>
          </w:tcPr>
          <w:p>
            <w:pPr>
              <w:spacing w:after="40"/>
            </w:pPr>
            <w:r>
              <w:rPr>
                <w:sz w:val="19"/>
              </w:rPr>
              <w:t>Partially Supports</w:t>
            </w:r>
          </w:p>
        </w:tc>
        <w:tc>
          <w:tcPr>
            <w:tcW w:type="dxa" w:w="1930"/>
          </w:tcPr>
          <w:p>
            <w:pPr>
              <w:spacing w:after="40"/>
            </w:pPr>
            <w:r>
              <w:rPr>
                <w:sz w:val="19"/>
              </w:rPr>
              <w:t>agree</w:t>
            </w:r>
          </w:p>
        </w:tc>
        <w:tc>
          <w:tcPr>
            <w:tcW w:type="dxa" w:w="1930"/>
          </w:tcPr>
          <w:p>
            <w:pPr>
              <w:spacing w:after="40"/>
            </w:pPr>
          </w:p>
        </w:tc>
      </w:tr>
      <w:tr>
        <w:tc>
          <w:tcPr>
            <w:tcW w:type="dxa" w:w="1930"/>
          </w:tcPr>
          <w:p>
            <w:pPr>
              <w:spacing w:after="40"/>
            </w:pPr>
            <w:r>
              <w:rPr>
                <w:sz w:val="19"/>
              </w:rPr>
              <w:t>4.1.3</w:t>
            </w:r>
          </w:p>
        </w:tc>
        <w:tc>
          <w:tcPr>
            <w:tcW w:type="dxa" w:w="1930"/>
          </w:tcPr>
          <w:p>
            <w:pPr>
              <w:spacing w:after="40"/>
            </w:pPr>
            <w:r>
              <w:rPr>
                <w:sz w:val="19"/>
              </w:rPr>
              <w:t>Partially Supports</w:t>
            </w:r>
          </w:p>
        </w:tc>
        <w:tc>
          <w:tcPr>
            <w:tcW w:type="dxa" w:w="1930"/>
          </w:tcPr>
          <w:p>
            <w:pPr>
              <w:spacing w:after="40"/>
            </w:pPr>
            <w:r>
              <w:rPr>
                <w:sz w:val="19"/>
              </w:rPr>
              <w:t>Partially Supports</w:t>
            </w:r>
          </w:p>
        </w:tc>
        <w:tc>
          <w:tcPr>
            <w:tcW w:type="dxa" w:w="1930"/>
          </w:tcPr>
          <w:p>
            <w:pPr>
              <w:spacing w:after="40"/>
            </w:pPr>
            <w:r>
              <w:rPr>
                <w:sz w:val="19"/>
              </w:rPr>
              <w:t>agree</w:t>
            </w:r>
          </w:p>
        </w:tc>
        <w:tc>
          <w:tcPr>
            <w:tcW w:type="dxa" w:w="1930"/>
          </w:tcPr>
          <w:p>
            <w:pPr>
              <w:spacing w:after="40"/>
            </w:pPr>
            <w:r>
              <w:rPr>
                <w:sz w:val="19"/>
              </w:rPr>
              <w:t>three verified instances</w:t>
            </w:r>
          </w:p>
        </w:tc>
      </w:tr>
      <w:tr>
        <w:tc>
          <w:tcPr>
            <w:tcW w:type="dxa" w:w="1930"/>
          </w:tcPr>
          <w:p>
            <w:pPr>
              <w:spacing w:after="40"/>
            </w:pPr>
            <w:r>
              <w:rPr>
                <w:sz w:val="19"/>
              </w:rPr>
              <w:t>2.5.8</w:t>
            </w:r>
          </w:p>
        </w:tc>
        <w:tc>
          <w:tcPr>
            <w:tcW w:type="dxa" w:w="1930"/>
          </w:tcPr>
          <w:p>
            <w:pPr>
              <w:spacing w:after="40"/>
            </w:pPr>
            <w:r>
              <w:rPr>
                <w:b/>
                <w:sz w:val="19"/>
              </w:rPr>
              <w:t>no claim</w:t>
            </w:r>
          </w:p>
        </w:tc>
        <w:tc>
          <w:tcPr>
            <w:tcW w:type="dxa" w:w="1930"/>
          </w:tcPr>
          <w:p>
            <w:pPr>
              <w:spacing w:after="40"/>
            </w:pPr>
            <w:r>
              <w:rPr>
                <w:sz w:val="19"/>
              </w:rPr>
              <w:t>Supports</w:t>
            </w:r>
          </w:p>
        </w:tc>
        <w:tc>
          <w:tcPr>
            <w:tcW w:type="dxa" w:w="1930"/>
          </w:tcPr>
          <w:p>
            <w:pPr>
              <w:spacing w:after="40"/>
            </w:pPr>
            <w:r>
              <w:rPr>
                <w:sz w:val="19"/>
              </w:rPr>
              <w:t>—</w:t>
            </w:r>
          </w:p>
        </w:tc>
        <w:tc>
          <w:tcPr>
            <w:tcW w:type="dxa" w:w="1930"/>
          </w:tcPr>
          <w:p>
            <w:pPr>
              <w:spacing w:after="40"/>
            </w:pPr>
            <w:r>
              <w:rPr>
                <w:sz w:val="19"/>
              </w:rPr>
              <w:t>independent primary evidence; criterion absent from ACR</w:t>
            </w:r>
          </w:p>
        </w:tc>
      </w:tr>
    </w:tbl>
    <w:p>
      <w:pPr>
        <w:spacing w:after="40"/>
      </w:pPr>
    </w:p>
    <w:p>
      <w:pPr>
        <w:pStyle w:val="Heading3"/>
      </w:pPr>
      <w:r>
        <w:t>What this means for relying on this vendor's ACRs</w:t>
      </w:r>
    </w:p>
    <w:p>
      <w:r>
        <w:t xml:space="preserve">The ACR is </w:t>
      </w:r>
      <w:r>
        <w:rPr>
          <w:b/>
        </w:rPr>
        <w:t>stale against the applicable standard</w:t>
      </w:r>
      <w:r>
        <w:t xml:space="preserve"> and </w:t>
      </w:r>
      <w:r>
        <w:rPr>
          <w:b/>
        </w:rPr>
        <w:t>imprecise in both directions</w:t>
      </w:r>
      <w:r>
        <w:t xml:space="preserve"> — blanket "Does Not Support" ratings where testing found narrow specific defects, and "Supports"/"Partially Supports" where testing found product-wide failures. It is usable as a map of </w:t>
      </w:r>
      <w:r>
        <w:rPr>
          <w:i/>
        </w:rPr>
        <w:t>where</w:t>
      </w:r>
      <w:r>
        <w:t xml:space="preserve"> to look, not as evidence of </w:t>
      </w:r>
      <w:r>
        <w:rPr>
          <w:i/>
        </w:rPr>
        <w:t>what is true</w:t>
      </w:r>
      <w:r>
        <w:t>. Any agreement should require an ACR against WCAG 2.2 and treat vendor ratings as unverified until tested.</w:t>
      </w:r>
    </w:p>
    <w:p>
      <w:pPr>
        <w:pStyle w:val="Heading2"/>
      </w:pPr>
      <w:r>
        <w:t>Results summary</w:t>
      </w:r>
    </w:p>
    <w:tbl>
      <w:tblPr>
        <w:tblStyle w:val="TableGrid"/>
        <w:tblW w:type="auto" w:w="0"/>
        <w:jc w:val="left"/>
        <w:tblLayout w:type="autofit"/>
        <w:tblLook w:firstColumn="1" w:firstRow="1" w:lastColumn="0" w:lastRow="0" w:noHBand="0" w:noVBand="1" w:val="04A0"/>
      </w:tblPr>
      <w:tblGrid>
        <w:gridCol w:w="2412"/>
        <w:gridCol w:w="2412"/>
        <w:gridCol w:w="2412"/>
        <w:gridCol w:w="2412"/>
      </w:tblGrid>
      <w:tr>
        <w:trPr>
          <w:tblHeader w:val="true"/>
        </w:trPr>
        <w:tc>
          <w:tcPr>
            <w:tcW w:type="dxa" w:w="2412"/>
            <w:shd w:val="clear" w:fill="D9D9D9"/>
          </w:tcPr>
          <w:p>
            <w:pPr>
              <w:spacing w:after="40"/>
            </w:pPr>
            <w:r>
              <w:rPr>
                <w:b/>
                <w:sz w:val="19"/>
              </w:rPr>
              <w:t>Outcome</w:t>
            </w:r>
          </w:p>
        </w:tc>
        <w:tc>
          <w:tcPr>
            <w:tcW w:type="dxa" w:w="2412"/>
            <w:shd w:val="clear" w:fill="D9D9D9"/>
          </w:tcPr>
          <w:p>
            <w:pPr>
              <w:spacing w:after="40"/>
            </w:pPr>
            <w:r>
              <w:rPr>
                <w:b/>
                <w:sz w:val="19"/>
              </w:rPr>
              <w:t>Level A (of 31)</w:t>
            </w:r>
          </w:p>
        </w:tc>
        <w:tc>
          <w:tcPr>
            <w:tcW w:type="dxa" w:w="2412"/>
            <w:shd w:val="clear" w:fill="D9D9D9"/>
          </w:tcPr>
          <w:p>
            <w:pPr>
              <w:spacing w:after="40"/>
            </w:pPr>
            <w:r>
              <w:rPr>
                <w:b/>
                <w:sz w:val="19"/>
              </w:rPr>
              <w:t>Level AA (of 24)</w:t>
            </w:r>
          </w:p>
        </w:tc>
        <w:tc>
          <w:tcPr>
            <w:tcW w:type="dxa" w:w="2412"/>
            <w:shd w:val="clear" w:fill="D9D9D9"/>
          </w:tcPr>
          <w:p>
            <w:pPr>
              <w:spacing w:after="40"/>
            </w:pPr>
            <w:r>
              <w:rPr>
                <w:b/>
                <w:sz w:val="19"/>
              </w:rPr>
              <w:t>Total (of 55)</w:t>
            </w:r>
          </w:p>
        </w:tc>
      </w:tr>
      <w:tr>
        <w:tc>
          <w:tcPr>
            <w:tcW w:type="dxa" w:w="2412"/>
          </w:tcPr>
          <w:p>
            <w:pPr>
              <w:spacing w:after="40"/>
            </w:pPr>
            <w:r>
              <w:rPr>
                <w:sz w:val="19"/>
              </w:rPr>
              <w:t>Supports</w:t>
            </w:r>
          </w:p>
        </w:tc>
        <w:tc>
          <w:tcPr>
            <w:tcW w:type="dxa" w:w="2412"/>
          </w:tcPr>
          <w:p>
            <w:pPr>
              <w:spacing w:after="40"/>
            </w:pPr>
            <w:r>
              <w:rPr>
                <w:sz w:val="19"/>
              </w:rPr>
              <w:t>0</w:t>
            </w:r>
          </w:p>
        </w:tc>
        <w:tc>
          <w:tcPr>
            <w:tcW w:type="dxa" w:w="2412"/>
          </w:tcPr>
          <w:p>
            <w:pPr>
              <w:spacing w:after="40"/>
            </w:pPr>
            <w:r>
              <w:rPr>
                <w:sz w:val="19"/>
              </w:rPr>
              <w:t>1</w:t>
            </w:r>
          </w:p>
        </w:tc>
        <w:tc>
          <w:tcPr>
            <w:tcW w:type="dxa" w:w="2412"/>
          </w:tcPr>
          <w:p>
            <w:pPr>
              <w:spacing w:after="40"/>
            </w:pPr>
            <w:r>
              <w:rPr>
                <w:sz w:val="19"/>
              </w:rPr>
              <w:t>1</w:t>
            </w:r>
          </w:p>
        </w:tc>
      </w:tr>
      <w:tr>
        <w:tc>
          <w:tcPr>
            <w:tcW w:type="dxa" w:w="2412"/>
          </w:tcPr>
          <w:p>
            <w:pPr>
              <w:spacing w:after="40"/>
            </w:pPr>
            <w:r>
              <w:rPr>
                <w:sz w:val="19"/>
              </w:rPr>
              <w:t>Partially Supports</w:t>
            </w:r>
          </w:p>
        </w:tc>
        <w:tc>
          <w:tcPr>
            <w:tcW w:type="dxa" w:w="2412"/>
          </w:tcPr>
          <w:p>
            <w:pPr>
              <w:spacing w:after="40"/>
            </w:pPr>
            <w:r>
              <w:rPr>
                <w:sz w:val="19"/>
              </w:rPr>
              <w:t>5</w:t>
            </w:r>
          </w:p>
        </w:tc>
        <w:tc>
          <w:tcPr>
            <w:tcW w:type="dxa" w:w="2412"/>
          </w:tcPr>
          <w:p>
            <w:pPr>
              <w:spacing w:after="40"/>
            </w:pPr>
            <w:r>
              <w:rPr>
                <w:sz w:val="19"/>
              </w:rPr>
              <w:t>3</w:t>
            </w:r>
          </w:p>
        </w:tc>
        <w:tc>
          <w:tcPr>
            <w:tcW w:type="dxa" w:w="2412"/>
          </w:tcPr>
          <w:p>
            <w:pPr>
              <w:spacing w:after="40"/>
            </w:pPr>
            <w:r>
              <w:rPr>
                <w:sz w:val="19"/>
              </w:rPr>
              <w:t>8</w:t>
            </w:r>
          </w:p>
        </w:tc>
      </w:tr>
      <w:tr>
        <w:tc>
          <w:tcPr>
            <w:tcW w:type="dxa" w:w="2412"/>
          </w:tcPr>
          <w:p>
            <w:pPr>
              <w:spacing w:after="40"/>
            </w:pPr>
            <w:r>
              <w:rPr>
                <w:sz w:val="19"/>
              </w:rPr>
              <w:t>Does Not Support</w:t>
            </w:r>
          </w:p>
        </w:tc>
        <w:tc>
          <w:tcPr>
            <w:tcW w:type="dxa" w:w="2412"/>
          </w:tcPr>
          <w:p>
            <w:pPr>
              <w:spacing w:after="40"/>
            </w:pPr>
            <w:r>
              <w:rPr>
                <w:sz w:val="19"/>
              </w:rPr>
              <w:t>2</w:t>
            </w:r>
          </w:p>
        </w:tc>
        <w:tc>
          <w:tcPr>
            <w:tcW w:type="dxa" w:w="2412"/>
          </w:tcPr>
          <w:p>
            <w:pPr>
              <w:spacing w:after="40"/>
            </w:pPr>
            <w:r>
              <w:rPr>
                <w:sz w:val="19"/>
              </w:rPr>
              <w:t>1</w:t>
            </w:r>
          </w:p>
        </w:tc>
        <w:tc>
          <w:tcPr>
            <w:tcW w:type="dxa" w:w="2412"/>
          </w:tcPr>
          <w:p>
            <w:pPr>
              <w:spacing w:after="40"/>
            </w:pPr>
            <w:r>
              <w:rPr>
                <w:sz w:val="19"/>
              </w:rPr>
              <w:t>3</w:t>
            </w:r>
          </w:p>
        </w:tc>
      </w:tr>
      <w:tr>
        <w:tc>
          <w:tcPr>
            <w:tcW w:type="dxa" w:w="2412"/>
          </w:tcPr>
          <w:p>
            <w:pPr>
              <w:spacing w:after="40"/>
            </w:pPr>
            <w:r>
              <w:rPr>
                <w:sz w:val="19"/>
              </w:rPr>
              <w:t>Not Applicable</w:t>
            </w:r>
          </w:p>
        </w:tc>
        <w:tc>
          <w:tcPr>
            <w:tcW w:type="dxa" w:w="2412"/>
          </w:tcPr>
          <w:p>
            <w:pPr>
              <w:spacing w:after="40"/>
            </w:pPr>
            <w:r>
              <w:rPr>
                <w:sz w:val="19"/>
              </w:rPr>
              <w:t>0</w:t>
            </w:r>
          </w:p>
        </w:tc>
        <w:tc>
          <w:tcPr>
            <w:tcW w:type="dxa" w:w="2412"/>
          </w:tcPr>
          <w:p>
            <w:pPr>
              <w:spacing w:after="40"/>
            </w:pPr>
            <w:r>
              <w:rPr>
                <w:sz w:val="19"/>
              </w:rPr>
              <w:t>0</w:t>
            </w:r>
          </w:p>
        </w:tc>
        <w:tc>
          <w:tcPr>
            <w:tcW w:type="dxa" w:w="2412"/>
          </w:tcPr>
          <w:p>
            <w:pPr>
              <w:spacing w:after="40"/>
            </w:pPr>
            <w:r>
              <w:rPr>
                <w:sz w:val="19"/>
              </w:rPr>
              <w:t>0</w:t>
            </w:r>
          </w:p>
        </w:tc>
      </w:tr>
      <w:tr>
        <w:tc>
          <w:tcPr>
            <w:tcW w:type="dxa" w:w="2412"/>
          </w:tcPr>
          <w:p>
            <w:pPr>
              <w:spacing w:after="40"/>
            </w:pPr>
            <w:r>
              <w:rPr>
                <w:sz w:val="19"/>
              </w:rPr>
              <w:t>Not Evaluated</w:t>
            </w:r>
          </w:p>
        </w:tc>
        <w:tc>
          <w:tcPr>
            <w:tcW w:type="dxa" w:w="2412"/>
          </w:tcPr>
          <w:p>
            <w:pPr>
              <w:spacing w:after="40"/>
            </w:pPr>
            <w:r>
              <w:rPr>
                <w:sz w:val="19"/>
              </w:rPr>
              <w:t>24</w:t>
            </w:r>
          </w:p>
        </w:tc>
        <w:tc>
          <w:tcPr>
            <w:tcW w:type="dxa" w:w="2412"/>
          </w:tcPr>
          <w:p>
            <w:pPr>
              <w:spacing w:after="40"/>
            </w:pPr>
            <w:r>
              <w:rPr>
                <w:sz w:val="19"/>
              </w:rPr>
              <w:t>19</w:t>
            </w:r>
          </w:p>
        </w:tc>
        <w:tc>
          <w:tcPr>
            <w:tcW w:type="dxa" w:w="2412"/>
          </w:tcPr>
          <w:p>
            <w:pPr>
              <w:spacing w:after="40"/>
            </w:pPr>
            <w:r>
              <w:rPr>
                <w:sz w:val="19"/>
              </w:rPr>
              <w:t>43</w:t>
            </w:r>
          </w:p>
        </w:tc>
      </w:tr>
    </w:tbl>
    <w:p>
      <w:pPr>
        <w:spacing w:after="40"/>
      </w:pPr>
    </w:p>
    <w:p>
      <w:r>
        <w:t xml:space="preserve">Full per-criterion record with evidence citations: </w:t>
      </w:r>
      <w:r>
        <w:rPr>
          <w:rFonts w:ascii="Consolas" w:hAnsi="Consolas"/>
          <w:sz w:val="19"/>
        </w:rPr>
        <w:t>05-results.md</w:t>
      </w:r>
      <w:r>
        <w:t>.</w:t>
      </w:r>
    </w:p>
    <w:p>
      <w:pPr>
        <w:pStyle w:val="Heading2"/>
      </w:pPr>
      <w:r>
        <w:t>Concerns outside the conformance target</w:t>
      </w:r>
    </w:p>
    <w:p>
      <w:r>
        <w:rPr>
          <w:b/>
        </w:rPr>
        <w:t>No way to author alternative text — a defect in the product's *output*, not its interface (R016 O10).</w:t>
      </w:r>
      <w:r>
        <w:t xml:space="preserve"> The reviewer could find no way at all, visually or by screen reader, to attach alt text to an image placed in a design. This is deliberately </w:t>
      </w:r>
      <w:r>
        <w:rPr>
          <w:b/>
        </w:rPr>
        <w:t>not</w:t>
      </w:r>
      <w:r>
        <w:t xml:space="preserve"> recorded as a WCAG finding: WCAG governs Express's own UI, and no criterion requires an authoring tool to support accessible output. The applicable requirements are </w:t>
      </w:r>
      <w:r>
        <w:rPr>
          <w:b/>
        </w:rPr>
        <w:t>Section 508 §504.2/§504.3 (Authoring Tools)</w:t>
      </w:r>
      <w:r>
        <w:t xml:space="preserve"> / ATAG 2.0 B.2.3. Materiality depends on output format: negligible for PNG/JPG, </w:t>
      </w:r>
      <w:r>
        <w:rPr>
          <w:b/>
        </w:rPr>
        <w:t>material for PDF export and webpage publishing</w:t>
      </w:r>
      <w:r>
        <w:t>, where every artifact the campuses publish would carry unlabelled images — an outward-facing, compounding harm affecting readers who never touch Express.</w:t>
      </w:r>
    </w:p>
    <w:p>
      <w:r>
        <w:rPr>
          <w:b/>
        </w:rPr>
        <w:t>Reviewer decisions required:</w:t>
      </w:r>
      <w:r>
        <w:t xml:space="preserve"> (1) extend this review's scope to 508 §504, or carry this as an advisory note beside the conformance statement; (2) confirm via the export walk (W16) which output formats are offered.</w:t>
      </w:r>
    </w:p>
    <w:p>
      <w:pPr>
        <w:pStyle w:val="Heading2"/>
      </w:pPr>
      <w:r>
        <w:t>Coverage &amp; limitations of this review</w:t>
      </w:r>
    </w:p>
    <w:p>
      <w:r>
        <w:rPr>
          <w:b/>
        </w:rPr>
        <w:t>This is an interim report.</w:t>
      </w:r>
      <w:r>
        <w:t xml:space="preserve"> 12 of 55 criteria verified; 9 of 28 view×modality cells run.</w:t>
      </w:r>
    </w:p>
    <w:tbl>
      <w:tblPr>
        <w:tblStyle w:val="TableGrid"/>
        <w:tblW w:type="auto" w:w="0"/>
        <w:jc w:val="left"/>
        <w:tblLayout w:type="autofit"/>
        <w:tblLook w:firstColumn="1" w:firstRow="1" w:lastColumn="0" w:lastRow="0" w:noHBand="0" w:noVBand="1" w:val="04A0"/>
      </w:tblPr>
      <w:tblGrid>
        <w:gridCol w:w="3216"/>
        <w:gridCol w:w="3216"/>
        <w:gridCol w:w="3216"/>
      </w:tblGrid>
      <w:tr>
        <w:trPr>
          <w:tblHeader w:val="true"/>
        </w:trPr>
        <w:tc>
          <w:tcPr>
            <w:tcW w:type="dxa" w:w="3216"/>
            <w:shd w:val="clear" w:fill="D9D9D9"/>
          </w:tcPr>
          <w:p>
            <w:pPr>
              <w:spacing w:after="40"/>
            </w:pPr>
            <w:r>
              <w:rPr>
                <w:b/>
                <w:sz w:val="19"/>
              </w:rPr>
              <w:t>View</w:t>
            </w:r>
          </w:p>
        </w:tc>
        <w:tc>
          <w:tcPr>
            <w:tcW w:type="dxa" w:w="3216"/>
            <w:shd w:val="clear" w:fill="D9D9D9"/>
          </w:tcPr>
          <w:p>
            <w:pPr>
              <w:spacing w:after="40"/>
            </w:pPr>
            <w:r>
              <w:rPr>
                <w:b/>
                <w:sz w:val="19"/>
              </w:rPr>
              <w:t>Done</w:t>
            </w:r>
          </w:p>
        </w:tc>
        <w:tc>
          <w:tcPr>
            <w:tcW w:type="dxa" w:w="3216"/>
            <w:shd w:val="clear" w:fill="D9D9D9"/>
          </w:tcPr>
          <w:p>
            <w:pPr>
              <w:spacing w:after="40"/>
            </w:pPr>
            <w:r>
              <w:rPr>
                <w:b/>
                <w:sz w:val="19"/>
              </w:rPr>
              <w:t>Open</w:t>
            </w:r>
          </w:p>
        </w:tc>
      </w:tr>
      <w:tr>
        <w:tc>
          <w:tcPr>
            <w:tcW w:type="dxa" w:w="3216"/>
          </w:tcPr>
          <w:p>
            <w:pPr>
              <w:spacing w:after="40"/>
            </w:pPr>
            <w:r>
              <w:rPr>
                <w:sz w:val="19"/>
              </w:rPr>
              <w:t>S1 Home</w:t>
            </w:r>
          </w:p>
        </w:tc>
        <w:tc>
          <w:tcPr>
            <w:tcW w:type="dxa" w:w="3216"/>
          </w:tcPr>
          <w:p>
            <w:pPr>
              <w:spacing w:after="40"/>
            </w:pPr>
            <w:r>
              <w:rPr>
                <w:sz w:val="19"/>
              </w:rPr>
              <w:t>no-vision (NVDA), no-color, axe; no-hearing/no-speech N/A</w:t>
            </w:r>
          </w:p>
        </w:tc>
        <w:tc>
          <w:tcPr>
            <w:tcW w:type="dxa" w:w="3216"/>
          </w:tcPr>
          <w:p>
            <w:pPr>
              <w:spacing w:after="40"/>
            </w:pPr>
            <w:r>
              <w:rPr>
                <w:sz w:val="19"/>
              </w:rPr>
              <w:t>low-vision (5 checks), motor (8), cognition (6); JAWS run suspended</w:t>
            </w:r>
          </w:p>
        </w:tc>
      </w:tr>
      <w:tr>
        <w:tc>
          <w:tcPr>
            <w:tcW w:type="dxa" w:w="3216"/>
          </w:tcPr>
          <w:p>
            <w:pPr>
              <w:spacing w:after="40"/>
            </w:pPr>
            <w:r>
              <w:rPr>
                <w:sz w:val="19"/>
              </w:rPr>
              <w:t>S2 Explore</w:t>
            </w:r>
          </w:p>
        </w:tc>
        <w:tc>
          <w:tcPr>
            <w:tcW w:type="dxa" w:w="3216"/>
          </w:tcPr>
          <w:p>
            <w:pPr>
              <w:spacing w:after="40"/>
            </w:pPr>
            <w:r>
              <w:rPr>
                <w:sz w:val="19"/>
              </w:rPr>
              <w:t>no-vision (NVDA + task walk T1), axe</w:t>
            </w:r>
          </w:p>
        </w:tc>
        <w:tc>
          <w:tcPr>
            <w:tcW w:type="dxa" w:w="3216"/>
          </w:tcPr>
          <w:p>
            <w:pPr>
              <w:spacing w:after="40"/>
            </w:pPr>
            <w:r>
              <w:rPr>
                <w:sz w:val="19"/>
              </w:rPr>
              <w:t>all other modalities</w:t>
            </w:r>
          </w:p>
        </w:tc>
      </w:tr>
      <w:tr>
        <w:tc>
          <w:tcPr>
            <w:tcW w:type="dxa" w:w="3216"/>
          </w:tcPr>
          <w:p>
            <w:pPr>
              <w:spacing w:after="40"/>
            </w:pPr>
            <w:r>
              <w:rPr>
                <w:sz w:val="19"/>
              </w:rPr>
              <w:t>S3 Editor</w:t>
            </w:r>
          </w:p>
        </w:tc>
        <w:tc>
          <w:tcPr>
            <w:tcW w:type="dxa" w:w="3216"/>
          </w:tcPr>
          <w:p>
            <w:pPr>
              <w:spacing w:after="40"/>
            </w:pPr>
            <w:r>
              <w:rPr>
                <w:sz w:val="19"/>
              </w:rPr>
              <w:t>axe; no-vision in progress (view sweep + task walk T2)</w:t>
            </w:r>
          </w:p>
        </w:tc>
        <w:tc>
          <w:tcPr>
            <w:tcW w:type="dxa" w:w="3216"/>
          </w:tcPr>
          <w:p>
            <w:pPr>
              <w:spacing w:after="40"/>
            </w:pPr>
            <w:r>
              <w:rPr>
                <w:sz w:val="19"/>
              </w:rPr>
              <w:t xml:space="preserve">T2 export steps; all other modalities — </w:t>
            </w:r>
            <w:r>
              <w:rPr>
                <w:b/>
                <w:sz w:val="19"/>
              </w:rPr>
              <w:t>no-hearing is NOT N/A here</w:t>
            </w:r>
            <w:r>
              <w:rPr>
                <w:sz w:val="19"/>
              </w:rPr>
              <w:t xml:space="preserve"> (insertable video/audio assets)</w:t>
            </w:r>
          </w:p>
        </w:tc>
      </w:tr>
      <w:tr>
        <w:tc>
          <w:tcPr>
            <w:tcW w:type="dxa" w:w="3216"/>
          </w:tcPr>
          <w:p>
            <w:pPr>
              <w:spacing w:after="40"/>
            </w:pPr>
            <w:r>
              <w:rPr>
                <w:sz w:val="19"/>
              </w:rPr>
              <w:t>S4 Your stuff</w:t>
            </w:r>
          </w:p>
        </w:tc>
        <w:tc>
          <w:tcPr>
            <w:tcW w:type="dxa" w:w="3216"/>
          </w:tcPr>
          <w:p>
            <w:pPr>
              <w:spacing w:after="40"/>
            </w:pPr>
            <w:r>
              <w:rPr>
                <w:sz w:val="19"/>
              </w:rPr>
              <w:t>—</w:t>
            </w:r>
          </w:p>
        </w:tc>
        <w:tc>
          <w:tcPr>
            <w:tcW w:type="dxa" w:w="3216"/>
          </w:tcPr>
          <w:p>
            <w:pPr>
              <w:spacing w:after="40"/>
            </w:pPr>
            <w:r>
              <w:rPr>
                <w:sz w:val="19"/>
              </w:rPr>
              <w:t>everything, including the required axe sweep</w:t>
            </w:r>
          </w:p>
        </w:tc>
      </w:tr>
    </w:tbl>
    <w:p>
      <w:pPr>
        <w:spacing w:after="40"/>
      </w:pPr>
    </w:p>
    <w:p>
      <w:r>
        <w:t xml:space="preserve">Standing caveats: </w:t>
      </w:r>
      <w:r>
        <w:rPr>
          <w:b/>
        </w:rPr>
        <w:t>all screen-reader evidence is NVDA 2026.1.1 only</w:t>
      </w:r>
      <w:r>
        <w:t xml:space="preserve"> — whether JAWS is in scope is an open question (03 §1.3), and JAWS/NVDA differences were observed (landmark exposure); the S3 test document holds a single object, so document-scale reading is untested; grid counts are floors (lazy loading); WAVE is instrument-blind on this product; automated sweeps cannot see the canvas at all.</w:t>
      </w:r>
    </w:p>
    <w:p>
      <w:pPr>
        <w:pStyle w:val="Heading2"/>
      </w:pPr>
      <w:r>
        <w:t>Remediation exhibit (for contract negotiation)</w:t>
      </w:r>
    </w:p>
    <w:tbl>
      <w:tblPr>
        <w:tblStyle w:val="TableGrid"/>
        <w:tblW w:type="auto" w:w="0"/>
        <w:jc w:val="left"/>
        <w:tblLayout w:type="autofit"/>
        <w:tblLook w:firstColumn="1" w:firstRow="1" w:lastColumn="0" w:lastRow="0" w:noHBand="0" w:noVBand="1" w:val="04A0"/>
      </w:tblPr>
      <w:tblGrid>
        <w:gridCol w:w="1930"/>
        <w:gridCol w:w="1930"/>
        <w:gridCol w:w="1930"/>
        <w:gridCol w:w="1930"/>
        <w:gridCol w:w="1930"/>
      </w:tblGrid>
      <w:tr>
        <w:trPr>
          <w:tblHeader w:val="true"/>
        </w:trPr>
        <w:tc>
          <w:tcPr>
            <w:tcW w:type="dxa" w:w="1930"/>
            <w:shd w:val="clear" w:fill="D9D9D9"/>
          </w:tcPr>
          <w:p>
            <w:pPr>
              <w:spacing w:after="40"/>
            </w:pPr>
            <w:r>
              <w:rPr>
                <w:b/>
                <w:sz w:val="19"/>
              </w:rPr>
              <w:t>#</w:t>
            </w:r>
          </w:p>
        </w:tc>
        <w:tc>
          <w:tcPr>
            <w:tcW w:type="dxa" w:w="1930"/>
            <w:shd w:val="clear" w:fill="D9D9D9"/>
          </w:tcPr>
          <w:p>
            <w:pPr>
              <w:spacing w:after="40"/>
            </w:pPr>
            <w:r>
              <w:rPr>
                <w:b/>
                <w:sz w:val="19"/>
              </w:rPr>
              <w:t>Defect (finding)</w:t>
            </w:r>
          </w:p>
        </w:tc>
        <w:tc>
          <w:tcPr>
            <w:tcW w:type="dxa" w:w="1930"/>
            <w:shd w:val="clear" w:fill="D9D9D9"/>
          </w:tcPr>
          <w:p>
            <w:pPr>
              <w:spacing w:after="40"/>
            </w:pPr>
            <w:r>
              <w:rPr>
                <w:b/>
                <w:sz w:val="19"/>
              </w:rPr>
              <w:t>WCAG SC</w:t>
            </w:r>
          </w:p>
        </w:tc>
        <w:tc>
          <w:tcPr>
            <w:tcW w:type="dxa" w:w="1930"/>
            <w:shd w:val="clear" w:fill="D9D9D9"/>
          </w:tcPr>
          <w:p>
            <w:pPr>
              <w:spacing w:after="40"/>
            </w:pPr>
            <w:r>
              <w:rPr>
                <w:b/>
                <w:sz w:val="19"/>
              </w:rPr>
              <w:t>Specific fix</w:t>
            </w:r>
          </w:p>
        </w:tc>
        <w:tc>
          <w:tcPr>
            <w:tcW w:type="dxa" w:w="1930"/>
            <w:shd w:val="clear" w:fill="D9D9D9"/>
          </w:tcPr>
          <w:p>
            <w:pPr>
              <w:spacing w:after="40"/>
            </w:pPr>
            <w:r>
              <w:rPr>
                <w:b/>
                <w:sz w:val="19"/>
              </w:rPr>
              <w:t>Verify by</w:t>
            </w:r>
          </w:p>
        </w:tc>
      </w:tr>
      <w:tr>
        <w:tc>
          <w:tcPr>
            <w:tcW w:type="dxa" w:w="1930"/>
          </w:tcPr>
          <w:p>
            <w:pPr>
              <w:spacing w:after="40"/>
            </w:pPr>
            <w:r>
              <w:rPr>
                <w:sz w:val="19"/>
              </w:rPr>
              <w:t>1</w:t>
            </w:r>
          </w:p>
        </w:tc>
        <w:tc>
          <w:tcPr>
            <w:tcW w:type="dxa" w:w="1930"/>
          </w:tcPr>
          <w:p>
            <w:pPr>
              <w:spacing w:after="40"/>
            </w:pPr>
            <w:r>
              <w:rPr>
                <w:sz w:val="19"/>
              </w:rPr>
              <w:t>Template grid announces as an orphaned table row; arrowing silent, items unnamed (T1-F2)</w:t>
            </w:r>
          </w:p>
        </w:tc>
        <w:tc>
          <w:tcPr>
            <w:tcW w:type="dxa" w:w="1930"/>
          </w:tcPr>
          <w:p>
            <w:pPr>
              <w:spacing w:after="40"/>
            </w:pPr>
            <w:r>
              <w:rPr>
                <w:sz w:val="19"/>
              </w:rPr>
              <w:t>1.3.1, 4.1.2</w:t>
            </w:r>
          </w:p>
        </w:tc>
        <w:tc>
          <w:tcPr>
            <w:tcW w:type="dxa" w:w="1930"/>
          </w:tcPr>
          <w:p>
            <w:pPr>
              <w:spacing w:after="40"/>
            </w:pPr>
            <w:r>
              <w:rPr>
                <w:sz w:val="19"/>
              </w:rPr>
              <w:t xml:space="preserve">Correct container semantics for </w:t>
            </w:r>
            <w:r>
              <w:rPr>
                <w:rFonts w:ascii="Consolas" w:hAnsi="Consolas"/>
                <w:sz w:val="19"/>
              </w:rPr>
              <w:t>x-masonry</w:t>
            </w:r>
            <w:r>
              <w:rPr>
                <w:sz w:val="19"/>
              </w:rPr>
              <w:t xml:space="preserve"> (valid grid or listbox pattern); name each item with its template name</w:t>
            </w:r>
          </w:p>
        </w:tc>
        <w:tc>
          <w:tcPr>
            <w:tcW w:type="dxa" w:w="1930"/>
          </w:tcPr>
          <w:p>
            <w:pPr>
              <w:spacing w:after="40"/>
            </w:pPr>
            <w:r>
              <w:rPr>
                <w:sz w:val="19"/>
              </w:rPr>
              <w:t xml:space="preserve">axe </w:t>
            </w:r>
            <w:r>
              <w:rPr>
                <w:rFonts w:ascii="Consolas" w:hAnsi="Consolas"/>
                <w:sz w:val="19"/>
              </w:rPr>
              <w:t>aria-required-parent</w:t>
            </w:r>
            <w:r>
              <w:rPr>
                <w:sz w:val="19"/>
              </w:rPr>
              <w:t xml:space="preserve"> clean; NVDA arrow-navigation announces each item by name</w:t>
            </w:r>
          </w:p>
        </w:tc>
      </w:tr>
      <w:tr>
        <w:tc>
          <w:tcPr>
            <w:tcW w:type="dxa" w:w="1930"/>
          </w:tcPr>
          <w:p>
            <w:pPr>
              <w:spacing w:after="40"/>
            </w:pPr>
            <w:r>
              <w:rPr>
                <w:sz w:val="19"/>
              </w:rPr>
              <w:t>2</w:t>
            </w:r>
          </w:p>
        </w:tc>
        <w:tc>
          <w:tcPr>
            <w:tcW w:type="dxa" w:w="1930"/>
          </w:tcPr>
          <w:p>
            <w:pPr>
              <w:spacing w:after="40"/>
            </w:pPr>
            <w:r>
              <w:rPr>
                <w:sz w:val="19"/>
              </w:rPr>
              <w:t>Template thumbnails absent from accessibility tree (T1-F2)</w:t>
            </w:r>
          </w:p>
        </w:tc>
        <w:tc>
          <w:tcPr>
            <w:tcW w:type="dxa" w:w="1930"/>
          </w:tcPr>
          <w:p>
            <w:pPr>
              <w:spacing w:after="40"/>
            </w:pPr>
            <w:r>
              <w:rPr>
                <w:sz w:val="19"/>
              </w:rPr>
              <w:t>1.1.1</w:t>
            </w:r>
          </w:p>
        </w:tc>
        <w:tc>
          <w:tcPr>
            <w:tcW w:type="dxa" w:w="1930"/>
          </w:tcPr>
          <w:p>
            <w:pPr>
              <w:spacing w:after="40"/>
            </w:pPr>
            <w:r>
              <w:rPr>
                <w:sz w:val="19"/>
              </w:rPr>
              <w:t>Expose thumbnail with template name as alternative</w:t>
            </w:r>
          </w:p>
        </w:tc>
        <w:tc>
          <w:tcPr>
            <w:tcW w:type="dxa" w:w="1930"/>
          </w:tcPr>
          <w:p>
            <w:pPr>
              <w:spacing w:after="40"/>
            </w:pPr>
            <w:r>
              <w:rPr>
                <w:sz w:val="19"/>
              </w:rPr>
              <w:t xml:space="preserve">NVDA </w:t>
            </w:r>
            <w:r>
              <w:rPr>
                <w:rFonts w:ascii="Consolas" w:hAnsi="Consolas"/>
                <w:sz w:val="19"/>
              </w:rPr>
              <w:t>G</w:t>
            </w:r>
            <w:r>
              <w:rPr>
                <w:sz w:val="19"/>
              </w:rPr>
              <w:t>-walk finds named graphics on S2</w:t>
            </w:r>
          </w:p>
        </w:tc>
      </w:tr>
      <w:tr>
        <w:tc>
          <w:tcPr>
            <w:tcW w:type="dxa" w:w="1930"/>
          </w:tcPr>
          <w:p>
            <w:pPr>
              <w:spacing w:after="40"/>
            </w:pPr>
            <w:r>
              <w:rPr>
                <w:sz w:val="19"/>
              </w:rPr>
              <w:t>3</w:t>
            </w:r>
          </w:p>
        </w:tc>
        <w:tc>
          <w:tcPr>
            <w:tcW w:type="dxa" w:w="1930"/>
          </w:tcPr>
          <w:p>
            <w:pPr>
              <w:spacing w:after="40"/>
            </w:pPr>
            <w:r>
              <w:rPr>
                <w:sz w:val="19"/>
              </w:rPr>
              <w:t>17 of 18 grids unnamed product-wide (V-F11)</w:t>
            </w:r>
          </w:p>
        </w:tc>
        <w:tc>
          <w:tcPr>
            <w:tcW w:type="dxa" w:w="1930"/>
          </w:tcPr>
          <w:p>
            <w:pPr>
              <w:spacing w:after="40"/>
            </w:pPr>
            <w:r>
              <w:rPr>
                <w:sz w:val="19"/>
              </w:rPr>
              <w:t>1.3.1</w:t>
            </w:r>
          </w:p>
        </w:tc>
        <w:tc>
          <w:tcPr>
            <w:tcW w:type="dxa" w:w="1930"/>
          </w:tcPr>
          <w:p>
            <w:pPr>
              <w:spacing w:after="40"/>
            </w:pPr>
            <w:r>
              <w:rPr>
                <w:rFonts w:ascii="Consolas" w:hAnsi="Consolas"/>
                <w:sz w:val="19"/>
              </w:rPr>
              <w:t>aria-labelledby</w:t>
            </w:r>
            <w:r>
              <w:rPr>
                <w:sz w:val="19"/>
              </w:rPr>
              <w:t xml:space="preserve"> each grid to its existing adjacent heading</w:t>
            </w:r>
          </w:p>
        </w:tc>
        <w:tc>
          <w:tcPr>
            <w:tcW w:type="dxa" w:w="1930"/>
          </w:tcPr>
          <w:p>
            <w:pPr>
              <w:spacing w:after="40"/>
            </w:pPr>
            <w:r>
              <w:rPr>
                <w:sz w:val="19"/>
              </w:rPr>
              <w:t xml:space="preserve">AX-tree enumeration: every </w:t>
            </w:r>
            <w:r>
              <w:rPr>
                <w:rFonts w:ascii="Consolas" w:hAnsi="Consolas"/>
                <w:sz w:val="19"/>
              </w:rPr>
              <w:t>role=grid</w:t>
            </w:r>
            <w:r>
              <w:rPr>
                <w:sz w:val="19"/>
              </w:rPr>
              <w:t xml:space="preserve"> named</w:t>
            </w:r>
          </w:p>
        </w:tc>
      </w:tr>
      <w:tr>
        <w:tc>
          <w:tcPr>
            <w:tcW w:type="dxa" w:w="1930"/>
          </w:tcPr>
          <w:p>
            <w:pPr>
              <w:spacing w:after="40"/>
            </w:pPr>
            <w:r>
              <w:rPr>
                <w:sz w:val="19"/>
              </w:rPr>
              <w:t>4</w:t>
            </w:r>
          </w:p>
        </w:tc>
        <w:tc>
          <w:tcPr>
            <w:tcW w:type="dxa" w:w="1930"/>
          </w:tcPr>
          <w:p>
            <w:pPr>
              <w:spacing w:after="40"/>
            </w:pPr>
            <w:r>
              <w:rPr>
                <w:sz w:val="19"/>
              </w:rPr>
              <w:t>One document title product-wide (V-F8)</w:t>
            </w:r>
          </w:p>
        </w:tc>
        <w:tc>
          <w:tcPr>
            <w:tcW w:type="dxa" w:w="1930"/>
          </w:tcPr>
          <w:p>
            <w:pPr>
              <w:spacing w:after="40"/>
            </w:pPr>
            <w:r>
              <w:rPr>
                <w:sz w:val="19"/>
              </w:rPr>
              <w:t>2.4.2</w:t>
            </w:r>
          </w:p>
        </w:tc>
        <w:tc>
          <w:tcPr>
            <w:tcW w:type="dxa" w:w="1930"/>
          </w:tcPr>
          <w:p>
            <w:pPr>
              <w:spacing w:after="40"/>
            </w:pPr>
            <w:r>
              <w:rPr>
                <w:sz w:val="19"/>
              </w:rPr>
              <w:t xml:space="preserve">Per-view </w:t>
            </w:r>
            <w:r>
              <w:rPr>
                <w:rFonts w:ascii="Consolas" w:hAnsi="Consolas"/>
                <w:sz w:val="19"/>
              </w:rPr>
              <w:t>document.title</w:t>
            </w:r>
            <w:r>
              <w:rPr>
                <w:sz w:val="19"/>
              </w:rPr>
              <w:t xml:space="preserve"> ("Home — Adobe Express", …)</w:t>
            </w:r>
          </w:p>
        </w:tc>
        <w:tc>
          <w:tcPr>
            <w:tcW w:type="dxa" w:w="1930"/>
          </w:tcPr>
          <w:p>
            <w:pPr>
              <w:spacing w:after="40"/>
            </w:pPr>
            <w:r>
              <w:rPr>
                <w:sz w:val="19"/>
              </w:rPr>
              <w:t>Titles differ across Home/Explore/Your stuff/Brands</w:t>
            </w:r>
          </w:p>
        </w:tc>
      </w:tr>
      <w:tr>
        <w:tc>
          <w:tcPr>
            <w:tcW w:type="dxa" w:w="1930"/>
          </w:tcPr>
          <w:p>
            <w:pPr>
              <w:spacing w:after="40"/>
            </w:pPr>
            <w:r>
              <w:rPr>
                <w:sz w:val="19"/>
              </w:rPr>
              <w:t>5</w:t>
            </w:r>
          </w:p>
        </w:tc>
        <w:tc>
          <w:tcPr>
            <w:tcW w:type="dxa" w:w="1930"/>
          </w:tcPr>
          <w:p>
            <w:pPr>
              <w:spacing w:after="40"/>
            </w:pPr>
            <w:r>
              <w:rPr>
                <w:sz w:val="19"/>
              </w:rPr>
              <w:t>Navigation not announced; focus stays on rail (T1-F1)</w:t>
            </w:r>
          </w:p>
        </w:tc>
        <w:tc>
          <w:tcPr>
            <w:tcW w:type="dxa" w:w="1930"/>
          </w:tcPr>
          <w:p>
            <w:pPr>
              <w:spacing w:after="40"/>
            </w:pPr>
            <w:r>
              <w:rPr>
                <w:sz w:val="19"/>
              </w:rPr>
              <w:t>2.4.3</w:t>
            </w:r>
          </w:p>
        </w:tc>
        <w:tc>
          <w:tcPr>
            <w:tcW w:type="dxa" w:w="1930"/>
          </w:tcPr>
          <w:p>
            <w:pPr>
              <w:spacing w:after="40"/>
            </w:pPr>
            <w:r>
              <w:rPr>
                <w:sz w:val="19"/>
              </w:rPr>
              <w:t>Move focus to the new view's start or announce arrival</w:t>
            </w:r>
          </w:p>
        </w:tc>
        <w:tc>
          <w:tcPr>
            <w:tcW w:type="dxa" w:w="1930"/>
          </w:tcPr>
          <w:p>
            <w:pPr>
              <w:spacing w:after="40"/>
            </w:pPr>
            <w:r>
              <w:rPr>
                <w:sz w:val="19"/>
              </w:rPr>
              <w:t>NVDA announces view name on rail navigation</w:t>
            </w:r>
          </w:p>
        </w:tc>
      </w:tr>
      <w:tr>
        <w:tc>
          <w:tcPr>
            <w:tcW w:type="dxa" w:w="1930"/>
          </w:tcPr>
          <w:p>
            <w:pPr>
              <w:spacing w:after="40"/>
            </w:pPr>
            <w:r>
              <w:rPr>
                <w:sz w:val="19"/>
              </w:rPr>
              <w:t>6</w:t>
            </w:r>
          </w:p>
        </w:tc>
        <w:tc>
          <w:tcPr>
            <w:tcW w:type="dxa" w:w="1930"/>
          </w:tcPr>
          <w:p>
            <w:pPr>
              <w:spacing w:after="40"/>
            </w:pPr>
            <w:r>
              <w:rPr>
                <w:sz w:val="19"/>
              </w:rPr>
              <w:t>Silent completion: search, lazy-load, image insert, AI generate (T1-F2, T2-F2)</w:t>
            </w:r>
          </w:p>
        </w:tc>
        <w:tc>
          <w:tcPr>
            <w:tcW w:type="dxa" w:w="1930"/>
          </w:tcPr>
          <w:p>
            <w:pPr>
              <w:spacing w:after="40"/>
            </w:pPr>
            <w:r>
              <w:rPr>
                <w:sz w:val="19"/>
              </w:rPr>
              <w:t>4.1.3</w:t>
            </w:r>
          </w:p>
        </w:tc>
        <w:tc>
          <w:tcPr>
            <w:tcW w:type="dxa" w:w="1930"/>
          </w:tcPr>
          <w:p>
            <w:pPr>
              <w:spacing w:after="40"/>
            </w:pPr>
            <w:r>
              <w:rPr>
                <w:sz w:val="19"/>
              </w:rPr>
              <w:t>Status messages incl. result counts and generate progress/done/failed</w:t>
            </w:r>
          </w:p>
        </w:tc>
        <w:tc>
          <w:tcPr>
            <w:tcW w:type="dxa" w:w="1930"/>
          </w:tcPr>
          <w:p>
            <w:pPr>
              <w:spacing w:after="40"/>
            </w:pPr>
            <w:r>
              <w:rPr>
                <w:sz w:val="19"/>
              </w:rPr>
              <w:t>NVDA hears each without focus moving</w:t>
            </w:r>
          </w:p>
        </w:tc>
      </w:tr>
      <w:tr>
        <w:tc>
          <w:tcPr>
            <w:tcW w:type="dxa" w:w="1930"/>
          </w:tcPr>
          <w:p>
            <w:pPr>
              <w:spacing w:after="40"/>
            </w:pPr>
            <w:r>
              <w:rPr>
                <w:sz w:val="19"/>
              </w:rPr>
              <w:t>7</w:t>
            </w:r>
          </w:p>
        </w:tc>
        <w:tc>
          <w:tcPr>
            <w:tcW w:type="dxa" w:w="1930"/>
          </w:tcPr>
          <w:p>
            <w:pPr>
              <w:spacing w:after="40"/>
            </w:pPr>
            <w:r>
              <w:rPr>
                <w:sz w:val="19"/>
              </w:rPr>
              <w:t>Create-chooser options unnamed in 6 of 7 tabs (T2-F1)</w:t>
            </w:r>
          </w:p>
        </w:tc>
        <w:tc>
          <w:tcPr>
            <w:tcW w:type="dxa" w:w="1930"/>
          </w:tcPr>
          <w:p>
            <w:pPr>
              <w:spacing w:after="40"/>
            </w:pPr>
            <w:r>
              <w:rPr>
                <w:sz w:val="19"/>
              </w:rPr>
              <w:t>4.1.2</w:t>
            </w:r>
          </w:p>
        </w:tc>
        <w:tc>
          <w:tcPr>
            <w:tcW w:type="dxa" w:w="1930"/>
          </w:tcPr>
          <w:p>
            <w:pPr>
              <w:spacing w:after="40"/>
            </w:pPr>
            <w:r>
              <w:rPr>
                <w:sz w:val="19"/>
              </w:rPr>
              <w:t>Accessible name per option in every category tab</w:t>
            </w:r>
          </w:p>
        </w:tc>
        <w:tc>
          <w:tcPr>
            <w:tcW w:type="dxa" w:w="1930"/>
          </w:tcPr>
          <w:p>
            <w:pPr>
              <w:spacing w:after="40"/>
            </w:pPr>
            <w:r>
              <w:rPr>
                <w:sz w:val="19"/>
              </w:rPr>
              <w:t>NVDA reads distinct names in each tab</w:t>
            </w:r>
          </w:p>
        </w:tc>
      </w:tr>
      <w:tr>
        <w:tc>
          <w:tcPr>
            <w:tcW w:type="dxa" w:w="1930"/>
          </w:tcPr>
          <w:p>
            <w:pPr>
              <w:spacing w:after="40"/>
            </w:pPr>
            <w:r>
              <w:rPr>
                <w:sz w:val="19"/>
              </w:rPr>
              <w:t>8</w:t>
            </w:r>
          </w:p>
        </w:tc>
        <w:tc>
          <w:tcPr>
            <w:tcW w:type="dxa" w:w="1930"/>
          </w:tcPr>
          <w:p>
            <w:pPr>
              <w:spacing w:after="40"/>
            </w:pPr>
            <w:r>
              <w:rPr>
                <w:sz w:val="19"/>
              </w:rPr>
              <w:t>Unnamed controls: community button, page-nav "more", floating text toolbar; Italic lacks state (V-F4, V-F10, R015 O6)</w:t>
            </w:r>
          </w:p>
        </w:tc>
        <w:tc>
          <w:tcPr>
            <w:tcW w:type="dxa" w:w="1930"/>
          </w:tcPr>
          <w:p>
            <w:pPr>
              <w:spacing w:after="40"/>
            </w:pPr>
            <w:r>
              <w:rPr>
                <w:sz w:val="19"/>
              </w:rPr>
              <w:t>4.1.2</w:t>
            </w:r>
          </w:p>
        </w:tc>
        <w:tc>
          <w:tcPr>
            <w:tcW w:type="dxa" w:w="1930"/>
          </w:tcPr>
          <w:p>
            <w:pPr>
              <w:spacing w:after="40"/>
            </w:pPr>
            <w:r>
              <w:rPr>
                <w:rFonts w:ascii="Consolas" w:hAnsi="Consolas"/>
                <w:sz w:val="19"/>
              </w:rPr>
              <w:t>aria-label</w:t>
            </w:r>
            <w:r>
              <w:rPr>
                <w:sz w:val="19"/>
              </w:rPr>
              <w:t xml:space="preserve"> each; </w:t>
            </w:r>
            <w:r>
              <w:rPr>
                <w:rFonts w:ascii="Consolas" w:hAnsi="Consolas"/>
                <w:sz w:val="19"/>
              </w:rPr>
              <w:t>aria-pressed</w:t>
            </w:r>
            <w:r>
              <w:rPr>
                <w:sz w:val="19"/>
              </w:rPr>
              <w:t xml:space="preserve"> on Italic</w:t>
            </w:r>
          </w:p>
        </w:tc>
        <w:tc>
          <w:tcPr>
            <w:tcW w:type="dxa" w:w="1930"/>
          </w:tcPr>
          <w:p>
            <w:pPr>
              <w:spacing w:after="40"/>
            </w:pPr>
            <w:r>
              <w:rPr>
                <w:sz w:val="19"/>
              </w:rPr>
              <w:t xml:space="preserve">axe </w:t>
            </w:r>
            <w:r>
              <w:rPr>
                <w:rFonts w:ascii="Consolas" w:hAnsi="Consolas"/>
                <w:sz w:val="19"/>
              </w:rPr>
              <w:t>aria-command-name</w:t>
            </w:r>
            <w:r>
              <w:rPr>
                <w:sz w:val="19"/>
              </w:rPr>
              <w:t xml:space="preserve"> zero; NVDA announces name+state</w:t>
            </w:r>
          </w:p>
        </w:tc>
      </w:tr>
      <w:tr>
        <w:tc>
          <w:tcPr>
            <w:tcW w:type="dxa" w:w="1930"/>
          </w:tcPr>
          <w:p>
            <w:pPr>
              <w:spacing w:after="40"/>
            </w:pPr>
            <w:r>
              <w:rPr>
                <w:sz w:val="19"/>
              </w:rPr>
              <w:t>9</w:t>
            </w:r>
          </w:p>
        </w:tc>
        <w:tc>
          <w:tcPr>
            <w:tcW w:type="dxa" w:w="1930"/>
          </w:tcPr>
          <w:p>
            <w:pPr>
              <w:spacing w:after="40"/>
            </w:pPr>
            <w:r>
              <w:rPr>
                <w:sz w:val="19"/>
              </w:rPr>
              <w:t>Edit-mode textarea unnamed (R015 O8)</w:t>
            </w:r>
          </w:p>
        </w:tc>
        <w:tc>
          <w:tcPr>
            <w:tcW w:type="dxa" w:w="1930"/>
          </w:tcPr>
          <w:p>
            <w:pPr>
              <w:spacing w:after="40"/>
            </w:pPr>
            <w:r>
              <w:rPr>
                <w:sz w:val="19"/>
              </w:rPr>
              <w:t>4.1.2</w:t>
            </w:r>
          </w:p>
        </w:tc>
        <w:tc>
          <w:tcPr>
            <w:tcW w:type="dxa" w:w="1930"/>
          </w:tcPr>
          <w:p>
            <w:pPr>
              <w:spacing w:after="40"/>
            </w:pPr>
            <w:r>
              <w:rPr>
                <w:sz w:val="19"/>
              </w:rPr>
              <w:t>Accessible name identifying the object being edited</w:t>
            </w:r>
          </w:p>
        </w:tc>
        <w:tc>
          <w:tcPr>
            <w:tcW w:type="dxa" w:w="1930"/>
          </w:tcPr>
          <w:p>
            <w:pPr>
              <w:spacing w:after="40"/>
            </w:pPr>
            <w:r>
              <w:rPr>
                <w:sz w:val="19"/>
              </w:rPr>
              <w:t>NVDA announces field name on entering edit mode</w:t>
            </w:r>
          </w:p>
        </w:tc>
      </w:tr>
      <w:tr>
        <w:tc>
          <w:tcPr>
            <w:tcW w:type="dxa" w:w="1930"/>
          </w:tcPr>
          <w:p>
            <w:pPr>
              <w:spacing w:after="40"/>
            </w:pPr>
            <w:r>
              <w:rPr>
                <w:sz w:val="19"/>
              </w:rPr>
              <w:t>10</w:t>
            </w:r>
          </w:p>
        </w:tc>
        <w:tc>
          <w:tcPr>
            <w:tcW w:type="dxa" w:w="1930"/>
          </w:tcPr>
          <w:p>
            <w:pPr>
              <w:spacing w:after="40"/>
            </w:pPr>
            <w:r>
              <w:rPr>
                <w:sz w:val="19"/>
              </w:rPr>
              <w:t>Canvas selection announces "Canvas (Graphic)" for every object (R015 O9, R016 O8)</w:t>
            </w:r>
          </w:p>
        </w:tc>
        <w:tc>
          <w:tcPr>
            <w:tcW w:type="dxa" w:w="1930"/>
          </w:tcPr>
          <w:p>
            <w:pPr>
              <w:spacing w:after="40"/>
            </w:pPr>
            <w:r>
              <w:rPr>
                <w:sz w:val="19"/>
              </w:rPr>
              <w:t>4.1.2, 1.3.1</w:t>
            </w:r>
          </w:p>
        </w:tc>
        <w:tc>
          <w:tcPr>
            <w:tcW w:type="dxa" w:w="1930"/>
          </w:tcPr>
          <w:p>
            <w:pPr>
              <w:spacing w:after="40"/>
            </w:pPr>
            <w:r>
              <w:rPr>
                <w:sz w:val="19"/>
              </w:rPr>
              <w:t>Selected object exposes name/type/content to AT</w:t>
            </w:r>
          </w:p>
        </w:tc>
        <w:tc>
          <w:tcPr>
            <w:tcW w:type="dxa" w:w="1930"/>
          </w:tcPr>
          <w:p>
            <w:pPr>
              <w:spacing w:after="40"/>
            </w:pPr>
            <w:r>
              <w:rPr>
                <w:sz w:val="19"/>
              </w:rPr>
              <w:t>NVDA distinguishes text vs image objects by ear</w:t>
            </w:r>
          </w:p>
        </w:tc>
      </w:tr>
      <w:tr>
        <w:tc>
          <w:tcPr>
            <w:tcW w:type="dxa" w:w="1930"/>
          </w:tcPr>
          <w:p>
            <w:pPr>
              <w:spacing w:after="40"/>
            </w:pPr>
            <w:r>
              <w:rPr>
                <w:sz w:val="19"/>
              </w:rPr>
              <w:t>11</w:t>
            </w:r>
          </w:p>
        </w:tc>
        <w:tc>
          <w:tcPr>
            <w:tcW w:type="dxa" w:w="1930"/>
          </w:tcPr>
          <w:p>
            <w:pPr>
              <w:spacing w:after="40"/>
            </w:pPr>
            <w:r>
              <w:rPr>
                <w:sz w:val="19"/>
              </w:rPr>
              <w:t xml:space="preserve">No bypass before app-switcher chrome; editor lacks </w:t>
            </w:r>
            <w:r>
              <w:rPr>
                <w:rFonts w:ascii="Consolas" w:hAnsi="Consolas"/>
                <w:sz w:val="19"/>
              </w:rPr>
              <w:t>main</w:t>
            </w:r>
            <w:r>
              <w:rPr>
                <w:sz w:val="19"/>
              </w:rPr>
              <w:t xml:space="preserve"> (V-F3, R014 O3)</w:t>
            </w:r>
          </w:p>
        </w:tc>
        <w:tc>
          <w:tcPr>
            <w:tcW w:type="dxa" w:w="1930"/>
          </w:tcPr>
          <w:p>
            <w:pPr>
              <w:spacing w:after="40"/>
            </w:pPr>
            <w:r>
              <w:rPr>
                <w:sz w:val="19"/>
              </w:rPr>
              <w:t>2.4.1</w:t>
            </w:r>
          </w:p>
        </w:tc>
        <w:tc>
          <w:tcPr>
            <w:tcW w:type="dxa" w:w="1930"/>
          </w:tcPr>
          <w:p>
            <w:pPr>
              <w:spacing w:after="40"/>
            </w:pPr>
            <w:r>
              <w:rPr>
                <w:sz w:val="19"/>
              </w:rPr>
              <w:t xml:space="preserve">First-Tab skip link (all views) + </w:t>
            </w:r>
            <w:r>
              <w:rPr>
                <w:rFonts w:ascii="Consolas" w:hAnsi="Consolas"/>
                <w:sz w:val="19"/>
              </w:rPr>
              <w:t>main</w:t>
            </w:r>
            <w:r>
              <w:rPr>
                <w:sz w:val="19"/>
              </w:rPr>
              <w:t xml:space="preserve"> landmark in editor</w:t>
            </w:r>
          </w:p>
        </w:tc>
        <w:tc>
          <w:tcPr>
            <w:tcW w:type="dxa" w:w="1930"/>
          </w:tcPr>
          <w:p>
            <w:pPr>
              <w:spacing w:after="40"/>
            </w:pPr>
            <w:r>
              <w:rPr>
                <w:sz w:val="19"/>
              </w:rPr>
              <w:t xml:space="preserve">First Tab reaches skip control; landmark list shows </w:t>
            </w:r>
            <w:r>
              <w:rPr>
                <w:rFonts w:ascii="Consolas" w:hAnsi="Consolas"/>
                <w:sz w:val="19"/>
              </w:rPr>
              <w:t>main</w:t>
            </w:r>
            <w:r>
              <w:rPr>
                <w:sz w:val="19"/>
              </w:rPr>
              <w:t xml:space="preserve"> on S3</w:t>
            </w:r>
          </w:p>
        </w:tc>
      </w:tr>
      <w:tr>
        <w:tc>
          <w:tcPr>
            <w:tcW w:type="dxa" w:w="1930"/>
          </w:tcPr>
          <w:p>
            <w:pPr>
              <w:spacing w:after="40"/>
            </w:pPr>
            <w:r>
              <w:rPr>
                <w:sz w:val="19"/>
              </w:rPr>
              <w:t>12</w:t>
            </w:r>
          </w:p>
        </w:tc>
        <w:tc>
          <w:tcPr>
            <w:tcW w:type="dxa" w:w="1930"/>
          </w:tcPr>
          <w:p>
            <w:pPr>
              <w:spacing w:after="40"/>
            </w:pPr>
            <w:r>
              <w:rPr>
                <w:sz w:val="19"/>
              </w:rPr>
              <w:t>Hover flyout not hoverable/dismissible/persistent-safe (V-F1)</w:t>
            </w:r>
          </w:p>
        </w:tc>
        <w:tc>
          <w:tcPr>
            <w:tcW w:type="dxa" w:w="1930"/>
          </w:tcPr>
          <w:p>
            <w:pPr>
              <w:spacing w:after="40"/>
            </w:pPr>
            <w:r>
              <w:rPr>
                <w:sz w:val="19"/>
              </w:rPr>
              <w:t>1.4.13</w:t>
            </w:r>
          </w:p>
        </w:tc>
        <w:tc>
          <w:tcPr>
            <w:tcW w:type="dxa" w:w="1930"/>
          </w:tcPr>
          <w:p>
            <w:pPr>
              <w:spacing w:after="40"/>
            </w:pPr>
            <w:r>
              <w:rPr>
                <w:sz w:val="19"/>
              </w:rPr>
              <w:t>Standard hover-content behavior incl. Esc</w:t>
            </w:r>
          </w:p>
        </w:tc>
        <w:tc>
          <w:tcPr>
            <w:tcW w:type="dxa" w:w="1930"/>
          </w:tcPr>
          <w:p>
            <w:pPr>
              <w:spacing w:after="40"/>
            </w:pPr>
            <w:r>
              <w:rPr>
                <w:sz w:val="19"/>
              </w:rPr>
              <w:t>Pointer + Esc re-test per 1.4.13</w:t>
            </w:r>
          </w:p>
        </w:tc>
      </w:tr>
      <w:tr>
        <w:tc>
          <w:tcPr>
            <w:tcW w:type="dxa" w:w="1930"/>
          </w:tcPr>
          <w:p>
            <w:pPr>
              <w:spacing w:after="40"/>
            </w:pPr>
            <w:r>
              <w:rPr>
                <w:sz w:val="19"/>
              </w:rPr>
              <w:t>13</w:t>
            </w:r>
          </w:p>
        </w:tc>
        <w:tc>
          <w:tcPr>
            <w:tcW w:type="dxa" w:w="1930"/>
          </w:tcPr>
          <w:p>
            <w:pPr>
              <w:spacing w:after="40"/>
            </w:pPr>
            <w:r>
              <w:rPr>
                <w:sz w:val="19"/>
              </w:rPr>
              <w:t>Decorative inner graphics announced (V-F7)</w:t>
            </w:r>
          </w:p>
        </w:tc>
        <w:tc>
          <w:tcPr>
            <w:tcW w:type="dxa" w:w="1930"/>
          </w:tcPr>
          <w:p>
            <w:pPr>
              <w:spacing w:after="40"/>
            </w:pPr>
            <w:r>
              <w:rPr>
                <w:sz w:val="19"/>
              </w:rPr>
              <w:t>1.1.1</w:t>
            </w:r>
          </w:p>
        </w:tc>
        <w:tc>
          <w:tcPr>
            <w:tcW w:type="dxa" w:w="1930"/>
          </w:tcPr>
          <w:p>
            <w:pPr>
              <w:spacing w:after="40"/>
            </w:pPr>
            <w:r>
              <w:rPr>
                <w:rFonts w:ascii="Consolas" w:hAnsi="Consolas"/>
                <w:sz w:val="19"/>
              </w:rPr>
              <w:t>alt=""</w:t>
            </w:r>
            <w:r>
              <w:rPr>
                <w:sz w:val="19"/>
              </w:rPr>
              <w:t>/</w:t>
            </w:r>
            <w:r>
              <w:rPr>
                <w:rFonts w:ascii="Consolas" w:hAnsi="Consolas"/>
                <w:sz w:val="19"/>
              </w:rPr>
              <w:t>aria-hidden</w:t>
            </w:r>
            <w:r>
              <w:rPr>
                <w:sz w:val="19"/>
              </w:rPr>
              <w:t xml:space="preserve"> on decorative card images</w:t>
            </w:r>
          </w:p>
        </w:tc>
        <w:tc>
          <w:tcPr>
            <w:tcW w:type="dxa" w:w="1930"/>
          </w:tcPr>
          <w:p>
            <w:pPr>
              <w:spacing w:after="40"/>
            </w:pPr>
            <w:r>
              <w:rPr>
                <w:rFonts w:ascii="Consolas" w:hAnsi="Consolas"/>
                <w:sz w:val="19"/>
              </w:rPr>
              <w:t>G</w:t>
            </w:r>
            <w:r>
              <w:rPr>
                <w:sz w:val="19"/>
              </w:rPr>
              <w:t>-walk hears named figures only</w:t>
            </w:r>
          </w:p>
        </w:tc>
      </w:tr>
      <w:tr>
        <w:tc>
          <w:tcPr>
            <w:tcW w:type="dxa" w:w="1930"/>
          </w:tcPr>
          <w:p>
            <w:pPr>
              <w:spacing w:after="40"/>
            </w:pPr>
            <w:r>
              <w:rPr>
                <w:sz w:val="19"/>
              </w:rPr>
              <w:t>14</w:t>
            </w:r>
          </w:p>
        </w:tc>
        <w:tc>
          <w:tcPr>
            <w:tcW w:type="dxa" w:w="1930"/>
          </w:tcPr>
          <w:p>
            <w:pPr>
              <w:spacing w:after="40"/>
            </w:pPr>
            <w:r>
              <w:rPr>
                <w:sz w:val="19"/>
              </w:rPr>
              <w:t>No alt-text authoring for placed images (R016 O10)</w:t>
            </w:r>
          </w:p>
        </w:tc>
        <w:tc>
          <w:tcPr>
            <w:tcW w:type="dxa" w:w="1930"/>
          </w:tcPr>
          <w:p>
            <w:pPr>
              <w:spacing w:after="40"/>
            </w:pPr>
            <w:r>
              <w:rPr>
                <w:i/>
                <w:sz w:val="19"/>
              </w:rPr>
              <w:t>508 §504.2/.3 (outside WCAG target)</w:t>
            </w:r>
          </w:p>
        </w:tc>
        <w:tc>
          <w:tcPr>
            <w:tcW w:type="dxa" w:w="1930"/>
          </w:tcPr>
          <w:p>
            <w:pPr>
              <w:spacing w:after="40"/>
            </w:pPr>
            <w:r>
              <w:rPr>
                <w:sz w:val="19"/>
              </w:rPr>
              <w:t>Alt-text field on images, carried into PDF/webpage output</w:t>
            </w:r>
          </w:p>
        </w:tc>
        <w:tc>
          <w:tcPr>
            <w:tcW w:type="dxa" w:w="1930"/>
          </w:tcPr>
          <w:p>
            <w:pPr>
              <w:spacing w:after="40"/>
            </w:pPr>
            <w:r>
              <w:rPr>
                <w:sz w:val="19"/>
              </w:rPr>
              <w:t>Author alt text by keyboard; verify in exported artifact</w:t>
            </w:r>
          </w:p>
        </w:tc>
      </w:tr>
    </w:tbl>
    <w:p>
      <w:pPr>
        <w:spacing w:after="40"/>
      </w:pPr>
    </w:p>
    <w:p>
      <w:pPr>
        <w:pStyle w:val="Heading2"/>
      </w:pPr>
      <w:r>
        <w:t>TAAP — Technology Accessibility Accommodation Plan</w:t>
      </w:r>
    </w:p>
    <w:p>
      <w:r>
        <w:rPr>
          <w:i/>
        </w:rPr>
        <w:t>(Completed only if the decision is Needs TAAP. Draft inputs from the evidence, for the reviewer's use:)</w:t>
      </w:r>
    </w:p>
    <w:tbl>
      <w:tblPr>
        <w:tblStyle w:val="TableGrid"/>
        <w:tblW w:type="auto" w:w="0"/>
        <w:jc w:val="left"/>
        <w:tblLayout w:type="autofit"/>
        <w:tblLook w:firstColumn="1" w:firstRow="1" w:lastColumn="0" w:lastRow="0" w:noHBand="0" w:noVBand="1" w:val="04A0"/>
      </w:tblPr>
      <w:tblGrid>
        <w:gridCol w:w="4824"/>
        <w:gridCol w:w="4824"/>
      </w:tblGrid>
      <w:tr>
        <w:trPr>
          <w:tblHeader w:val="true"/>
        </w:trPr>
        <w:tc>
          <w:tcPr>
            <w:tcW w:type="dxa" w:w="4824"/>
            <w:shd w:val="clear" w:fill="D9D9D9"/>
          </w:tcPr>
          <w:p>
            <w:pPr>
              <w:spacing w:after="40"/>
            </w:pPr>
            <w:r>
              <w:rPr>
                <w:b/>
                <w:sz w:val="19"/>
              </w:rPr>
              <w:t>Field</w:t>
            </w:r>
          </w:p>
        </w:tc>
        <w:tc>
          <w:tcPr>
            <w:tcW w:type="dxa" w:w="4824"/>
            <w:shd w:val="clear" w:fill="D9D9D9"/>
          </w:tcPr>
          <w:p>
            <w:pPr>
              <w:spacing w:after="40"/>
            </w:pPr>
            <w:r>
              <w:rPr>
                <w:b/>
                <w:sz w:val="19"/>
              </w:rPr>
              <w:t>Value</w:t>
            </w:r>
          </w:p>
        </w:tc>
      </w:tr>
      <w:tr>
        <w:tc>
          <w:tcPr>
            <w:tcW w:type="dxa" w:w="4824"/>
          </w:tcPr>
          <w:p>
            <w:pPr>
              <w:spacing w:after="40"/>
            </w:pPr>
            <w:r>
              <w:rPr>
                <w:sz w:val="19"/>
              </w:rPr>
              <w:t>Affected functionality</w:t>
            </w:r>
          </w:p>
        </w:tc>
        <w:tc>
          <w:tcPr>
            <w:tcW w:type="dxa" w:w="4824"/>
          </w:tcPr>
          <w:p>
            <w:pPr>
              <w:spacing w:after="40"/>
            </w:pPr>
            <w:r>
              <w:rPr>
                <w:sz w:val="19"/>
              </w:rPr>
              <w:t>Choosing templates/options by name; revising existing designs; confirmation of async operations (incl. AI generation); alt-text authoring</w:t>
            </w:r>
          </w:p>
        </w:tc>
      </w:tr>
      <w:tr>
        <w:tc>
          <w:tcPr>
            <w:tcW w:type="dxa" w:w="4824"/>
          </w:tcPr>
          <w:p>
            <w:pPr>
              <w:spacing w:after="40"/>
            </w:pPr>
            <w:r>
              <w:rPr>
                <w:sz w:val="19"/>
              </w:rPr>
              <w:t>Affected user groups</w:t>
            </w:r>
          </w:p>
        </w:tc>
        <w:tc>
          <w:tcPr>
            <w:tcW w:type="dxa" w:w="4824"/>
          </w:tcPr>
          <w:p>
            <w:pPr>
              <w:spacing w:after="40"/>
            </w:pPr>
            <w:r>
              <w:rPr>
                <w:sz w:val="19"/>
              </w:rPr>
              <w:t>Screen reader users (primary); keyboard-without-AT users (2.4.1); low-vision pending testing</w:t>
            </w:r>
          </w:p>
        </w:tc>
      </w:tr>
      <w:tr>
        <w:tc>
          <w:tcPr>
            <w:tcW w:type="dxa" w:w="4824"/>
          </w:tcPr>
          <w:p>
            <w:pPr>
              <w:spacing w:after="40"/>
            </w:pPr>
            <w:r>
              <w:rPr>
                <w:sz w:val="19"/>
              </w:rPr>
              <w:t>Accommodation provided</w:t>
            </w:r>
          </w:p>
        </w:tc>
        <w:tc>
          <w:tcPr>
            <w:tcW w:type="dxa" w:w="4824"/>
          </w:tcPr>
          <w:p>
            <w:pPr>
              <w:spacing w:after="40"/>
            </w:pPr>
            <w:r>
              <w:rPr>
                <w:i/>
                <w:sz w:val="19"/>
              </w:rPr>
              <w:t>(reviewer)</w:t>
            </w:r>
          </w:p>
        </w:tc>
      </w:tr>
      <w:tr>
        <w:tc>
          <w:tcPr>
            <w:tcW w:type="dxa" w:w="4824"/>
          </w:tcPr>
          <w:p>
            <w:pPr>
              <w:spacing w:after="40"/>
            </w:pPr>
            <w:r>
              <w:rPr>
                <w:sz w:val="19"/>
              </w:rPr>
              <w:t>Responsible party</w:t>
            </w:r>
          </w:p>
        </w:tc>
        <w:tc>
          <w:tcPr>
            <w:tcW w:type="dxa" w:w="4824"/>
          </w:tcPr>
          <w:p>
            <w:pPr>
              <w:spacing w:after="40"/>
            </w:pPr>
            <w:r>
              <w:rPr>
                <w:i/>
                <w:sz w:val="19"/>
              </w:rPr>
              <w:t>(reviewer)</w:t>
            </w:r>
          </w:p>
        </w:tc>
      </w:tr>
      <w:tr>
        <w:tc>
          <w:tcPr>
            <w:tcW w:type="dxa" w:w="4824"/>
          </w:tcPr>
          <w:p>
            <w:pPr>
              <w:spacing w:after="40"/>
            </w:pPr>
            <w:r>
              <w:rPr>
                <w:sz w:val="19"/>
              </w:rPr>
              <w:t>How users request it</w:t>
            </w:r>
          </w:p>
        </w:tc>
        <w:tc>
          <w:tcPr>
            <w:tcW w:type="dxa" w:w="4824"/>
          </w:tcPr>
          <w:p>
            <w:pPr>
              <w:spacing w:after="40"/>
            </w:pPr>
            <w:r>
              <w:rPr>
                <w:i/>
                <w:sz w:val="19"/>
              </w:rPr>
              <w:t>(reviewer)</w:t>
            </w:r>
          </w:p>
        </w:tc>
      </w:tr>
      <w:tr>
        <w:tc>
          <w:tcPr>
            <w:tcW w:type="dxa" w:w="4824"/>
          </w:tcPr>
          <w:p>
            <w:pPr>
              <w:spacing w:after="40"/>
            </w:pPr>
            <w:r>
              <w:rPr>
                <w:sz w:val="19"/>
              </w:rPr>
              <w:t>TAAP review date</w:t>
            </w:r>
          </w:p>
        </w:tc>
        <w:tc>
          <w:tcPr>
            <w:tcW w:type="dxa" w:w="4824"/>
          </w:tcPr>
          <w:p>
            <w:pPr>
              <w:spacing w:after="40"/>
            </w:pPr>
            <w:r>
              <w:rPr>
                <w:i/>
                <w:sz w:val="19"/>
              </w:rPr>
              <w:t>(reviewer)</w:t>
            </w:r>
          </w:p>
        </w:tc>
      </w:tr>
    </w:tbl>
    <w:p>
      <w:pPr>
        <w:spacing w:after="40"/>
      </w:pPr>
    </w:p>
    <w:p>
      <w:pPr>
        <w:pStyle w:val="Heading3"/>
      </w:pPr>
      <w:r>
        <w:t>Vendor remediation roadmap</w:t>
      </w:r>
    </w:p>
    <w:tbl>
      <w:tblPr>
        <w:tblStyle w:val="TableGrid"/>
        <w:tblW w:type="auto" w:w="0"/>
        <w:jc w:val="left"/>
        <w:tblLayout w:type="autofit"/>
        <w:tblLook w:firstColumn="1" w:firstRow="1" w:lastColumn="0" w:lastRow="0" w:noHBand="0" w:noVBand="1" w:val="04A0"/>
      </w:tblPr>
      <w:tblGrid>
        <w:gridCol w:w="2412"/>
        <w:gridCol w:w="2412"/>
        <w:gridCol w:w="2412"/>
        <w:gridCol w:w="2412"/>
      </w:tblGrid>
      <w:tr>
        <w:trPr>
          <w:tblHeader w:val="true"/>
        </w:trPr>
        <w:tc>
          <w:tcPr>
            <w:tcW w:type="dxa" w:w="2412"/>
            <w:shd w:val="clear" w:fill="D9D9D9"/>
          </w:tcPr>
          <w:p>
            <w:pPr>
              <w:spacing w:after="40"/>
            </w:pPr>
            <w:r>
              <w:rPr>
                <w:b/>
                <w:sz w:val="19"/>
              </w:rPr>
              <w:t>Criterion</w:t>
            </w:r>
          </w:p>
        </w:tc>
        <w:tc>
          <w:tcPr>
            <w:tcW w:type="dxa" w:w="2412"/>
            <w:shd w:val="clear" w:fill="D9D9D9"/>
          </w:tcPr>
          <w:p>
            <w:pPr>
              <w:spacing w:after="40"/>
            </w:pPr>
            <w:r>
              <w:rPr>
                <w:b/>
                <w:sz w:val="19"/>
              </w:rPr>
              <w:t>Issue</w:t>
            </w:r>
          </w:p>
        </w:tc>
        <w:tc>
          <w:tcPr>
            <w:tcW w:type="dxa" w:w="2412"/>
            <w:shd w:val="clear" w:fill="D9D9D9"/>
          </w:tcPr>
          <w:p>
            <w:pPr>
              <w:spacing w:after="40"/>
            </w:pPr>
            <w:r>
              <w:rPr>
                <w:b/>
                <w:sz w:val="19"/>
              </w:rPr>
              <w:t>Vendor commitment</w:t>
            </w:r>
          </w:p>
        </w:tc>
        <w:tc>
          <w:tcPr>
            <w:tcW w:type="dxa" w:w="2412"/>
            <w:shd w:val="clear" w:fill="D9D9D9"/>
          </w:tcPr>
          <w:p>
            <w:pPr>
              <w:spacing w:after="40"/>
            </w:pPr>
            <w:r>
              <w:rPr>
                <w:b/>
                <w:sz w:val="19"/>
              </w:rPr>
              <w:t>Target date</w:t>
            </w:r>
          </w:p>
        </w:tc>
      </w:tr>
      <w:tr>
        <w:tc>
          <w:tcPr>
            <w:tcW w:type="dxa" w:w="2412"/>
          </w:tcPr>
          <w:p>
            <w:pPr>
              <w:spacing w:after="40"/>
            </w:pPr>
            <w:r>
              <w:rPr>
                <w:i/>
                <w:sz w:val="19"/>
              </w:rPr>
              <w:t>(populate from the Remediation exhibit at negotiation)</w:t>
            </w:r>
          </w:p>
        </w:tc>
        <w:tc>
          <w:tcPr>
            <w:tcW w:type="dxa" w:w="2412"/>
          </w:tcPr>
          <w:p>
            <w:pPr>
              <w:spacing w:after="40"/>
            </w:pPr>
          </w:p>
        </w:tc>
        <w:tc>
          <w:tcPr>
            <w:tcW w:type="dxa" w:w="2412"/>
          </w:tcPr>
          <w:p>
            <w:pPr>
              <w:spacing w:after="40"/>
            </w:pPr>
          </w:p>
        </w:tc>
        <w:tc>
          <w:tcPr>
            <w:tcW w:type="dxa" w:w="2412"/>
          </w:tcPr>
          <w:p>
            <w:pPr>
              <w:spacing w:after="40"/>
            </w:pPr>
          </w:p>
        </w:tc>
      </w:tr>
    </w:tbl>
    <w:p>
      <w:pPr>
        <w:spacing w:after="40"/>
      </w:pPr>
    </w:p>
    <w:p>
      <w:pPr>
        <w:pStyle w:val="Heading2"/>
      </w:pPr>
      <w:r>
        <w:t>Automated sweep record and triage disposition</w:t>
      </w:r>
    </w:p>
    <w:p>
      <w:r>
        <w:t xml:space="preserve">Every sampled view receives an axe-core sweep (4.10.3, full ruleset, run inside the authenticated session; raw JSON preserved per run). </w:t>
      </w:r>
      <w:r>
        <w:rPr>
          <w:b/>
        </w:rPr>
        <w:t>Sweep output is never findings</w:t>
      </w:r>
      <w:r>
        <w:t xml:space="preserve"> — each violation is human-confirmed into a finding or dismissed in writing; each </w:t>
      </w:r>
      <w:r>
        <w:rPr>
          <w:rFonts w:ascii="Consolas" w:hAnsi="Consolas"/>
          <w:sz w:val="19"/>
        </w:rPr>
        <w:t>incomplete</w:t>
      </w:r>
      <w:r>
        <w:t xml:space="preserve"> is routed to a manual check. The full triage lives in each run's </w:t>
      </w:r>
      <w:r>
        <w:rPr>
          <w:rFonts w:ascii="Consolas" w:hAnsi="Consolas"/>
          <w:sz w:val="19"/>
        </w:rPr>
        <w:t>run.md</w:t>
      </w:r>
      <w:r>
        <w:t>; this table is the disposition summary.</w:t>
      </w:r>
    </w:p>
    <w:tbl>
      <w:tblPr>
        <w:tblStyle w:val="TableGrid"/>
        <w:tblW w:type="auto" w:w="0"/>
        <w:jc w:val="left"/>
        <w:tblLayout w:type="autofit"/>
        <w:tblLook w:firstColumn="1" w:firstRow="1" w:lastColumn="0" w:lastRow="0" w:noHBand="0" w:noVBand="1" w:val="04A0"/>
      </w:tblPr>
      <w:tblGrid>
        <w:gridCol w:w="1608"/>
        <w:gridCol w:w="1608"/>
        <w:gridCol w:w="1608"/>
        <w:gridCol w:w="1608"/>
        <w:gridCol w:w="1608"/>
        <w:gridCol w:w="1608"/>
      </w:tblGrid>
      <w:tr>
        <w:trPr>
          <w:tblHeader w:val="true"/>
        </w:trPr>
        <w:tc>
          <w:tcPr>
            <w:tcW w:type="dxa" w:w="1608"/>
            <w:shd w:val="clear" w:fill="D9D9D9"/>
          </w:tcPr>
          <w:p>
            <w:pPr>
              <w:spacing w:after="40"/>
            </w:pPr>
            <w:r>
              <w:rPr>
                <w:b/>
                <w:sz w:val="19"/>
              </w:rPr>
              <w:t>View</w:t>
            </w:r>
          </w:p>
        </w:tc>
        <w:tc>
          <w:tcPr>
            <w:tcW w:type="dxa" w:w="1608"/>
            <w:shd w:val="clear" w:fill="D9D9D9"/>
          </w:tcPr>
          <w:p>
            <w:pPr>
              <w:spacing w:after="40"/>
            </w:pPr>
            <w:r>
              <w:rPr>
                <w:b/>
                <w:sz w:val="19"/>
              </w:rPr>
              <w:t>Run</w:t>
            </w:r>
          </w:p>
        </w:tc>
        <w:tc>
          <w:tcPr>
            <w:tcW w:type="dxa" w:w="1608"/>
            <w:shd w:val="clear" w:fill="D9D9D9"/>
          </w:tcPr>
          <w:p>
            <w:pPr>
              <w:spacing w:after="40"/>
            </w:pPr>
            <w:r>
              <w:rPr>
                <w:b/>
                <w:sz w:val="19"/>
              </w:rPr>
              <w:t>Violations</w:t>
            </w:r>
          </w:p>
        </w:tc>
        <w:tc>
          <w:tcPr>
            <w:tcW w:type="dxa" w:w="1608"/>
            <w:shd w:val="clear" w:fill="D9D9D9"/>
          </w:tcPr>
          <w:p>
            <w:pPr>
              <w:spacing w:after="40"/>
            </w:pPr>
            <w:r>
              <w:rPr>
                <w:b/>
                <w:sz w:val="19"/>
              </w:rPr>
              <w:t>Incomplete</w:t>
            </w:r>
          </w:p>
        </w:tc>
        <w:tc>
          <w:tcPr>
            <w:tcW w:type="dxa" w:w="1608"/>
            <w:shd w:val="clear" w:fill="D9D9D9"/>
          </w:tcPr>
          <w:p>
            <w:pPr>
              <w:spacing w:after="40"/>
            </w:pPr>
            <w:r>
              <w:rPr>
                <w:b/>
                <w:sz w:val="19"/>
              </w:rPr>
              <w:t>Passes</w:t>
            </w:r>
          </w:p>
        </w:tc>
        <w:tc>
          <w:tcPr>
            <w:tcW w:type="dxa" w:w="1608"/>
            <w:shd w:val="clear" w:fill="D9D9D9"/>
          </w:tcPr>
          <w:p>
            <w:pPr>
              <w:spacing w:after="40"/>
            </w:pPr>
            <w:r>
              <w:rPr>
                <w:b/>
                <w:sz w:val="19"/>
              </w:rPr>
              <w:t>Disposition</w:t>
            </w:r>
          </w:p>
        </w:tc>
      </w:tr>
      <w:tr>
        <w:tc>
          <w:tcPr>
            <w:tcW w:type="dxa" w:w="1608"/>
          </w:tcPr>
          <w:p>
            <w:pPr>
              <w:spacing w:after="40"/>
            </w:pPr>
            <w:r>
              <w:rPr>
                <w:sz w:val="19"/>
              </w:rPr>
              <w:t>S1 Home</w:t>
            </w:r>
          </w:p>
        </w:tc>
        <w:tc>
          <w:tcPr>
            <w:tcW w:type="dxa" w:w="1608"/>
          </w:tcPr>
          <w:p>
            <w:pPr>
              <w:spacing w:after="40"/>
            </w:pPr>
            <w:r>
              <w:rPr>
                <w:sz w:val="19"/>
              </w:rPr>
              <w:t>R009</w:t>
            </w:r>
          </w:p>
        </w:tc>
        <w:tc>
          <w:tcPr>
            <w:tcW w:type="dxa" w:w="1608"/>
          </w:tcPr>
          <w:p>
            <w:pPr>
              <w:spacing w:after="40"/>
            </w:pPr>
            <w:r>
              <w:rPr>
                <w:sz w:val="19"/>
              </w:rPr>
              <w:t>3</w:t>
            </w:r>
          </w:p>
        </w:tc>
        <w:tc>
          <w:tcPr>
            <w:tcW w:type="dxa" w:w="1608"/>
          </w:tcPr>
          <w:p>
            <w:pPr>
              <w:spacing w:after="40"/>
            </w:pPr>
            <w:r>
              <w:rPr>
                <w:sz w:val="19"/>
              </w:rPr>
              <w:t>3</w:t>
            </w:r>
          </w:p>
        </w:tc>
        <w:tc>
          <w:tcPr>
            <w:tcW w:type="dxa" w:w="1608"/>
          </w:tcPr>
          <w:p>
            <w:pPr>
              <w:spacing w:after="40"/>
            </w:pPr>
            <w:r>
              <w:rPr>
                <w:sz w:val="19"/>
              </w:rPr>
              <w:t>47</w:t>
            </w:r>
          </w:p>
        </w:tc>
        <w:tc>
          <w:tcPr>
            <w:tcW w:type="dxa" w:w="1608"/>
          </w:tcPr>
          <w:p>
            <w:pPr>
              <w:spacing w:after="40"/>
            </w:pPr>
            <w:r>
              <w:rPr>
                <w:sz w:val="19"/>
              </w:rPr>
              <w:t xml:space="preserve">1 → corroborates V-F2 (contrast, independently measured); 1 → </w:t>
            </w:r>
            <w:r>
              <w:rPr>
                <w:b/>
                <w:sz w:val="19"/>
              </w:rPr>
              <w:t>V-F4</w:t>
            </w:r>
            <w:r>
              <w:rPr>
                <w:sz w:val="19"/>
              </w:rPr>
              <w:t xml:space="preserve"> (unnamed button); 1 best-practice (</w:t>
            </w:r>
            <w:r>
              <w:rPr>
                <w:rFonts w:ascii="Consolas" w:hAnsi="Consolas"/>
                <w:sz w:val="19"/>
              </w:rPr>
              <w:t>region</w:t>
            </w:r>
            <w:r>
              <w:rPr>
                <w:sz w:val="19"/>
              </w:rPr>
              <w:t xml:space="preserve">) held as observation. Incomplete: 8 of 15 contrast nodes </w:t>
            </w:r>
            <w:r>
              <w:rPr>
                <w:b/>
                <w:sz w:val="19"/>
              </w:rPr>
              <w:t>resolved as passes by measurement</w:t>
            </w:r>
            <w:r>
              <w:rPr>
                <w:sz w:val="19"/>
              </w:rPr>
              <w:t xml:space="preserve"> (app-bar SVG, 11–12:1); rest routed to manual checks.</w:t>
            </w:r>
          </w:p>
        </w:tc>
      </w:tr>
      <w:tr>
        <w:tc>
          <w:tcPr>
            <w:tcW w:type="dxa" w:w="1608"/>
          </w:tcPr>
          <w:p>
            <w:pPr>
              <w:spacing w:after="40"/>
            </w:pPr>
            <w:r>
              <w:rPr>
                <w:sz w:val="19"/>
              </w:rPr>
              <w:t>S2 Explore</w:t>
            </w:r>
          </w:p>
        </w:tc>
        <w:tc>
          <w:tcPr>
            <w:tcW w:type="dxa" w:w="1608"/>
          </w:tcPr>
          <w:p>
            <w:pPr>
              <w:spacing w:after="40"/>
            </w:pPr>
            <w:r>
              <w:rPr>
                <w:sz w:val="19"/>
              </w:rPr>
              <w:t>R011</w:t>
            </w:r>
          </w:p>
        </w:tc>
        <w:tc>
          <w:tcPr>
            <w:tcW w:type="dxa" w:w="1608"/>
          </w:tcPr>
          <w:p>
            <w:pPr>
              <w:spacing w:after="40"/>
            </w:pPr>
            <w:r>
              <w:rPr>
                <w:sz w:val="19"/>
              </w:rPr>
              <w:t>4</w:t>
            </w:r>
          </w:p>
        </w:tc>
        <w:tc>
          <w:tcPr>
            <w:tcW w:type="dxa" w:w="1608"/>
          </w:tcPr>
          <w:p>
            <w:pPr>
              <w:spacing w:after="40"/>
            </w:pPr>
            <w:r>
              <w:rPr>
                <w:sz w:val="19"/>
              </w:rPr>
              <w:t>4</w:t>
            </w:r>
          </w:p>
        </w:tc>
        <w:tc>
          <w:tcPr>
            <w:tcW w:type="dxa" w:w="1608"/>
          </w:tcPr>
          <w:p>
            <w:pPr>
              <w:spacing w:after="40"/>
            </w:pPr>
            <w:r>
              <w:rPr>
                <w:sz w:val="19"/>
              </w:rPr>
              <w:t>47</w:t>
            </w:r>
          </w:p>
        </w:tc>
        <w:tc>
          <w:tcPr>
            <w:tcW w:type="dxa" w:w="1608"/>
          </w:tcPr>
          <w:p>
            <w:pPr>
              <w:spacing w:after="40"/>
            </w:pPr>
            <w:r>
              <w:rPr>
                <w:sz w:val="19"/>
              </w:rPr>
              <w:t xml:space="preserve">2 critical → </w:t>
            </w:r>
            <w:r>
              <w:rPr>
                <w:b/>
                <w:sz w:val="19"/>
              </w:rPr>
              <w:t>root cause of T1-F2</w:t>
            </w:r>
            <w:r>
              <w:rPr>
                <w:sz w:val="19"/>
              </w:rPr>
              <w:t xml:space="preserve"> (</w:t>
            </w:r>
            <w:r>
              <w:rPr>
                <w:rFonts w:ascii="Consolas" w:hAnsi="Consolas"/>
                <w:sz w:val="19"/>
              </w:rPr>
              <w:t>aria-required-parent</w:t>
            </w:r>
            <w:r>
              <w:rPr>
                <w:sz w:val="19"/>
              </w:rPr>
              <w:t>/</w:t>
            </w:r>
            <w:r>
              <w:rPr>
                <w:rFonts w:ascii="Consolas" w:hAnsi="Consolas"/>
                <w:sz w:val="19"/>
              </w:rPr>
              <w:t>aria-allowed-attr</w:t>
            </w:r>
            <w:r>
              <w:rPr>
                <w:sz w:val="19"/>
              </w:rPr>
              <w:t xml:space="preserve"> on the template grid); 1 → V-F4 scope widened to product-wide; 1 best-practice (</w:t>
            </w:r>
            <w:r>
              <w:rPr>
                <w:rFonts w:ascii="Consolas" w:hAnsi="Consolas"/>
                <w:sz w:val="19"/>
              </w:rPr>
              <w:t>heading-order</w:t>
            </w:r>
            <w:r>
              <w:rPr>
                <w:sz w:val="19"/>
              </w:rPr>
              <w:t>) → supporting evidence for V-F9.</w:t>
            </w:r>
          </w:p>
        </w:tc>
      </w:tr>
      <w:tr>
        <w:tc>
          <w:tcPr>
            <w:tcW w:type="dxa" w:w="1608"/>
          </w:tcPr>
          <w:p>
            <w:pPr>
              <w:spacing w:after="40"/>
            </w:pPr>
            <w:r>
              <w:rPr>
                <w:sz w:val="19"/>
              </w:rPr>
              <w:t>S3 Editor</w:t>
            </w:r>
          </w:p>
        </w:tc>
        <w:tc>
          <w:tcPr>
            <w:tcW w:type="dxa" w:w="1608"/>
          </w:tcPr>
          <w:p>
            <w:pPr>
              <w:spacing w:after="40"/>
            </w:pPr>
            <w:r>
              <w:rPr>
                <w:sz w:val="19"/>
              </w:rPr>
              <w:t>R014</w:t>
            </w:r>
          </w:p>
        </w:tc>
        <w:tc>
          <w:tcPr>
            <w:tcW w:type="dxa" w:w="1608"/>
          </w:tcPr>
          <w:p>
            <w:pPr>
              <w:spacing w:after="40"/>
            </w:pPr>
            <w:r>
              <w:rPr>
                <w:sz w:val="19"/>
              </w:rPr>
              <w:t>7</w:t>
            </w:r>
          </w:p>
        </w:tc>
        <w:tc>
          <w:tcPr>
            <w:tcW w:type="dxa" w:w="1608"/>
          </w:tcPr>
          <w:p>
            <w:pPr>
              <w:spacing w:after="40"/>
            </w:pPr>
            <w:r>
              <w:rPr>
                <w:sz w:val="19"/>
              </w:rPr>
              <w:t>3</w:t>
            </w:r>
          </w:p>
        </w:tc>
        <w:tc>
          <w:tcPr>
            <w:tcW w:type="dxa" w:w="1608"/>
          </w:tcPr>
          <w:p>
            <w:pPr>
              <w:spacing w:after="40"/>
            </w:pPr>
            <w:r>
              <w:rPr>
                <w:sz w:val="19"/>
              </w:rPr>
              <w:t>43</w:t>
            </w:r>
          </w:p>
        </w:tc>
        <w:tc>
          <w:tcPr>
            <w:tcW w:type="dxa" w:w="1608"/>
          </w:tcPr>
          <w:p>
            <w:pPr>
              <w:spacing w:after="40"/>
            </w:pPr>
            <w:r>
              <w:rPr>
                <w:sz w:val="19"/>
              </w:rPr>
              <w:t xml:space="preserve">1 → </w:t>
            </w:r>
            <w:r>
              <w:rPr>
                <w:b/>
                <w:sz w:val="19"/>
              </w:rPr>
              <w:t>V-F10</w:t>
            </w:r>
            <w:r>
              <w:rPr>
                <w:sz w:val="19"/>
              </w:rPr>
              <w:t xml:space="preserve"> (unnamed page-nav button); </w:t>
            </w:r>
            <w:r>
              <w:rPr>
                <w:b/>
                <w:sz w:val="19"/>
              </w:rPr>
              <w:t>4 contrast violations DISMISSED as instrument false positives</w:t>
            </w:r>
            <w:r>
              <w:rPr>
                <w:sz w:val="19"/>
              </w:rPr>
              <w:t xml:space="preserve"> (axe assumed </w:t>
            </w:r>
            <w:r>
              <w:rPr>
                <w:rFonts w:ascii="Consolas" w:hAnsi="Consolas"/>
                <w:sz w:val="19"/>
              </w:rPr>
              <w:t>#e9e9e9</w:t>
            </w:r>
            <w:r>
              <w:rPr>
                <w:sz w:val="19"/>
              </w:rPr>
              <w:t xml:space="preserve"> background; rendered pixels measure 15.06:1 and 12.18:1); 4 best-practice (no </w:t>
            </w:r>
            <w:r>
              <w:rPr>
                <w:rFonts w:ascii="Consolas" w:hAnsi="Consolas"/>
                <w:sz w:val="19"/>
              </w:rPr>
              <w:t>main</w:t>
            </w:r>
            <w:r>
              <w:rPr>
                <w:sz w:val="19"/>
              </w:rPr>
              <w:t xml:space="preserve">, no </w:t>
            </w:r>
            <w:r>
              <w:rPr>
                <w:rFonts w:ascii="Consolas" w:hAnsi="Consolas"/>
                <w:sz w:val="19"/>
              </w:rPr>
              <w:t>h1</w:t>
            </w:r>
            <w:r>
              <w:rPr>
                <w:sz w:val="19"/>
              </w:rPr>
              <w:t xml:space="preserve">, 21 nodes outside landmarks, duplicate banner) → fed the S3 landmark analysis and V-F3 scoping. </w:t>
            </w:r>
            <w:r>
              <w:rPr>
                <w:rFonts w:ascii="Consolas" w:hAnsi="Consolas"/>
                <w:sz w:val="19"/>
              </w:rPr>
              <w:t>video-caption</w:t>
            </w:r>
            <w:r>
              <w:rPr>
                <w:sz w:val="19"/>
              </w:rPr>
              <w:t xml:space="preserve"> incomplete assessed out of 1.2.2 scope (muted preview).</w:t>
            </w:r>
          </w:p>
        </w:tc>
      </w:tr>
      <w:tr>
        <w:tc>
          <w:tcPr>
            <w:tcW w:type="dxa" w:w="1608"/>
          </w:tcPr>
          <w:p>
            <w:pPr>
              <w:spacing w:after="40"/>
            </w:pPr>
            <w:r>
              <w:rPr>
                <w:sz w:val="19"/>
              </w:rPr>
              <w:t>S4 Your stuff</w:t>
            </w:r>
          </w:p>
        </w:tc>
        <w:tc>
          <w:tcPr>
            <w:tcW w:type="dxa" w:w="1608"/>
          </w:tcPr>
          <w:p>
            <w:pPr>
              <w:spacing w:after="40"/>
            </w:pPr>
            <w:r>
              <w:rPr>
                <w:sz w:val="19"/>
              </w:rPr>
              <w:t>—</w:t>
            </w:r>
          </w:p>
        </w:tc>
        <w:tc>
          <w:tcPr>
            <w:tcW w:type="dxa" w:w="1608"/>
          </w:tcPr>
          <w:p>
            <w:pPr>
              <w:spacing w:after="40"/>
            </w:pPr>
          </w:p>
        </w:tc>
        <w:tc>
          <w:tcPr>
            <w:tcW w:type="dxa" w:w="1608"/>
          </w:tcPr>
          <w:p>
            <w:pPr>
              <w:spacing w:after="40"/>
            </w:pPr>
          </w:p>
        </w:tc>
        <w:tc>
          <w:tcPr>
            <w:tcW w:type="dxa" w:w="1608"/>
          </w:tcPr>
          <w:p>
            <w:pPr>
              <w:spacing w:after="40"/>
            </w:pPr>
          </w:p>
        </w:tc>
        <w:tc>
          <w:tcPr>
            <w:tcW w:type="dxa" w:w="1608"/>
          </w:tcPr>
          <w:p>
            <w:pPr>
              <w:spacing w:after="40"/>
            </w:pPr>
            <w:r>
              <w:rPr>
                <w:b/>
                <w:sz w:val="19"/>
              </w:rPr>
              <w:t>sweep pending</w:t>
            </w:r>
          </w:p>
        </w:tc>
      </w:tr>
      <w:tr>
        <w:tc>
          <w:tcPr>
            <w:tcW w:type="dxa" w:w="1608"/>
          </w:tcPr>
          <w:p>
            <w:pPr>
              <w:spacing w:after="40"/>
            </w:pPr>
            <w:r>
              <w:rPr>
                <w:sz w:val="19"/>
              </w:rPr>
              <w:t>(S1, WAVE)</w:t>
            </w:r>
          </w:p>
        </w:tc>
        <w:tc>
          <w:tcPr>
            <w:tcW w:type="dxa" w:w="1608"/>
          </w:tcPr>
          <w:p>
            <w:pPr>
              <w:spacing w:after="40"/>
            </w:pPr>
            <w:r>
              <w:rPr>
                <w:sz w:val="19"/>
              </w:rPr>
              <w:t>R007</w:t>
            </w:r>
          </w:p>
        </w:tc>
        <w:tc>
          <w:tcPr>
            <w:tcW w:type="dxa" w:w="1608"/>
          </w:tcPr>
          <w:p>
            <w:pPr>
              <w:spacing w:after="40"/>
            </w:pPr>
            <w:r>
              <w:rPr>
                <w:sz w:val="19"/>
              </w:rPr>
              <w:t>0</w:t>
            </w:r>
          </w:p>
        </w:tc>
        <w:tc>
          <w:tcPr>
            <w:tcW w:type="dxa" w:w="1608"/>
          </w:tcPr>
          <w:p>
            <w:pPr>
              <w:spacing w:after="40"/>
            </w:pPr>
            <w:r>
              <w:rPr>
                <w:sz w:val="19"/>
              </w:rPr>
              <w:t>—</w:t>
            </w:r>
          </w:p>
        </w:tc>
        <w:tc>
          <w:tcPr>
            <w:tcW w:type="dxa" w:w="1608"/>
          </w:tcPr>
          <w:p>
            <w:pPr>
              <w:spacing w:after="40"/>
            </w:pPr>
            <w:r>
              <w:rPr>
                <w:sz w:val="19"/>
              </w:rPr>
              <w:t>—</w:t>
            </w:r>
          </w:p>
        </w:tc>
        <w:tc>
          <w:tcPr>
            <w:tcW w:type="dxa" w:w="1608"/>
          </w:tcPr>
          <w:p>
            <w:pPr>
              <w:spacing w:after="40"/>
            </w:pPr>
            <w:r>
              <w:rPr>
                <w:b/>
                <w:sz w:val="19"/>
              </w:rPr>
              <w:t>instrument-blind</w:t>
            </w:r>
            <w:r>
              <w:rPr>
                <w:sz w:val="19"/>
              </w:rPr>
              <w:t xml:space="preserve"> — WAVE parsed only the light DOM of this shadow-DOM app; its clean result was recorded as N/A, not as a pass</w:t>
            </w:r>
          </w:p>
        </w:tc>
      </w:tr>
    </w:tbl>
    <w:p>
      <w:pPr>
        <w:spacing w:after="40"/>
      </w:pPr>
    </w:p>
    <w:p>
      <w:r>
        <w:t xml:space="preserve">Two standing limits on automated evidence in this product, both demonstrated in the record: sweeps are </w:t>
      </w:r>
      <w:r>
        <w:rPr>
          <w:b/>
        </w:rPr>
        <w:t>wholly blind to the editor's canvas</w:t>
      </w:r>
      <w:r>
        <w:t xml:space="preserve"> (R014 reported nothing about the surface holding the user's document — pass counts are not reassurance), and axe </w:t>
      </w:r>
      <w:r>
        <w:rPr>
          <w:b/>
        </w:rPr>
        <w:t>contrast numbers are only trustworthy where a DOM-resolvable background exists</w:t>
      </w:r>
      <w:r>
        <w:t xml:space="preserve"> (otherwise it can emit confident false violations; verified by pixel measurement, R014 O2). Raw output: </w:t>
      </w:r>
      <w:r>
        <w:rPr>
          <w:rFonts w:ascii="Consolas" w:hAnsi="Consolas"/>
          <w:sz w:val="19"/>
        </w:rPr>
        <w:t>evidence/runs/R009|R011|R014/R###-axe.json</w:t>
      </w:r>
      <w:r>
        <w:t>.</w:t>
      </w:r>
    </w:p>
    <w:p>
      <w:pPr>
        <w:pStyle w:val="Heading2"/>
      </w:pPr>
      <w:r>
        <w:t>Recommendation</w:t>
      </w:r>
    </w:p>
    <w:p>
      <w:r>
        <w:rPr>
          <w:i/>
        </w:rPr>
        <w:t>Drafted by the review process from the evidence above, for the reviewer to adopt, amend, or reject — the Decision field remains the reviewer's alone.</w:t>
      </w:r>
    </w:p>
    <w:p>
      <w:r>
        <w:t>On the interim evidence, the pattern most consistent with the findings is</w:t>
      </w:r>
    </w:p>
    <w:p>
      <w:r>
        <w:rPr>
          <w:b/>
        </w:rPr>
        <w:t>Needs TAAP, conditioned on vendor commitments</w:t>
      </w:r>
      <w:r>
        <w:t xml:space="preserve">, for three reasons. First, no essential task is failed outright: a screen-reader user completed template-based creation (with substantial burden) and authored a design from scratch, so accommodation is workable rather than fictional. Second, the barriers are overwhelmingly </w:t>
      </w:r>
      <w:r>
        <w:rPr>
          <w:b/>
        </w:rPr>
        <w:t>feedback and naming defects with cheap, additive fixes</w:t>
      </w:r>
      <w:r>
        <w:t xml:space="preserve"> — the fourteen-item remediation exhibit is dominated by one-line ARIA attributes and status messages, with a working reference implementation for the hardest item already present in Adobe's own codebase — which makes a dated remediation roadmap a reasonable contractual ask rather than wishful thinking. Third, the vendor's ACR is stale and unreliable in both directions, so any agreement should require a current-standard (WCAG 2.2) ACR and treat future vendor claims as unverified until tested. </w:t>
      </w:r>
      <w:r>
        <w:rPr>
          <w:b/>
        </w:rPr>
        <w:t>Approval is not supportable</w:t>
      </w:r>
      <w:r>
        <w:t xml:space="preserve"> while three criteria stand at Does Not Support and the product's core choosing and revising workflows exclude screen-reader users; </w:t>
      </w:r>
      <w:r>
        <w:rPr>
          <w:b/>
        </w:rPr>
        <w:t>denial is not supported either</w:t>
      </w:r>
      <w:r>
        <w:t xml:space="preserve"> on present evidence, since every tested task remains completable and the remediation ask is modest. Two open items could move this recommendation before the report goes FINAL: the untested low-vision 400% reflow behaviour (a canvas product's likeliest structural failure), and the Section 508 §504 alt-text question — if Express publishes PDF/webpages with no alt-text capability and the vendor will not commit to adding it, the output-side harm compounds across every campus artifact and weighs toward denial for publishing-oriented procurements.</w:t>
      </w:r>
    </w:p>
    <w:p>
      <w:pPr>
        <w:pStyle w:val="Heading2"/>
      </w:pPr>
      <w:r>
        <w:t>Appendices</w:t>
      </w:r>
    </w:p>
    <w:p>
      <w:pPr>
        <w:pStyle w:val="ListBullet"/>
      </w:pPr>
      <w:r>
        <w:t xml:space="preserve">Task-based test record and findings: </w:t>
      </w:r>
      <w:r>
        <w:rPr>
          <w:rFonts w:ascii="Consolas" w:hAnsi="Consolas"/>
          <w:sz w:val="19"/>
        </w:rPr>
        <w:t>04-task-testing.md</w:t>
      </w:r>
    </w:p>
    <w:p>
      <w:pPr>
        <w:pStyle w:val="ListBullet"/>
      </w:pPr>
      <w:r>
        <w:t xml:space="preserve">Full per-criterion results (ACR-shaped technical record): </w:t>
      </w:r>
      <w:r>
        <w:rPr>
          <w:rFonts w:ascii="Consolas" w:hAnsi="Consolas"/>
          <w:sz w:val="19"/>
        </w:rPr>
        <w:t>05-results.md</w:t>
      </w:r>
    </w:p>
    <w:p>
      <w:pPr>
        <w:pStyle w:val="ListBullet"/>
      </w:pPr>
      <w:r>
        <w:t xml:space="preserve">Evidence files: </w:t>
      </w:r>
      <w:r>
        <w:rPr>
          <w:rFonts w:ascii="Consolas" w:hAnsi="Consolas"/>
          <w:sz w:val="19"/>
        </w:rPr>
        <w:t>evidence/</w:t>
      </w:r>
      <w:r>
        <w:t xml:space="preserve"> (runs R001–R016), including raw axe JSON per sweep</w:t>
      </w:r>
    </w:p>
    <w:p>
      <w:pPr>
        <w:pStyle w:val="ListBullet"/>
      </w:pPr>
      <w:r>
        <w:t xml:space="preserve">Vendor ACR as received: </w:t>
      </w:r>
      <w:r>
        <w:rPr>
          <w:rFonts w:ascii="Consolas" w:hAnsi="Consolas"/>
          <w:sz w:val="19"/>
        </w:rPr>
        <w:t>vendor-acr/</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F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