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44802" cy="384048"/>
            <wp:docPr id="1" name="Picture 1"/>
            <wp:cNvGraphicFramePr>
              <a:graphicFrameLocks noChangeAspect="1"/>
            </wp:cNvGraphicFramePr>
            <a:graphic>
              <a:graphicData uri="http://schemas.openxmlformats.org/drawingml/2006/picture">
                <pic:pic>
                  <pic:nvPicPr>
                    <pic:cNvPr id="0" name="sfbrn-logo.png"/>
                    <pic:cNvPicPr/>
                  </pic:nvPicPr>
                  <pic:blipFill>
                    <a:blip r:embed="rId9"/>
                    <a:stretch>
                      <a:fillRect/>
                    </a:stretch>
                  </pic:blipFill>
                  <pic:spPr>
                    <a:xfrm>
                      <a:off x="0" y="0"/>
                      <a:ext cx="1844802" cy="384048"/>
                    </a:xfrm>
                    <a:prstGeom prst="rect"/>
                  </pic:spPr>
                </pic:pic>
              </a:graphicData>
            </a:graphic>
          </wp:inline>
        </w:drawing>
      </w:r>
    </w:p>
    <w:p>
      <w:r/>
      <w:r/>
    </w:p>
    <w:p>
      <w:pPr>
        <w:pStyle w:val="Heading1"/>
      </w:pPr>
      <w:r>
        <w:t>San Francisco Bay Region Network Manual Product Accessibility Evaluation</w:t>
      </w:r>
      <w:r/>
    </w:p>
    <w:p>
      <w:r/>
      <w:r>
        <w:rPr>
          <w:b/>
        </w:rPr>
        <w:t>The Expert TA</w:t>
      </w:r>
      <w:r>
        <w:t xml:space="preserve"> — Accessibility Conformance Report, based on VPAT</w:t>
      </w:r>
      <w:r>
        <w:rPr>
          <w:vertAlign w:val="superscript"/>
        </w:rPr>
        <w:t>®</w:t>
      </w:r>
      <w:r>
        <w:t xml:space="preserve"> Version 2.5Rev, WCAG Edition</w:t>
      </w:r>
      <w:r/>
      <w:r/>
    </w:p>
    <w:p>
      <w:r/>
      <w:r>
        <w:rPr>
          <w:b/>
        </w:rPr>
        <w:t>This is an independent evaluation, not a vendor self-attestation.</w:t>
      </w:r>
      <w:r>
        <w:t xml:space="preserve"> A VPAT/ACR is normally completed by the supplier about its own product. This report was produced by the SFBRN Accessible Technology Initiative during a procurement requisition, to determine whether the product meets the CSU's accessibility requirements for acquisition. Every conformance level in it is derived from logged test runs. No claim made by the supplier is reproduced or relied on anywhere in this document.</w:t>
      </w:r>
      <w:r/>
      <w:r/>
    </w:p>
    <w:p>
      <w:pPr>
        <w:pStyle w:val="Heading2"/>
      </w:pPr>
      <w:r>
        <w:t>Contents</w:t>
      </w:r>
    </w:p>
    <w:p>
      <w:pPr>
        <w:pStyle w:val="ListBullet"/>
        <w:spacing w:line="240" w:lineRule="auto"/>
        <w:ind w:left="720"/>
      </w:pPr>
      <w:r/>
      <w:hyperlink r:id="rId10">
        <w:r>
          <w:rPr>
            <w:color w:val="0000EE"/>
            <w:u w:val="single"/>
          </w:rPr>
          <w:t>Report information</w:t>
        </w:r>
      </w:hyperlink>
    </w:p>
    <w:p>
      <w:pPr>
        <w:pStyle w:val="ListBullet"/>
        <w:spacing w:line="240" w:lineRule="auto"/>
        <w:ind w:left="720"/>
      </w:pPr>
      <w:r/>
      <w:hyperlink r:id="rId11">
        <w:r>
          <w:rPr>
            <w:color w:val="0000EE"/>
            <w:u w:val="single"/>
          </w:rPr>
          <w:t>Applicable standards / guidelines</w:t>
        </w:r>
      </w:hyperlink>
    </w:p>
    <w:p>
      <w:pPr>
        <w:pStyle w:val="ListBullet"/>
        <w:spacing w:line="240" w:lineRule="auto"/>
        <w:ind w:left="720"/>
      </w:pPr>
      <w:r/>
      <w:hyperlink r:id="rId12">
        <w:r>
          <w:rPr>
            <w:color w:val="0000EE"/>
            <w:u w:val="single"/>
          </w:rPr>
          <w:t>Terms</w:t>
        </w:r>
      </w:hyperlink>
    </w:p>
    <w:p>
      <w:pPr>
        <w:pStyle w:val="ListBullet"/>
        <w:spacing w:line="240" w:lineRule="auto"/>
        <w:ind w:left="720"/>
      </w:pPr>
      <w:r/>
      <w:hyperlink r:id="rId13">
        <w:r>
          <w:rPr>
            <w:color w:val="0000EE"/>
            <w:u w:val="single"/>
          </w:rPr>
          <w:t>WCAG 2.2 Report</w:t>
        </w:r>
      </w:hyperlink>
    </w:p>
    <w:p>
      <w:pPr>
        <w:pStyle w:val="ListBullet"/>
        <w:spacing w:line="240" w:lineRule="auto"/>
        <w:ind w:left="720"/>
      </w:pPr>
      <w:r/>
      <w:hyperlink r:id="rId14">
        <w:r>
          <w:rPr>
            <w:color w:val="0000EE"/>
            <w:u w:val="single"/>
          </w:rPr>
          <w:t>Table 1: Success Criteria, Level A</w:t>
        </w:r>
      </w:hyperlink>
    </w:p>
    <w:p>
      <w:pPr>
        <w:pStyle w:val="ListBullet"/>
        <w:spacing w:line="240" w:lineRule="auto"/>
        <w:ind w:left="720"/>
      </w:pPr>
      <w:r/>
      <w:hyperlink r:id="rId15">
        <w:r>
          <w:rPr>
            <w:color w:val="0000EE"/>
            <w:u w:val="single"/>
          </w:rPr>
          <w:t>Table 2: Success Criteria, Level AA</w:t>
        </w:r>
      </w:hyperlink>
    </w:p>
    <w:p>
      <w:pPr>
        <w:pStyle w:val="ListBullet"/>
        <w:spacing w:line="240" w:lineRule="auto"/>
        <w:ind w:left="720"/>
      </w:pPr>
      <w:r/>
      <w:hyperlink r:id="rId16">
        <w:r>
          <w:rPr>
            <w:color w:val="0000EE"/>
            <w:u w:val="single"/>
          </w:rPr>
          <w:t>Revised Section 508 — Chapter 3: Functional Performance Criteria</w:t>
        </w:r>
      </w:hyperlink>
    </w:p>
    <w:p>
      <w:pPr>
        <w:pStyle w:val="ListBullet"/>
        <w:spacing w:line="240" w:lineRule="auto"/>
        <w:ind w:left="720"/>
      </w:pPr>
      <w:r/>
      <w:hyperlink r:id="rId17">
        <w:r>
          <w:rPr>
            <w:color w:val="0000EE"/>
            <w:u w:val="single"/>
          </w:rPr>
          <w:t>Vendor Roadmap</w:t>
        </w:r>
      </w:hyperlink>
    </w:p>
    <w:p>
      <w:pPr>
        <w:pStyle w:val="ListBullet"/>
        <w:spacing w:line="240" w:lineRule="auto"/>
        <w:ind w:left="720"/>
      </w:pPr>
      <w:r/>
      <w:hyperlink r:id="rId18">
        <w:r>
          <w:rPr>
            <w:color w:val="0000EE"/>
            <w:u w:val="single"/>
          </w:rPr>
          <w:t>Needs Immediate Attention</w:t>
        </w:r>
      </w:hyperlink>
    </w:p>
    <w:p>
      <w:pPr>
        <w:pStyle w:val="ListBullet"/>
        <w:spacing w:line="240" w:lineRule="auto"/>
        <w:ind w:left="720"/>
      </w:pPr>
      <w:r/>
      <w:hyperlink r:id="rId19">
        <w:r>
          <w:rPr>
            <w:color w:val="0000EE"/>
            <w:u w:val="single"/>
          </w:rPr>
          <w:t>Should be Prioritized</w:t>
        </w:r>
      </w:hyperlink>
    </w:p>
    <w:p>
      <w:pPr>
        <w:pStyle w:val="ListBullet"/>
        <w:spacing w:line="240" w:lineRule="auto"/>
        <w:ind w:left="720"/>
      </w:pPr>
      <w:r/>
      <w:hyperlink r:id="rId20">
        <w:r>
          <w:rPr>
            <w:color w:val="0000EE"/>
            <w:u w:val="single"/>
          </w:rPr>
          <w:t>For Full Compliance</w:t>
        </w:r>
      </w:hyperlink>
      <w:r/>
    </w:p>
    <w:p>
      <w:pPr>
        <w:pStyle w:val="Heading2"/>
      </w:pPr>
      <w:r>
        <w:t>Report information</w:t>
      </w:r>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Name of product</w:t>
            </w:r>
          </w:p>
        </w:tc>
        <w:tc>
          <w:tcPr>
            <w:tcW w:type="dxa" w:w="5112"/>
          </w:tcPr>
          <w:p>
            <w:r>
              <w:rPr>
                <w:b/>
              </w:rPr>
              <w:t>The Expert TA</w:t>
            </w:r>
          </w:p>
        </w:tc>
      </w:tr>
      <w:tr>
        <w:tc>
          <w:tcPr>
            <w:tcW w:type="dxa" w:w="5112"/>
          </w:tcPr>
          <w:p>
            <w:r>
              <w:rPr>
                <w:b/>
              </w:rPr>
              <w:t>Report date</w:t>
            </w:r>
          </w:p>
        </w:tc>
        <w:tc>
          <w:tcPr>
            <w:tcW w:type="dxa" w:w="5112"/>
          </w:tcPr>
          <w:p>
            <w:r>
              <w:t>September 2026</w:t>
            </w:r>
          </w:p>
        </w:tc>
      </w:tr>
      <w:tr>
        <w:tc>
          <w:tcPr>
            <w:tcW w:type="dxa" w:w="5112"/>
          </w:tcPr>
          <w:p>
            <w:r>
              <w:rPr>
                <w:b/>
              </w:rPr>
              <w:t>Product description</w:t>
            </w:r>
          </w:p>
        </w:tc>
        <w:tc>
          <w:tcPr>
            <w:tcW w:type="dxa" w:w="5112"/>
          </w:tcPr>
          <w:p>
            <w:r>
              <w:t>Web-delivered software evaluated across 10 pages of the student-facing interface.</w:t>
            </w:r>
          </w:p>
        </w:tc>
      </w:tr>
      <w:tr>
        <w:tc>
          <w:tcPr>
            <w:tcW w:type="dxa" w:w="5112"/>
          </w:tcPr>
          <w:p>
            <w:r>
              <w:rPr>
                <w:b/>
              </w:rPr>
              <w:t>Evaluated by</w:t>
            </w:r>
          </w:p>
        </w:tc>
        <w:tc>
          <w:tcPr>
            <w:tcW w:type="dxa" w:w="5112"/>
          </w:tcPr>
          <w:p>
            <w:r>
              <w:t>Daniel Fontaine, SFBRN Accessible Technology Initiative</w:t>
            </w:r>
          </w:p>
        </w:tc>
      </w:tr>
      <w:tr>
        <w:tc>
          <w:tcPr>
            <w:tcW w:type="dxa" w:w="5112"/>
          </w:tcPr>
          <w:p>
            <w:r>
              <w:rPr>
                <w:b/>
              </w:rPr>
              <w:t>Contact information</w:t>
            </w:r>
          </w:p>
        </w:tc>
        <w:tc>
          <w:tcPr>
            <w:tcW w:type="dxa" w:w="5112"/>
          </w:tcPr>
          <w:p>
            <w:hyperlink r:id="rId21">
              <w:r>
                <w:rPr>
                  <w:color w:val="0000EE"/>
                  <w:u w:val="single"/>
                </w:rPr>
                <w:t>fontaine@sfsu.edu</w:t>
              </w:r>
            </w:hyperlink>
          </w:p>
        </w:tc>
      </w:tr>
      <w:tr>
        <w:tc>
          <w:tcPr>
            <w:tcW w:type="dxa" w:w="5112"/>
          </w:tcPr>
          <w:p>
            <w:r>
              <w:rPr>
                <w:b/>
              </w:rPr>
              <w:t>Evaluation methods used</w:t>
            </w:r>
          </w:p>
        </w:tc>
        <w:tc>
          <w:tcPr>
            <w:tcW w:type="dxa" w:w="5112"/>
          </w:tcPr>
          <w:p>
            <w:r>
              <w:t>Manual testing by a human reviewer operating the product with assistive technology — screen reader, keyboard-only operation, browser zoom, colour filters and contrast measurement — supported by automated scanning (axe-core) and programmatic measurement over the Chrome DevTools Protocol. Automated results were used to direct attention only; no conformance level rests on a tool's output alone.</w:t>
            </w:r>
          </w:p>
        </w:tc>
      </w:tr>
      <w:tr>
        <w:tc>
          <w:tcPr>
            <w:tcW w:type="dxa" w:w="5112"/>
          </w:tcPr>
          <w:p>
            <w:r>
              <w:rPr>
                <w:b/>
              </w:rPr>
              <w:t>Pages evaluated</w:t>
            </w:r>
          </w:p>
        </w:tc>
        <w:tc>
          <w:tcPr>
            <w:tcW w:type="dxa" w:w="5112"/>
          </w:tcPr>
          <w:p>
            <w:pPr>
              <w:pStyle w:val="ListBullet"/>
              <w:spacing w:line="240" w:lineRule="auto"/>
              <w:ind w:left="720"/>
            </w:pPr>
            <w:r/>
            <w:r>
              <w:rPr>
                <w:b/>
              </w:rPr>
              <w:t>Class Management (standard mode)</w:t>
            </w:r>
            <w:r>
              <w:t xml:space="preserve"> </w:t>
            </w:r>
            <w:r>
              <w:t>/common/default.aspx</w:t>
            </w:r>
          </w:p>
          <w:p>
            <w:pPr>
              <w:pStyle w:val="ListBullet"/>
              <w:spacing w:line="240" w:lineRule="auto"/>
              <w:ind w:left="720"/>
            </w:pPr>
            <w:r/>
            <w:r>
              <w:rPr>
                <w:b/>
              </w:rPr>
              <w:t>Class Management — Accessibility Mode</w:t>
            </w:r>
            <w:r>
              <w:t xml:space="preserve"> </w:t>
            </w:r>
            <w:r>
              <w:t>/common/default2.aspx</w:t>
            </w:r>
          </w:p>
          <w:p>
            <w:pPr>
              <w:pStyle w:val="ListBullet"/>
              <w:spacing w:line="240" w:lineRule="auto"/>
              <w:ind w:left="720"/>
            </w:pPr>
            <w:r/>
            <w:r>
              <w:rPr>
                <w:b/>
              </w:rPr>
              <w:t>Take Assignment</w:t>
            </w:r>
            <w:r>
              <w:t xml:space="preserve"> </w:t>
            </w:r>
            <w:r>
              <w:t>/Common/TakeTutorialAssignment.aspx</w:t>
            </w:r>
          </w:p>
          <w:p>
            <w:pPr>
              <w:pStyle w:val="ListBullet"/>
              <w:spacing w:line="240" w:lineRule="auto"/>
              <w:ind w:left="720"/>
            </w:pPr>
            <w:r/>
            <w:r>
              <w:rPr>
                <w:b/>
              </w:rPr>
              <w:t>View Grade Report</w:t>
            </w:r>
            <w:r>
              <w:t xml:space="preserve"> </w:t>
            </w:r>
            <w:r>
              <w:t>/Common/GradeSheetGradeReport.aspx</w:t>
            </w:r>
          </w:p>
          <w:p>
            <w:pPr>
              <w:pStyle w:val="ListBullet"/>
              <w:spacing w:line="240" w:lineRule="auto"/>
              <w:ind w:left="720"/>
            </w:pPr>
            <w:r/>
            <w:r>
              <w:rPr>
                <w:b/>
              </w:rPr>
              <w:t>Calendar</w:t>
            </w:r>
            <w:r>
              <w:t xml:space="preserve"> </w:t>
            </w:r>
            <w:r>
              <w:t>/common/calendar.aspx</w:t>
            </w:r>
          </w:p>
          <w:p>
            <w:pPr>
              <w:pStyle w:val="ListBullet"/>
              <w:spacing w:line="240" w:lineRule="auto"/>
              <w:ind w:left="720"/>
            </w:pPr>
            <w:r/>
            <w:r>
              <w:rPr>
                <w:b/>
              </w:rPr>
              <w:t>Sign in</w:t>
            </w:r>
            <w:r>
              <w:t xml:space="preserve"> </w:t>
            </w:r>
            <w:r>
              <w:t>/Login.aspx</w:t>
            </w:r>
          </w:p>
          <w:p>
            <w:pPr>
              <w:pStyle w:val="ListBullet"/>
              <w:spacing w:line="240" w:lineRule="auto"/>
              <w:ind w:left="720"/>
            </w:pPr>
            <w:r/>
            <w:r>
              <w:rPr>
                <w:b/>
              </w:rPr>
              <w:t>View Assignment Solutions</w:t>
            </w:r>
            <w:r>
              <w:t xml:space="preserve"> </w:t>
            </w:r>
            <w:r>
              <w:t>/Common/ViewAssignmentSolutionsV2.aspx</w:t>
            </w:r>
          </w:p>
          <w:p>
            <w:pPr>
              <w:pStyle w:val="ListBullet"/>
              <w:spacing w:line="240" w:lineRule="auto"/>
              <w:ind w:left="720"/>
            </w:pPr>
            <w:r/>
            <w:r>
              <w:rPr>
                <w:b/>
              </w:rPr>
              <w:t>Student Practice Area</w:t>
            </w:r>
            <w:r>
              <w:t xml:space="preserve"> </w:t>
            </w:r>
            <w:r>
              <w:t>/Tutorial/ClassTutorialSelection.aspx</w:t>
            </w:r>
          </w:p>
          <w:p>
            <w:pPr>
              <w:pStyle w:val="ListBullet"/>
              <w:spacing w:line="240" w:lineRule="auto"/>
              <w:ind w:left="720"/>
            </w:pPr>
            <w:r/>
            <w:r>
              <w:rPr>
                <w:b/>
              </w:rPr>
              <w:t>View Printable Assignment</w:t>
            </w:r>
            <w:r>
              <w:t xml:space="preserve"> </w:t>
            </w:r>
            <w:r>
              <w:t>/Common/ViewAssignmentDetails.aspx</w:t>
            </w:r>
          </w:p>
          <w:p>
            <w:pPr>
              <w:pStyle w:val="ListBullet"/>
              <w:spacing w:line="240" w:lineRule="auto"/>
              <w:ind w:left="720"/>
            </w:pPr>
            <w:r/>
            <w:r>
              <w:rPr>
                <w:b/>
              </w:rPr>
              <w:t>Password reset</w:t>
            </w:r>
            <w:r>
              <w:t xml:space="preserve"> </w:t>
            </w:r>
            <w:r>
              <w:t>/ResetPassword.aspx</w:t>
            </w:r>
          </w:p>
        </w:tc>
      </w:tr>
      <w:tr>
        <w:tc>
          <w:tcPr>
            <w:tcW w:type="dxa" w:w="5112"/>
          </w:tcPr>
          <w:p>
            <w:r>
              <w:rPr>
                <w:b/>
              </w:rPr>
              <w:t>Excluded from scope</w:t>
            </w:r>
          </w:p>
        </w:tc>
        <w:tc>
          <w:tcPr>
            <w:tcW w:type="dxa" w:w="5112"/>
          </w:tcPr>
          <w:p>
            <w:pPr>
              <w:pStyle w:val="ListBullet"/>
              <w:spacing w:line="240" w:lineRule="auto"/>
              <w:ind w:left="720"/>
            </w:pPr>
            <w:r/>
            <w:r>
              <w:rPr>
                <w:b/>
              </w:rPr>
              <w:t>Academic Integrity Preferences</w:t>
            </w:r>
            <w:r>
              <w:t xml:space="preserve"> — not student-facing</w:t>
            </w:r>
          </w:p>
          <w:p>
            <w:pPr>
              <w:pStyle w:val="ListBullet"/>
              <w:spacing w:line="240" w:lineRule="auto"/>
              <w:ind w:left="720"/>
            </w:pPr>
            <w:r/>
            <w:r>
              <w:rPr>
                <w:b/>
              </w:rPr>
              <w:t>View Grades (Spreadsheet)</w:t>
            </w:r>
            <w:r>
              <w:t xml:space="preserve"> — not student-facing</w:t>
            </w:r>
          </w:p>
          <w:p>
            <w:pPr>
              <w:pStyle w:val="ListBullet"/>
              <w:spacing w:line="240" w:lineRule="auto"/>
              <w:ind w:left="720"/>
            </w:pPr>
            <w:r/>
            <w:r>
              <w:rPr>
                <w:b/>
              </w:rPr>
              <w:t>Manage Class Roster</w:t>
            </w:r>
            <w:r>
              <w:t xml:space="preserve"> — not student-facing</w:t>
            </w:r>
          </w:p>
          <w:p>
            <w:pPr>
              <w:pStyle w:val="ListBullet"/>
              <w:spacing w:line="240" w:lineRule="auto"/>
              <w:ind w:left="720"/>
            </w:pPr>
            <w:r/>
            <w:r>
              <w:rPr>
                <w:b/>
              </w:rPr>
              <w:t>Edit Class popup</w:t>
            </w:r>
            <w:r>
              <w:t xml:space="preserve"> — not student-facing</w:t>
            </w:r>
          </w:p>
          <w:p>
            <w:pPr>
              <w:pStyle w:val="ListBullet"/>
              <w:spacing w:line="240" w:lineRule="auto"/>
              <w:ind w:left="720"/>
            </w:pPr>
            <w:r/>
            <w:r>
              <w:rPr>
                <w:b/>
              </w:rPr>
              <w:t>Assignment Editor (edit)</w:t>
            </w:r>
            <w:r>
              <w:t xml:space="preserve"> — not student-facing</w:t>
            </w:r>
          </w:p>
          <w:p>
            <w:pPr>
              <w:pStyle w:val="ListBullet"/>
              <w:spacing w:line="240" w:lineRule="auto"/>
              <w:ind w:left="720"/>
            </w:pPr>
            <w:r/>
            <w:r>
              <w:rPr>
                <w:b/>
              </w:rPr>
              <w:t>Class Assignments Grade Sheet</w:t>
            </w:r>
            <w:r>
              <w:t xml:space="preserve"> — not student-facing</w:t>
            </w:r>
          </w:p>
        </w:tc>
      </w:tr>
      <w:tr>
        <w:tc>
          <w:tcPr>
            <w:tcW w:type="dxa" w:w="5112"/>
          </w:tcPr>
          <w:p>
            <w:r>
              <w:rPr>
                <w:b/>
              </w:rPr>
              <w:t>Notes</w:t>
            </w:r>
          </w:p>
        </w:tc>
        <w:tc>
          <w:tcPr>
            <w:tcW w:type="dxa" w:w="5112"/>
          </w:tcPr>
          <w:p>
            <w:r>
              <w:t xml:space="preserve">Task walk-throughs completed: </w:t>
            </w:r>
          </w:p>
          <w:p>
            <w:pPr>
              <w:pStyle w:val="ListBullet"/>
              <w:spacing w:line="240" w:lineRule="auto"/>
              <w:ind w:left="720"/>
            </w:pPr>
            <w:r/>
            <w:r>
              <w:t xml:space="preserve">Open an assignment and read a problem — </w:t>
            </w:r>
            <w:r>
              <w:rPr>
                <w:b/>
              </w:rPr>
              <w:t>Pass with barriers</w:t>
            </w:r>
          </w:p>
          <w:p>
            <w:pPr>
              <w:pStyle w:val="ListBullet"/>
              <w:spacing w:line="240" w:lineRule="auto"/>
              <w:ind w:left="720"/>
            </w:pPr>
            <w:r/>
            <w:r>
              <w:t xml:space="preserve">Answer and submit a problem — </w:t>
            </w:r>
            <w:r>
              <w:rPr>
                <w:b/>
              </w:rPr>
              <w:t>Fail</w:t>
            </w:r>
          </w:p>
          <w:p>
            <w:pPr>
              <w:pStyle w:val="ListBullet"/>
              <w:spacing w:line="240" w:lineRule="auto"/>
              <w:ind w:left="720"/>
            </w:pPr>
            <w:r/>
            <w:r>
              <w:t xml:space="preserve">Complete an assignment under time limits and accommodations — </w:t>
            </w:r>
            <w:r>
              <w:rPr>
                <w:b/>
              </w:rPr>
              <w:t>Not run</w:t>
            </w:r>
          </w:p>
          <w:p>
            <w:pPr>
              <w:pStyle w:val="ListBullet"/>
              <w:spacing w:line="240" w:lineRule="auto"/>
              <w:ind w:left="720"/>
            </w:pPr>
            <w:r/>
            <w:r>
              <w:t xml:space="preserve">Author an assignment from the library (instructor) — </w:t>
            </w:r>
            <w:r>
              <w:rPr>
                <w:b/>
              </w:rPr>
              <w:t>Not run</w:t>
            </w:r>
          </w:p>
          <w:p>
            <w:pPr>
              <w:pStyle w:val="ListBullet"/>
              <w:spacing w:line="240" w:lineRule="auto"/>
              <w:ind w:left="720"/>
            </w:pPr>
            <w:r/>
            <w:r>
              <w:t xml:space="preserve">Check grades and feedback — </w:t>
            </w:r>
            <w:r>
              <w:rPr>
                <w:b/>
              </w:rPr>
              <w:t>Not run</w:t>
            </w:r>
          </w:p>
        </w:tc>
      </w:tr>
    </w:tbl>
    <w:p>
      <w:r/>
    </w:p>
    <w:p>
      <w:pPr>
        <w:pStyle w:val="Heading2"/>
      </w:pPr>
      <w:r>
        <w:t>Applicable standards / guidelines</w:t>
      </w:r>
      <w:r/>
    </w:p>
    <w:p>
      <w:r/>
      <w:r>
        <w:t>This report covers the degree of conformance for the following accessibility standard/guidelines.</w:t>
      </w:r>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Standard / Guideline</w:t>
            </w:r>
          </w:p>
        </w:tc>
        <w:tc>
          <w:tcPr>
            <w:tcW w:type="dxa" w:w="5112"/>
          </w:tcPr>
          <w:p>
            <w:r>
              <w:rPr>
                <w:b/>
              </w:rPr>
              <w:t>Included in report</w:t>
            </w:r>
          </w:p>
        </w:tc>
      </w:tr>
      <w:tr>
        <w:tc>
          <w:tcPr>
            <w:tcW w:type="dxa" w:w="5112"/>
          </w:tcPr>
          <w:p>
            <w:r>
              <w:rPr>
                <w:b/>
              </w:rPr>
              <w:t>Web Content Accessibility Guidelines 2.2</w:t>
            </w:r>
          </w:p>
        </w:tc>
        <w:tc>
          <w:tcPr>
            <w:tcW w:type="dxa" w:w="5112"/>
          </w:tcPr>
          <w:p>
            <w:r>
              <w:t xml:space="preserve">Level A (Yes) </w:t>
              <w:br/>
            </w:r>
            <w:r>
              <w:t xml:space="preserve"> Level AA (Yes) </w:t>
              <w:br/>
            </w:r>
            <w:r>
              <w:t xml:space="preserve"> Level AAA (No)</w:t>
            </w:r>
          </w:p>
        </w:tc>
      </w:tr>
      <w:tr>
        <w:tc>
          <w:tcPr>
            <w:tcW w:type="dxa" w:w="5112"/>
          </w:tcPr>
          <w:p>
            <w:r>
              <w:rPr>
                <w:b/>
              </w:rPr>
              <w:t>Revised Section 508 — Chapter 3, Functional Performance Criteria</w:t>
            </w:r>
          </w:p>
        </w:tc>
        <w:tc>
          <w:tcPr>
            <w:tcW w:type="dxa" w:w="5112"/>
          </w:tcPr>
          <w:p>
            <w:r>
              <w:t>Yes — reported in addition to the WCAG edition's requirements</w:t>
            </w:r>
          </w:p>
        </w:tc>
      </w:tr>
    </w:tbl>
    <w:p>
      <w:r/>
    </w:p>
    <w:p>
      <w:pPr>
        <w:pStyle w:val="Heading2"/>
      </w:pPr>
      <w:r>
        <w:t>Terms</w:t>
      </w:r>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Term</w:t>
            </w:r>
          </w:p>
        </w:tc>
        <w:tc>
          <w:tcPr>
            <w:tcW w:type="dxa" w:w="5112"/>
          </w:tcPr>
          <w:p>
            <w:r>
              <w:rPr>
                <w:b/>
              </w:rPr>
              <w:t>Definition</w:t>
            </w:r>
          </w:p>
        </w:tc>
      </w:tr>
      <w:tr>
        <w:tc>
          <w:tcPr>
            <w:tcW w:type="dxa" w:w="5112"/>
          </w:tcPr>
          <w:p>
            <w:r>
              <w:rPr>
                <w:b/>
              </w:rPr>
              <w:t>Supports</w:t>
            </w:r>
          </w:p>
        </w:tc>
        <w:tc>
          <w:tcPr>
            <w:tcW w:type="dxa" w:w="5112"/>
          </w:tcPr>
          <w:p>
            <w:r>
              <w:t>The functionality of the product has at least one method that meets the criterion without known defects, or meets with equivalent facilitation.</w:t>
            </w:r>
          </w:p>
        </w:tc>
      </w:tr>
      <w:tr>
        <w:tc>
          <w:tcPr>
            <w:tcW w:type="dxa" w:w="5112"/>
          </w:tcPr>
          <w:p>
            <w:r>
              <w:rPr>
                <w:b/>
              </w:rPr>
              <w:t>Partially Supports</w:t>
            </w:r>
          </w:p>
        </w:tc>
        <w:tc>
          <w:tcPr>
            <w:tcW w:type="dxa" w:w="5112"/>
          </w:tcPr>
          <w:p>
            <w:r>
              <w:t>Some functionality of the product does not meet the criterion.</w:t>
            </w:r>
          </w:p>
        </w:tc>
      </w:tr>
      <w:tr>
        <w:tc>
          <w:tcPr>
            <w:tcW w:type="dxa" w:w="5112"/>
          </w:tcPr>
          <w:p>
            <w:r>
              <w:rPr>
                <w:b/>
              </w:rPr>
              <w:t>Does Not Support</w:t>
            </w:r>
          </w:p>
        </w:tc>
        <w:tc>
          <w:tcPr>
            <w:tcW w:type="dxa" w:w="5112"/>
          </w:tcPr>
          <w:p>
            <w:r>
              <w:t>The majority of product functionality does not meet the criterion.</w:t>
            </w:r>
          </w:p>
        </w:tc>
      </w:tr>
      <w:tr>
        <w:tc>
          <w:tcPr>
            <w:tcW w:type="dxa" w:w="5112"/>
          </w:tcPr>
          <w:p>
            <w:r>
              <w:rPr>
                <w:b/>
              </w:rPr>
              <w:t>Not Applicable</w:t>
            </w:r>
          </w:p>
        </w:tc>
        <w:tc>
          <w:tcPr>
            <w:tcW w:type="dxa" w:w="5112"/>
          </w:tcPr>
          <w:p>
            <w:r>
              <w:t>The criterion is not relevant to the product.</w:t>
            </w:r>
          </w:p>
        </w:tc>
      </w:tr>
      <w:tr>
        <w:tc>
          <w:tcPr>
            <w:tcW w:type="dxa" w:w="5112"/>
          </w:tcPr>
          <w:p>
            <w:r>
              <w:rPr>
                <w:b/>
              </w:rPr>
              <w:t>Not Evaluated</w:t>
            </w:r>
          </w:p>
        </w:tc>
        <w:tc>
          <w:tcPr>
            <w:tcW w:type="dxa" w:w="5112"/>
          </w:tcPr>
          <w:p>
            <w:r>
              <w:t>The product has not been evaluated against the criterion. This can be used only in WCAG 2.x Level AAA.</w:t>
            </w:r>
          </w:p>
        </w:tc>
      </w:tr>
    </w:tbl>
    <w:p>
      <w:r/>
    </w:p>
    <w:p>
      <w:pPr>
        <w:pStyle w:val="Heading2"/>
      </w:pPr>
      <w:r>
        <w:t>WCAG 2.2 Report</w:t>
      </w:r>
      <w:r/>
    </w:p>
    <w:p>
      <w:r/>
      <w:r>
        <w:t>Tables 1 and 2 also document conformance with EN 301 549 and Revised Section 508 where those standards incorporate WCAG by reference.</w:t>
      </w:r>
      <w:r/>
    </w:p>
    <w:p>
      <w:pPr>
        <w:pStyle w:val="Heading3"/>
      </w:pPr>
      <w:r>
        <w:t>Table 1: Success Criteria, Level A</w:t>
      </w:r>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rPr>
                <w:b/>
              </w:rPr>
              <w:t>Criterion</w:t>
            </w:r>
          </w:p>
        </w:tc>
        <w:tc>
          <w:tcPr>
            <w:tcW w:type="dxa" w:w="3408"/>
          </w:tcPr>
          <w:p>
            <w:r>
              <w:rPr>
                <w:b/>
              </w:rPr>
              <w:t>Conformance level</w:t>
            </w:r>
          </w:p>
        </w:tc>
        <w:tc>
          <w:tcPr>
            <w:tcW w:type="dxa" w:w="3408"/>
          </w:tcPr>
          <w:p>
            <w:r>
              <w:rPr>
                <w:b/>
              </w:rPr>
              <w:t>Remarks and explanations</w:t>
            </w:r>
          </w:p>
        </w:tc>
      </w:tr>
      <w:tr>
        <w:tc>
          <w:tcPr>
            <w:tcW w:type="dxa" w:w="3408"/>
          </w:tcPr>
          <w:p>
            <w:hyperlink r:id="rId22">
              <w:r>
                <w:rPr>
                  <w:color w:val="0000EE"/>
                  <w:u w:val="single"/>
                </w:rPr>
                <w:t>1.1.1 Non-text Content</w:t>
              </w:r>
            </w:hyperlink>
            <w:r>
              <w:rPr>
                <w:b/>
              </w:rPr>
              <w:t xml:space="preserve"> </w:t>
            </w:r>
            <w:r>
              <w:rPr>
                <w:b/>
              </w:rPr>
              <w:t>(Level A)</w:t>
            </w:r>
            <w:r>
              <w:rPr>
                <w:b/>
              </w:rPr>
              <w:t xml:space="preserve"> </w:t>
            </w:r>
            <w:hyperlink r:id="rId22">
              <w:r>
                <w:rPr>
                  <w:color w:val="0000EE"/>
                  <w:u w:val="single"/>
                </w:rPr>
                <w:t>Understanding</w:t>
              </w:r>
            </w:hyperlink>
          </w:p>
        </w:tc>
        <w:tc>
          <w:tcPr>
            <w:tcW w:type="dxa" w:w="3408"/>
            <w:shd w:val="clear" w:fill="FDF3E0"/>
          </w:tcPr>
          <w:p>
            <w:r>
              <w:t>Partially Supports</w:t>
            </w:r>
          </w:p>
        </w:tc>
        <w:tc>
          <w:tcPr>
            <w:tcW w:type="dxa" w:w="3408"/>
          </w:tcPr>
          <w:p>
            <w:pPr>
              <w:pStyle w:val="ListBullet"/>
              <w:spacing w:line="240" w:lineRule="auto"/>
              <w:ind w:left="720"/>
            </w:pPr>
            <w:r/>
            <w:r>
              <w:rPr>
                <w:b/>
              </w:rPr>
              <w:t>View Grade Report</w:t>
            </w:r>
            <w:r>
              <w:t xml:space="preserve"> — The student's submitted work is shown as images with no text alternative, so a screen-reader user cannot read their own graded answers.</w:t>
            </w:r>
            <w:r>
              <w:t>Blocker</w:t>
            </w:r>
          </w:p>
          <w:p>
            <w:pPr>
              <w:pStyle w:val="ListBullet"/>
              <w:spacing w:line="240" w:lineRule="auto"/>
              <w:ind w:left="720"/>
            </w:pPr>
            <w:r/>
            <w:r>
              <w:rPr>
                <w:b/>
              </w:rPr>
              <w:t>Take Assignment</w:t>
            </w:r>
            <w:r>
              <w:t xml:space="preserve"> — The diagram in a problem is hidden from assistive technology, so a screen-reader user cannot see the figure the question depends on.</w:t>
            </w:r>
            <w:r>
              <w:t>Major</w:t>
            </w:r>
          </w:p>
          <w:p>
            <w:pPr>
              <w:pStyle w:val="ListBullet"/>
              <w:spacing w:line="240" w:lineRule="auto"/>
              <w:ind w:left="720"/>
            </w:pPr>
            <w:r/>
            <w:r>
              <w:rPr>
                <w:b/>
              </w:rPr>
              <w:t>View Assignment Solutions</w:t>
            </w:r>
            <w:r>
              <w:t xml:space="preserve"> — The worked solution figures have no alternative text because the attribute is malformed in the markup, so a screen-reader user reaches every problem and finds the explanation missing.</w:t>
            </w:r>
            <w:r>
              <w:t>Major</w:t>
            </w:r>
          </w:p>
          <w:p>
            <w:pPr>
              <w:pStyle w:val="ListBullet"/>
              <w:spacing w:line="240" w:lineRule="auto"/>
              <w:ind w:left="720"/>
            </w:pPr>
            <w:r/>
            <w:r>
              <w:rPr>
                <w:b/>
              </w:rPr>
              <w:t>View Printable Assignment</w:t>
            </w:r>
            <w:r>
              <w:t xml:space="preserve"> — Most problem figures on the printable assignment carry no alternative text and two are background images that cannot carry any, so a screen-reader user cannot read the diagrams.</w:t>
            </w:r>
            <w:r>
              <w:t>Major</w:t>
            </w:r>
          </w:p>
          <w:p>
            <w:pPr>
              <w:pStyle w:val="ListBullet"/>
              <w:spacing w:line="240" w:lineRule="auto"/>
              <w:ind w:left="720"/>
            </w:pPr>
            <w:r/>
            <w:r>
              <w:rPr>
                <w:b/>
              </w:rPr>
              <w:t>View Printable Assignment</w:t>
            </w:r>
            <w:r>
              <w:t xml:space="preserve"> — Every mathematical expression on the printable assignment is exposed as an unnamed button, so a screen-reader user gets a control instead of the mathematics.</w:t>
            </w:r>
            <w:r>
              <w:t>Major</w:t>
            </w:r>
          </w:p>
          <w:p>
            <w:pPr>
              <w:pStyle w:val="ListBullet"/>
              <w:spacing w:line="240" w:lineRule="auto"/>
              <w:ind w:left="720"/>
            </w:pPr>
            <w:r/>
            <w:r>
              <w:rPr>
                <w:b/>
              </w:rPr>
              <w:t>Class Management (standard mode)</w:t>
            </w:r>
            <w:r>
              <w:t xml:space="preserve">, </w:t>
            </w:r>
            <w:r>
              <w:rPr>
                <w:b/>
              </w:rPr>
              <w:t>Class Management — Accessibility Mode</w:t>
            </w:r>
            <w:r>
              <w:t xml:space="preserve">, </w:t>
            </w:r>
            <w:r>
              <w:rPr>
                <w:b/>
              </w:rPr>
              <w:t>Student Practice Area</w:t>
            </w:r>
            <w:r>
              <w:t xml:space="preserve"> — The grid expand controls are images with no name or role, so a screen-reader user hears only that something clickable exists, not what it opens.</w:t>
            </w:r>
            <w:r>
              <w:t>Minor</w:t>
            </w:r>
          </w:p>
          <w:p>
            <w:pPr>
              <w:pStyle w:val="ListBullet"/>
              <w:spacing w:line="240" w:lineRule="auto"/>
              <w:ind w:left="720"/>
            </w:pPr>
            <w:r/>
            <w:r>
              <w:rPr>
                <w:b/>
              </w:rPr>
              <w:t>Sign in</w:t>
            </w:r>
            <w:r>
              <w:t xml:space="preserve">, </w:t>
            </w:r>
            <w:r>
              <w:rPr>
                <w:b/>
              </w:rPr>
              <w:t>Password reset</w:t>
            </w:r>
            <w:r>
              <w:t xml:space="preserve"> — The logo link on the sign-in and password reset pages has no accessible name, so a screen-reader user meets a link that says nothing about where it leads.</w:t>
            </w:r>
            <w:r>
              <w:t>Minor</w:t>
            </w:r>
          </w:p>
        </w:tc>
      </w:tr>
      <w:tr>
        <w:tc>
          <w:tcPr>
            <w:tcW w:type="dxa" w:w="3408"/>
          </w:tcPr>
          <w:p>
            <w:hyperlink r:id="rId23">
              <w:r>
                <w:rPr>
                  <w:color w:val="0000EE"/>
                  <w:u w:val="single"/>
                </w:rPr>
                <w:t>1.2.1 Audio-only and Video-only (Prerecorded)</w:t>
              </w:r>
            </w:hyperlink>
            <w:r>
              <w:rPr>
                <w:b/>
              </w:rPr>
              <w:t xml:space="preserve"> </w:t>
            </w:r>
            <w:r>
              <w:rPr>
                <w:b/>
              </w:rPr>
              <w:t>(Level A)</w:t>
            </w:r>
            <w:r>
              <w:rPr>
                <w:b/>
              </w:rPr>
              <w:t xml:space="preserve"> </w:t>
            </w:r>
            <w:hyperlink r:id="rId23">
              <w:r>
                <w:rPr>
                  <w:color w:val="0000EE"/>
                  <w:u w:val="single"/>
                </w:rPr>
                <w:t>Understanding</w:t>
              </w:r>
            </w:hyperlink>
          </w:p>
        </w:tc>
        <w:tc>
          <w:tcPr>
            <w:tcW w:type="dxa" w:w="3408"/>
            <w:shd w:val="clear" w:fill="EEF1F4"/>
          </w:tcPr>
          <w:p>
            <w:r>
              <w:t>Not Applicable</w:t>
            </w:r>
          </w:p>
        </w:tc>
        <w:tc>
          <w:tcPr>
            <w:tcW w:type="dxa" w:w="3408"/>
          </w:tcPr>
          <w:p>
            <w:r/>
            <w:r>
              <w:t>No audio-only or video-only prerecorded media in the sample.</w:t>
            </w:r>
          </w:p>
        </w:tc>
      </w:tr>
      <w:tr>
        <w:tc>
          <w:tcPr>
            <w:tcW w:type="dxa" w:w="3408"/>
          </w:tcPr>
          <w:p>
            <w:hyperlink r:id="rId24">
              <w:r>
                <w:rPr>
                  <w:color w:val="0000EE"/>
                  <w:u w:val="single"/>
                </w:rPr>
                <w:t>1.2.2 Captions (Prerecorded)</w:t>
              </w:r>
            </w:hyperlink>
            <w:r>
              <w:rPr>
                <w:b/>
              </w:rPr>
              <w:t xml:space="preserve"> </w:t>
            </w:r>
            <w:r>
              <w:rPr>
                <w:b/>
              </w:rPr>
              <w:t>(Level A)</w:t>
            </w:r>
            <w:r>
              <w:rPr>
                <w:b/>
              </w:rPr>
              <w:t xml:space="preserve"> </w:t>
            </w:r>
            <w:hyperlink r:id="rId24">
              <w:r>
                <w:rPr>
                  <w:color w:val="0000EE"/>
                  <w:u w:val="single"/>
                </w:rPr>
                <w:t>Understanding</w:t>
              </w:r>
            </w:hyperlink>
          </w:p>
        </w:tc>
        <w:tc>
          <w:tcPr>
            <w:tcW w:type="dxa" w:w="3408"/>
            <w:shd w:val="clear" w:fill="FDF3E0"/>
          </w:tcPr>
          <w:p>
            <w:r>
              <w:t>Partially Supports</w:t>
            </w:r>
          </w:p>
        </w:tc>
        <w:tc>
          <w:tcPr>
            <w:tcW w:type="dxa" w:w="3408"/>
          </w:tcPr>
          <w:p>
            <w:r/>
            <w:r>
              <w:t>The only prerecorded video in the sample — YouTube embeds in the expanding area under Library on the Assignment Editor — has captions, but they are YouTube auto-generated.</w:t>
            </w:r>
            <w:r>
              <w:t xml:space="preserve"> </w:t>
            </w:r>
          </w:p>
          <w:p>
            <w:pPr>
              <w:pStyle w:val="ListBullet"/>
              <w:spacing w:line="240" w:lineRule="auto"/>
              <w:ind w:left="720"/>
            </w:pPr>
            <w:r/>
            <w:r>
              <w:rPr>
                <w:b/>
              </w:rPr>
              <w:t>Assignment Editor (edit)</w:t>
            </w:r>
            <w:r>
              <w:t xml:space="preserve"> — The library videos rely on automatically generated captions, so a user who cannot hear gets an unreviewed transcript of instructional material.</w:t>
            </w:r>
            <w:r>
              <w:t>Major</w:t>
            </w:r>
          </w:p>
        </w:tc>
      </w:tr>
      <w:tr>
        <w:tc>
          <w:tcPr>
            <w:tcW w:type="dxa" w:w="3408"/>
          </w:tcPr>
          <w:p>
            <w:hyperlink r:id="rId25">
              <w:r>
                <w:rPr>
                  <w:color w:val="0000EE"/>
                  <w:u w:val="single"/>
                </w:rPr>
                <w:t>1.2.3 Audio Description or Media Alternative (Prerecorded)</w:t>
              </w:r>
            </w:hyperlink>
            <w:r>
              <w:rPr>
                <w:b/>
              </w:rPr>
              <w:t xml:space="preserve"> </w:t>
            </w:r>
            <w:r>
              <w:rPr>
                <w:b/>
              </w:rPr>
              <w:t>(Level A)</w:t>
            </w:r>
            <w:r>
              <w:rPr>
                <w:b/>
              </w:rPr>
              <w:t xml:space="preserve"> </w:t>
            </w:r>
            <w:hyperlink r:id="rId25">
              <w:r>
                <w:rPr>
                  <w:color w:val="0000EE"/>
                  <w:u w:val="single"/>
                </w:rPr>
                <w:t>Understanding</w:t>
              </w:r>
            </w:hyperlink>
          </w:p>
        </w:tc>
        <w:tc>
          <w:tcPr>
            <w:tcW w:type="dxa" w:w="3408"/>
            <w:shd w:val="clear" w:fill="EEF1F4"/>
          </w:tcPr>
          <w:p>
            <w:r>
              <w:t>Not Applicable</w:t>
            </w:r>
          </w:p>
        </w:tc>
        <w:tc>
          <w:tcPr>
            <w:tcW w:type="dxa" w:w="3408"/>
          </w:tcPr>
          <w:p>
            <w:r/>
            <w:r>
              <w:t>Not present in the evaluated sample.</w:t>
            </w:r>
          </w:p>
        </w:tc>
      </w:tr>
      <w:tr>
        <w:tc>
          <w:tcPr>
            <w:tcW w:type="dxa" w:w="3408"/>
          </w:tcPr>
          <w:p>
            <w:hyperlink r:id="rId26">
              <w:r>
                <w:rPr>
                  <w:color w:val="0000EE"/>
                  <w:u w:val="single"/>
                </w:rPr>
                <w:t>1.3.1 Info and Relationships</w:t>
              </w:r>
            </w:hyperlink>
            <w:r>
              <w:rPr>
                <w:b/>
              </w:rPr>
              <w:t xml:space="preserve"> </w:t>
            </w:r>
            <w:r>
              <w:rPr>
                <w:b/>
              </w:rPr>
              <w:t>(Level A)</w:t>
            </w:r>
            <w:r>
              <w:rPr>
                <w:b/>
              </w:rPr>
              <w:t xml:space="preserve"> </w:t>
            </w:r>
            <w:hyperlink r:id="rId26">
              <w:r>
                <w:rPr>
                  <w:color w:val="0000EE"/>
                  <w:u w:val="single"/>
                </w:rPr>
                <w:t>Understanding</w:t>
              </w:r>
            </w:hyperlink>
          </w:p>
        </w:tc>
        <w:tc>
          <w:tcPr>
            <w:tcW w:type="dxa" w:w="3408"/>
            <w:shd w:val="clear" w:fill="FCEBED"/>
          </w:tcPr>
          <w:p>
            <w:r>
              <w:t>Does Not Support</w:t>
            </w:r>
          </w:p>
        </w:tc>
        <w:tc>
          <w:tcPr>
            <w:tcW w:type="dxa" w:w="3408"/>
          </w:tcPr>
          <w:p>
            <w:r/>
            <w:r>
              <w:t>Class Management (standard mode) confirmed with NVDA: no headings/landmarks, grids told apart by position, editors unlabelled —, stand on both Class Management pages.</w:t>
            </w:r>
            <w:r>
              <w:t xml:space="preserve"> </w:t>
            </w:r>
          </w:p>
          <w:p>
            <w:pPr>
              <w:pStyle w:val="ListBullet"/>
              <w:spacing w:line="240" w:lineRule="auto"/>
              <w:ind w:left="720"/>
            </w:pPr>
            <w:r/>
            <w:r>
              <w:rPr>
                <w:b/>
              </w:rPr>
              <w:t>Student Practice Area</w:t>
            </w:r>
            <w:r>
              <w:t xml:space="preserve"> — Nothing in the Student Practice Area takes keyboard focus and the page has no headings, so a keyboard or screen-reader user cannot choose a book, a chapter or a problem.</w:t>
            </w:r>
            <w:r>
              <w:t>Blocker</w:t>
            </w:r>
          </w:p>
          <w:p>
            <w:pPr>
              <w:pStyle w:val="ListBullet"/>
              <w:spacing w:line="240" w:lineRule="auto"/>
              <w:ind w:left="720"/>
            </w:pPr>
            <w:r/>
            <w:r>
              <w:rPr>
                <w:b/>
              </w:rPr>
              <w:t>Take Assignment</w:t>
            </w:r>
            <w:r>
              <w:t xml:space="preserve"> — The answer read-back speaks raw markup instead of the mathematics, so a screen-reader user cannot check what they have entered before submitting.</w:t>
            </w:r>
            <w:r>
              <w:t>Blocker</w:t>
            </w:r>
          </w:p>
          <w:p>
            <w:pPr>
              <w:pStyle w:val="ListBullet"/>
              <w:spacing w:line="240" w:lineRule="auto"/>
              <w:ind w:left="720"/>
            </w:pPr>
            <w:r/>
            <w:r>
              <w:rPr>
                <w:b/>
              </w:rPr>
              <w:t>Class Management — Accessibility Mode</w:t>
            </w:r>
            <w:r>
              <w:t xml:space="preserve">, </w:t>
            </w:r>
            <w:r>
              <w:rPr>
                <w:b/>
              </w:rPr>
              <w:t>Class Management (standard mode)</w:t>
            </w:r>
            <w:r>
              <w:t xml:space="preserve"> — No page carries headings or landmarks, so a screen-reader user cannot jump between sections and must read or tab through everything in order.</w:t>
            </w:r>
            <w:r>
              <w:t>Major</w:t>
            </w:r>
          </w:p>
          <w:p>
            <w:pPr>
              <w:pStyle w:val="ListBullet"/>
              <w:spacing w:line="240" w:lineRule="auto"/>
              <w:ind w:left="720"/>
            </w:pPr>
            <w:r/>
            <w:r>
              <w:rPr>
                <w:b/>
              </w:rPr>
              <w:t>Class Management — Accessibility Mode</w:t>
            </w:r>
            <w:r>
              <w:t xml:space="preserve"> — The assignments table and its controls carry no headings or landmarks, so a screen-reader user must tab through the whole page to find an assignment.</w:t>
            </w:r>
            <w:r>
              <w:t>Major</w:t>
            </w:r>
          </w:p>
          <w:p>
            <w:pPr>
              <w:pStyle w:val="ListBullet"/>
              <w:spacing w:line="240" w:lineRule="auto"/>
              <w:ind w:left="720"/>
            </w:pPr>
            <w:r/>
            <w:r>
              <w:rPr>
                <w:b/>
              </w:rPr>
              <w:t>Take Assignment</w:t>
            </w:r>
            <w:r>
              <w:t xml:space="preserve"> — Activating a problem does not move focus to it and no heading marks it, so a screen-reader user has no way to reach the problem they just opened.</w:t>
            </w:r>
            <w:r>
              <w:t>Major</w:t>
            </w:r>
          </w:p>
          <w:p>
            <w:pPr>
              <w:pStyle w:val="ListBullet"/>
              <w:spacing w:line="240" w:lineRule="auto"/>
              <w:ind w:left="720"/>
            </w:pPr>
            <w:r/>
            <w:r>
              <w:rPr>
                <w:b/>
              </w:rPr>
              <w:t>Take Assignment</w:t>
            </w:r>
            <w:r>
              <w:t xml:space="preserve"> — Multiple-choice answer options have no accessible name, so a screen-reader user cannot tell which option they are selecting; where options contain mathematics the answer is unreadable.</w:t>
            </w:r>
            <w:r>
              <w:t>Major</w:t>
            </w:r>
          </w:p>
          <w:p>
            <w:pPr>
              <w:pStyle w:val="ListBullet"/>
              <w:spacing w:line="240" w:lineRule="auto"/>
              <w:ind w:left="720"/>
            </w:pPr>
            <w:r/>
            <w:r>
              <w:rPr>
                <w:b/>
              </w:rPr>
              <w:t>Take Assignment</w:t>
            </w:r>
            <w:r>
              <w:t xml:space="preserve"> — The formula and number entry area is a plain container rather than a form field, so a screen-reader user is not told it is an input or what it expects.</w:t>
            </w:r>
            <w:r>
              <w:t>Major</w:t>
            </w:r>
          </w:p>
          <w:p>
            <w:pPr>
              <w:pStyle w:val="ListBullet"/>
              <w:spacing w:line="240" w:lineRule="auto"/>
              <w:ind w:left="720"/>
            </w:pPr>
            <w:r/>
            <w:r>
              <w:rPr>
                <w:b/>
              </w:rPr>
              <w:t>Calendar</w:t>
            </w:r>
            <w:r>
              <w:t xml:space="preserve"> — An assignment's due date and duration are shown only by the coloured bar's extent, so neither a screen-reader nor a colour-blind user can tell when work is due.</w:t>
            </w:r>
            <w:r>
              <w:t>Major</w:t>
            </w:r>
          </w:p>
          <w:p>
            <w:pPr>
              <w:pStyle w:val="ListBullet"/>
              <w:spacing w:line="240" w:lineRule="auto"/>
              <w:ind w:left="720"/>
            </w:pPr>
            <w:r/>
            <w:r>
              <w:rPr>
                <w:b/>
              </w:rPr>
              <w:t>Calendar</w:t>
            </w:r>
            <w:r>
              <w:t xml:space="preserve"> — The event detail fields are unlabelled, and read-only dates are presented as editable date pickers, so a screen-reader user is invited to change information they cannot change.</w:t>
            </w:r>
            <w:r>
              <w:t>Major</w:t>
            </w:r>
          </w:p>
          <w:p>
            <w:pPr>
              <w:pStyle w:val="ListBullet"/>
              <w:spacing w:line="240" w:lineRule="auto"/>
              <w:ind w:left="720"/>
            </w:pPr>
            <w:r/>
            <w:r>
              <w:rPr>
                <w:b/>
              </w:rPr>
              <w:t>Edit Class popup</w:t>
            </w:r>
            <w:r>
              <w:t xml:space="preserve"> — The popup form fields are not associated with their captions, so a screen-reader user is not told what each field expects.</w:t>
            </w:r>
            <w:r>
              <w:t>Major</w:t>
            </w:r>
          </w:p>
          <w:p>
            <w:pPr>
              <w:pStyle w:val="ListBullet"/>
              <w:spacing w:line="240" w:lineRule="auto"/>
              <w:ind w:left="720"/>
            </w:pPr>
            <w:r/>
            <w:r>
              <w:rPr>
                <w:b/>
              </w:rPr>
              <w:t>Class Management — Accessibility Mode</w:t>
            </w:r>
            <w:r>
              <w:t xml:space="preserve"> — The class selection controls announce an instruction instead of their label, so a screen-reader user learns what a control is for only after moving past it.</w:t>
            </w:r>
            <w:r>
              <w:t>Major</w:t>
            </w:r>
          </w:p>
          <w:p>
            <w:pPr>
              <w:pStyle w:val="ListBullet"/>
              <w:spacing w:line="240" w:lineRule="auto"/>
              <w:ind w:left="720"/>
            </w:pPr>
            <w:r/>
            <w:r>
              <w:rPr>
                <w:b/>
              </w:rPr>
              <w:t>Class Management — Accessibility Mode</w:t>
            </w:r>
            <w:r>
              <w:t xml:space="preserve"> — The two data grids share one generic caption and generic column headers, so a screen-reader user can tell them apart only by their position on the page.</w:t>
            </w:r>
            <w:r>
              <w:t>Minor</w:t>
            </w:r>
          </w:p>
          <w:p>
            <w:pPr>
              <w:pStyle w:val="ListBullet"/>
              <w:spacing w:line="240" w:lineRule="auto"/>
              <w:ind w:left="720"/>
            </w:pPr>
            <w:r/>
            <w:r>
              <w:rPr>
                <w:b/>
              </w:rPr>
              <w:t>Password reset</w:t>
            </w:r>
            <w:r>
              <w:t xml:space="preserve"> — The password reset field has no label of its own, so a screen-reader user must infer what to type from the surrounding table.</w:t>
            </w:r>
            <w:r>
              <w:t>Minor</w:t>
            </w:r>
          </w:p>
          <w:p>
            <w:pPr>
              <w:pStyle w:val="ListBullet"/>
              <w:spacing w:line="240" w:lineRule="auto"/>
              <w:ind w:left="720"/>
            </w:pPr>
            <w:r/>
            <w:r>
              <w:rPr>
                <w:b/>
              </w:rPr>
              <w:t>View Printable Assignment</w:t>
            </w:r>
            <w:r>
              <w:t xml:space="preserve"> — Empty layout-table cells are announced as content, so a screen-reader user hears repeated blank cells between the parts of a problem.</w:t>
            </w:r>
            <w:r>
              <w:t>Minor</w:t>
            </w:r>
          </w:p>
        </w:tc>
      </w:tr>
      <w:tr>
        <w:tc>
          <w:tcPr>
            <w:tcW w:type="dxa" w:w="3408"/>
          </w:tcPr>
          <w:p>
            <w:hyperlink r:id="rId27">
              <w:r>
                <w:rPr>
                  <w:color w:val="0000EE"/>
                  <w:u w:val="single"/>
                </w:rPr>
                <w:t>1.3.2 Meaningful Sequence</w:t>
              </w:r>
            </w:hyperlink>
            <w:r>
              <w:rPr>
                <w:b/>
              </w:rPr>
              <w:t xml:space="preserve"> </w:t>
            </w:r>
            <w:r>
              <w:rPr>
                <w:b/>
              </w:rPr>
              <w:t>(Level A)</w:t>
            </w:r>
            <w:r>
              <w:rPr>
                <w:b/>
              </w:rPr>
              <w:t xml:space="preserve"> </w:t>
            </w:r>
            <w:hyperlink r:id="rId27">
              <w:r>
                <w:rPr>
                  <w:color w:val="0000EE"/>
                  <w:u w:val="single"/>
                </w:rPr>
                <w:t>Understanding</w:t>
              </w:r>
            </w:hyperlink>
          </w:p>
        </w:tc>
        <w:tc>
          <w:tcPr>
            <w:tcW w:type="dxa" w:w="3408"/>
            <w:shd w:val="clear" w:fill="E6F4EC"/>
          </w:tcPr>
          <w:p>
            <w:r>
              <w:t>Supports</w:t>
            </w:r>
          </w:p>
        </w:tc>
        <w:tc>
          <w:tcPr>
            <w:tcW w:type="dxa" w:w="3408"/>
          </w:tcPr>
          <w:p>
            <w:r/>
            <w:r>
              <w:t>Reading order matches the meaning of the visual order — verified on all pages tested.</w:t>
            </w:r>
          </w:p>
        </w:tc>
      </w:tr>
      <w:tr>
        <w:tc>
          <w:tcPr>
            <w:tcW w:type="dxa" w:w="3408"/>
          </w:tcPr>
          <w:p>
            <w:hyperlink r:id="rId28">
              <w:r>
                <w:rPr>
                  <w:color w:val="0000EE"/>
                  <w:u w:val="single"/>
                </w:rPr>
                <w:t>1.3.3 Sensory Characteristics</w:t>
              </w:r>
            </w:hyperlink>
            <w:r>
              <w:rPr>
                <w:b/>
              </w:rPr>
              <w:t xml:space="preserve"> </w:t>
            </w:r>
            <w:r>
              <w:rPr>
                <w:b/>
              </w:rPr>
              <w:t>(Level A)</w:t>
            </w:r>
            <w:r>
              <w:rPr>
                <w:b/>
              </w:rPr>
              <w:t xml:space="preserve"> </w:t>
            </w:r>
            <w:hyperlink r:id="rId28">
              <w:r>
                <w:rPr>
                  <w:color w:val="0000EE"/>
                  <w:u w:val="single"/>
                </w:rPr>
                <w:t>Understanding</w:t>
              </w:r>
            </w:hyperlink>
          </w:p>
        </w:tc>
        <w:tc>
          <w:tcPr>
            <w:tcW w:type="dxa" w:w="3408"/>
            <w:shd w:val="clear" w:fill="E6F4EC"/>
          </w:tcPr>
          <w:p>
            <w:r>
              <w:t>Supports</w:t>
            </w:r>
          </w:p>
        </w:tc>
        <w:tc>
          <w:tcPr>
            <w:tcW w:type="dxa" w:w="3408"/>
          </w:tcPr>
          <w:p>
            <w:r/>
            <w:r>
              <w:t>Nothing is conveyed only by visual position, shape, or size — verified on 6 of the 10 pages tested.</w:t>
            </w:r>
          </w:p>
        </w:tc>
      </w:tr>
      <w:tr>
        <w:tc>
          <w:tcPr>
            <w:tcW w:type="dxa" w:w="3408"/>
          </w:tcPr>
          <w:p>
            <w:hyperlink r:id="rId29">
              <w:r>
                <w:rPr>
                  <w:color w:val="0000EE"/>
                  <w:u w:val="single"/>
                </w:rPr>
                <w:t>1.4.1 Use of Color</w:t>
              </w:r>
            </w:hyperlink>
            <w:r>
              <w:rPr>
                <w:b/>
              </w:rPr>
              <w:t xml:space="preserve"> </w:t>
            </w:r>
            <w:r>
              <w:rPr>
                <w:b/>
              </w:rPr>
              <w:t>(Level A)</w:t>
            </w:r>
            <w:r>
              <w:rPr>
                <w:b/>
              </w:rPr>
              <w:t xml:space="preserve"> </w:t>
            </w:r>
            <w:hyperlink r:id="rId29">
              <w:r>
                <w:rPr>
                  <w:color w:val="0000EE"/>
                  <w:u w:val="single"/>
                </w:rPr>
                <w:t>Understanding</w:t>
              </w:r>
            </w:hyperlink>
          </w:p>
        </w:tc>
        <w:tc>
          <w:tcPr>
            <w:tcW w:type="dxa" w:w="3408"/>
            <w:shd w:val="clear" w:fill="FCEBED"/>
          </w:tcPr>
          <w:p>
            <w:r>
              <w:t>Does Not Support</w:t>
            </w:r>
          </w:p>
        </w:tc>
        <w:tc>
          <w:tcPr>
            <w:tcW w:type="dxa" w:w="3408"/>
          </w:tcPr>
          <w:p>
            <w:r/>
            <w:r>
              <w:t xml:space="preserve">Colour is the only visual carrier in four separate places, and two of them are information the student must act on: on </w:t>
            </w:r>
            <w:r>
              <w:rPr>
                <w:b/>
              </w:rPr>
              <w:t>Take Assignment</w:t>
            </w:r>
            <w:r>
              <w:t xml:space="preserve"> the randomised variable values — the numbers that go into the calculation — and the hint deduction percentages that say what help costs; on </w:t>
            </w:r>
            <w:r>
              <w:rPr>
                <w:b/>
              </w:rPr>
              <w:t>View Assignment Solutions</w:t>
            </w:r>
            <w:r>
              <w:t xml:space="preserve"> the same orange-red number token inside the worked solutions; on the </w:t>
            </w:r>
            <w:r>
              <w:rPr>
                <w:b/>
              </w:rPr>
              <w:t>Calendar</w:t>
            </w:r>
            <w:r>
              <w:t xml:space="preserve"> the event bar carrying an assignment's name and the days it spans, which fails totally; on </w:t>
            </w:r>
            <w:r>
              <w:rPr>
                <w:b/>
              </w:rPr>
              <w:t>Class Management</w:t>
            </w:r>
            <w:r>
              <w:t xml:space="preserve"> the headings that label the two grids.</w:t>
            </w:r>
            <w:r>
              <w:t xml:space="preserve"> </w:t>
            </w:r>
          </w:p>
          <w:p>
            <w:pPr>
              <w:pStyle w:val="ListBullet"/>
              <w:spacing w:line="240" w:lineRule="auto"/>
              <w:ind w:left="720"/>
            </w:pPr>
            <w:r/>
            <w:r>
              <w:rPr>
                <w:b/>
              </w:rPr>
              <w:t>View Printable Assignment</w:t>
            </w:r>
            <w:r>
              <w:t xml:space="preserve"> and 6 other pages</w:t>
            </w:r>
            <w:r>
              <w:t xml:space="preserve"> — Randomised values, hint costs, calendar events and late submissions are marked by colour alone, so a colour-blind user cannot tell which numbers are theirs or when work is due.</w:t>
            </w:r>
            <w:r>
              <w:t>Major</w:t>
            </w:r>
          </w:p>
        </w:tc>
      </w:tr>
      <w:tr>
        <w:tc>
          <w:tcPr>
            <w:tcW w:type="dxa" w:w="3408"/>
          </w:tcPr>
          <w:p>
            <w:hyperlink r:id="rId30">
              <w:r>
                <w:rPr>
                  <w:color w:val="0000EE"/>
                  <w:u w:val="single"/>
                </w:rPr>
                <w:t>1.4.2 Audio Control</w:t>
              </w:r>
            </w:hyperlink>
            <w:r>
              <w:rPr>
                <w:b/>
              </w:rPr>
              <w:t xml:space="preserve"> </w:t>
            </w:r>
            <w:r>
              <w:rPr>
                <w:b/>
              </w:rPr>
              <w:t>(Level A)</w:t>
            </w:r>
            <w:r>
              <w:rPr>
                <w:b/>
              </w:rPr>
              <w:t xml:space="preserve"> </w:t>
            </w:r>
            <w:hyperlink r:id="rId30">
              <w:r>
                <w:rPr>
                  <w:color w:val="0000EE"/>
                  <w:u w:val="single"/>
                </w:rPr>
                <w:t>Understanding</w:t>
              </w:r>
            </w:hyperlink>
          </w:p>
        </w:tc>
        <w:tc>
          <w:tcPr>
            <w:tcW w:type="dxa" w:w="3408"/>
            <w:shd w:val="clear" w:fill="EEF1F4"/>
          </w:tcPr>
          <w:p>
            <w:r>
              <w:t>Not Applicable</w:t>
            </w:r>
          </w:p>
        </w:tc>
        <w:tc>
          <w:tcPr>
            <w:tcW w:type="dxa" w:w="3408"/>
          </w:tcPr>
          <w:p>
            <w:r/>
            <w:r>
              <w:t>No audio plays automatically anywhere in the sample.</w:t>
            </w:r>
          </w:p>
        </w:tc>
      </w:tr>
      <w:tr>
        <w:tc>
          <w:tcPr>
            <w:tcW w:type="dxa" w:w="3408"/>
          </w:tcPr>
          <w:p>
            <w:hyperlink r:id="rId31">
              <w:r>
                <w:rPr>
                  <w:color w:val="0000EE"/>
                  <w:u w:val="single"/>
                </w:rPr>
                <w:t>2.1.1 Keyboard</w:t>
              </w:r>
            </w:hyperlink>
            <w:r>
              <w:rPr>
                <w:b/>
              </w:rPr>
              <w:t xml:space="preserve"> </w:t>
            </w:r>
            <w:r>
              <w:rPr>
                <w:b/>
              </w:rPr>
              <w:t>(Level A)</w:t>
            </w:r>
            <w:r>
              <w:rPr>
                <w:b/>
              </w:rPr>
              <w:t xml:space="preserve"> </w:t>
            </w:r>
            <w:hyperlink r:id="rId31">
              <w:r>
                <w:rPr>
                  <w:color w:val="0000EE"/>
                  <w:u w:val="single"/>
                </w:rPr>
                <w:t>Understanding</w:t>
              </w:r>
            </w:hyperlink>
          </w:p>
        </w:tc>
        <w:tc>
          <w:tcPr>
            <w:tcW w:type="dxa" w:w="3408"/>
            <w:shd w:val="clear" w:fill="FDF3E0"/>
          </w:tcPr>
          <w:p>
            <w:r>
              <w:t>Partially Supports</w:t>
            </w:r>
          </w:p>
        </w:tc>
        <w:tc>
          <w:tcPr>
            <w:tcW w:type="dxa" w:w="3408"/>
          </w:tcPr>
          <w:p>
            <w:r/>
            <w:r>
              <w:t>In standard mode the assignment row's action menu — the only route to Take Assignment, View Grade Report and the other row actions — opens by mouse click only; nothing in the row is focusable and no key opens it.</w:t>
            </w:r>
            <w:r>
              <w:t xml:space="preserve"> </w:t>
            </w:r>
          </w:p>
          <w:p>
            <w:pPr>
              <w:pStyle w:val="ListBullet"/>
              <w:spacing w:line="240" w:lineRule="auto"/>
              <w:ind w:left="720"/>
            </w:pPr>
            <w:r/>
            <w:r>
              <w:rPr>
                <w:b/>
              </w:rPr>
              <w:t>Student Practice Area</w:t>
            </w:r>
            <w:r>
              <w:t xml:space="preserve"> — Nothing in the Student Practice Area takes keyboard focus and the page has no headings, so a keyboard or screen-reader user cannot choose a book, a chapter or a problem.</w:t>
            </w:r>
            <w:r>
              <w:t>Blocker</w:t>
            </w:r>
          </w:p>
          <w:p>
            <w:pPr>
              <w:pStyle w:val="ListBullet"/>
              <w:spacing w:line="240" w:lineRule="auto"/>
              <w:ind w:left="720"/>
            </w:pPr>
            <w:r/>
            <w:r>
              <w:rPr>
                <w:b/>
              </w:rPr>
              <w:t>Calendar</w:t>
            </w:r>
            <w:r>
              <w:t xml:space="preserve"> — The calendar grid takes no keyboard focus, so a keyboard user cannot reach an assignment or open its details.</w:t>
            </w:r>
            <w:r>
              <w:t>Major</w:t>
            </w:r>
          </w:p>
          <w:p>
            <w:pPr>
              <w:pStyle w:val="ListBullet"/>
              <w:spacing w:line="240" w:lineRule="auto"/>
              <w:ind w:left="720"/>
            </w:pPr>
            <w:r/>
            <w:r>
              <w:rPr>
                <w:b/>
              </w:rPr>
              <w:t>Class Management (standard mode)</w:t>
            </w:r>
            <w:r>
              <w:t xml:space="preserve"> — On the standard Class Management page the assignment row's action menu opens only by mouse, so a keyboard user must switch to the Accessibility Page to start an assignment.</w:t>
            </w:r>
            <w:r>
              <w:t>Minor</w:t>
            </w:r>
          </w:p>
          <w:p>
            <w:pPr>
              <w:pStyle w:val="ListBullet"/>
              <w:spacing w:line="240" w:lineRule="auto"/>
              <w:ind w:left="720"/>
            </w:pPr>
            <w:r/>
            <w:r>
              <w:rPr>
                <w:b/>
              </w:rPr>
              <w:t>Class Management (standard mode)</w:t>
            </w:r>
            <w:r>
              <w:t xml:space="preserve"> — The grade-profile link is absent from the tab order but present to a screen reader, so a keyboard user without assistive technology cannot reach it at all.</w:t>
            </w:r>
            <w:r>
              <w:t>Minor</w:t>
            </w:r>
          </w:p>
        </w:tc>
      </w:tr>
      <w:tr>
        <w:tc>
          <w:tcPr>
            <w:tcW w:type="dxa" w:w="3408"/>
          </w:tcPr>
          <w:p>
            <w:hyperlink r:id="rId32">
              <w:r>
                <w:rPr>
                  <w:color w:val="0000EE"/>
                  <w:u w:val="single"/>
                </w:rPr>
                <w:t>2.1.2 No Keyboard Trap</w:t>
              </w:r>
            </w:hyperlink>
            <w:r>
              <w:rPr>
                <w:b/>
              </w:rPr>
              <w:t xml:space="preserve"> </w:t>
            </w:r>
            <w:r>
              <w:rPr>
                <w:b/>
              </w:rPr>
              <w:t>(Level A)</w:t>
            </w:r>
            <w:r>
              <w:rPr>
                <w:b/>
              </w:rPr>
              <w:t xml:space="preserve"> </w:t>
            </w:r>
            <w:hyperlink r:id="rId32">
              <w:r>
                <w:rPr>
                  <w:color w:val="0000EE"/>
                  <w:u w:val="single"/>
                </w:rPr>
                <w:t>Understanding</w:t>
              </w:r>
            </w:hyperlink>
          </w:p>
        </w:tc>
        <w:tc>
          <w:tcPr>
            <w:tcW w:type="dxa" w:w="3408"/>
            <w:shd w:val="clear" w:fill="E6F4EC"/>
          </w:tcPr>
          <w:p>
            <w:r>
              <w:t>Supports</w:t>
            </w:r>
          </w:p>
        </w:tc>
        <w:tc>
          <w:tcPr>
            <w:tcW w:type="dxa" w:w="3408"/>
          </w:tcPr>
          <w:p>
            <w:r/>
            <w:r>
              <w:t>Focus is never trapped — verified on all pages tested.</w:t>
            </w:r>
          </w:p>
        </w:tc>
      </w:tr>
      <w:tr>
        <w:tc>
          <w:tcPr>
            <w:tcW w:type="dxa" w:w="3408"/>
          </w:tcPr>
          <w:p>
            <w:hyperlink r:id="rId33">
              <w:r>
                <w:rPr>
                  <w:color w:val="0000EE"/>
                  <w:u w:val="single"/>
                </w:rPr>
                <w:t>2.1.4 Character Key Shortcuts</w:t>
              </w:r>
            </w:hyperlink>
            <w:r>
              <w:rPr>
                <w:b/>
              </w:rPr>
              <w:t xml:space="preserve"> </w:t>
            </w:r>
            <w:r>
              <w:rPr>
                <w:b/>
              </w:rPr>
              <w:t>(Level A)</w:t>
            </w:r>
            <w:r>
              <w:rPr>
                <w:b/>
              </w:rPr>
              <w:t xml:space="preserve"> </w:t>
            </w:r>
            <w:r>
              <w:rPr>
                <w:b/>
              </w:rPr>
              <w:t>WCAG 2.1</w:t>
            </w:r>
            <w:r>
              <w:rPr>
                <w:b/>
              </w:rPr>
              <w:t xml:space="preserve"> </w:t>
            </w:r>
            <w:hyperlink r:id="rId33">
              <w:r>
                <w:rPr>
                  <w:color w:val="0000EE"/>
                  <w:u w:val="single"/>
                </w:rPr>
                <w:t>Understanding</w:t>
              </w:r>
            </w:hyperlink>
          </w:p>
        </w:tc>
        <w:tc>
          <w:tcPr>
            <w:tcW w:type="dxa" w:w="3408"/>
            <w:shd w:val="clear" w:fill="EEF1F4"/>
          </w:tcPr>
          <w:p>
            <w:r>
              <w:t>Not Applicable</w:t>
            </w:r>
          </w:p>
        </w:tc>
        <w:tc>
          <w:tcPr>
            <w:tcW w:type="dxa" w:w="3408"/>
          </w:tcPr>
          <w:p>
            <w:r/>
            <w:r>
              <w:t>Every keyboard shortcut this product defines is a modifier chord.</w:t>
            </w:r>
          </w:p>
        </w:tc>
      </w:tr>
      <w:tr>
        <w:tc>
          <w:tcPr>
            <w:tcW w:type="dxa" w:w="3408"/>
          </w:tcPr>
          <w:p>
            <w:hyperlink r:id="rId34">
              <w:r>
                <w:rPr>
                  <w:color w:val="0000EE"/>
                  <w:u w:val="single"/>
                </w:rPr>
                <w:t>2.2.1 Timing Adjustable</w:t>
              </w:r>
            </w:hyperlink>
            <w:r>
              <w:rPr>
                <w:b/>
              </w:rPr>
              <w:t xml:space="preserve"> </w:t>
            </w:r>
            <w:r>
              <w:rPr>
                <w:b/>
              </w:rPr>
              <w:t>(Level A)</w:t>
            </w:r>
            <w:r>
              <w:rPr>
                <w:b/>
              </w:rPr>
              <w:t xml:space="preserve"> </w:t>
            </w:r>
            <w:hyperlink r:id="rId34">
              <w:r>
                <w:rPr>
                  <w:color w:val="0000EE"/>
                  <w:u w:val="single"/>
                </w:rPr>
                <w:t>Understanding</w:t>
              </w:r>
            </w:hyperlink>
          </w:p>
        </w:tc>
        <w:tc>
          <w:tcPr>
            <w:tcW w:type="dxa" w:w="3408"/>
            <w:shd w:val="clear" w:fill="EEF1F4"/>
          </w:tcPr>
          <w:p>
            <w:r>
              <w:t>Not Applicable</w:t>
            </w:r>
          </w:p>
        </w:tc>
        <w:tc>
          <w:tcPr>
            <w:tcW w:type="dxa" w:w="3408"/>
          </w:tcPr>
          <w:p>
            <w:r/>
            <w:r>
              <w:t>No timeouts encountered.</w:t>
            </w:r>
          </w:p>
        </w:tc>
      </w:tr>
      <w:tr>
        <w:tc>
          <w:tcPr>
            <w:tcW w:type="dxa" w:w="3408"/>
          </w:tcPr>
          <w:p>
            <w:hyperlink r:id="rId35">
              <w:r>
                <w:rPr>
                  <w:color w:val="0000EE"/>
                  <w:u w:val="single"/>
                </w:rPr>
                <w:t>2.2.2 Pause, Stop, Hide</w:t>
              </w:r>
            </w:hyperlink>
            <w:r>
              <w:rPr>
                <w:b/>
              </w:rPr>
              <w:t xml:space="preserve"> </w:t>
            </w:r>
            <w:r>
              <w:rPr>
                <w:b/>
              </w:rPr>
              <w:t>(Level A)</w:t>
            </w:r>
            <w:r>
              <w:rPr>
                <w:b/>
              </w:rPr>
              <w:t xml:space="preserve"> </w:t>
            </w:r>
            <w:hyperlink r:id="rId35">
              <w:r>
                <w:rPr>
                  <w:color w:val="0000EE"/>
                  <w:u w:val="single"/>
                </w:rPr>
                <w:t>Understanding</w:t>
              </w:r>
            </w:hyperlink>
          </w:p>
        </w:tc>
        <w:tc>
          <w:tcPr>
            <w:tcW w:type="dxa" w:w="3408"/>
            <w:shd w:val="clear" w:fill="EEF1F4"/>
          </w:tcPr>
          <w:p>
            <w:r>
              <w:t>Not Applicable</w:t>
            </w:r>
          </w:p>
        </w:tc>
        <w:tc>
          <w:tcPr>
            <w:tcW w:type="dxa" w:w="3408"/>
          </w:tcPr>
          <w:p>
            <w:r/>
            <w:r>
              <w:t>Nothing moves, blinks, scrolls or updates automatically, so there is nothing to pause, stop or hide.</w:t>
            </w:r>
          </w:p>
        </w:tc>
      </w:tr>
      <w:tr>
        <w:tc>
          <w:tcPr>
            <w:tcW w:type="dxa" w:w="3408"/>
          </w:tcPr>
          <w:p>
            <w:hyperlink r:id="rId36">
              <w:r>
                <w:rPr>
                  <w:color w:val="0000EE"/>
                  <w:u w:val="single"/>
                </w:rPr>
                <w:t>2.3.1 Three Flashes or Below Threshold</w:t>
              </w:r>
            </w:hyperlink>
            <w:r>
              <w:rPr>
                <w:b/>
              </w:rPr>
              <w:t xml:space="preserve"> </w:t>
            </w:r>
            <w:r>
              <w:rPr>
                <w:b/>
              </w:rPr>
              <w:t>(Level A)</w:t>
            </w:r>
            <w:r>
              <w:rPr>
                <w:b/>
              </w:rPr>
              <w:t xml:space="preserve"> </w:t>
            </w:r>
            <w:hyperlink r:id="rId36">
              <w:r>
                <w:rPr>
                  <w:color w:val="0000EE"/>
                  <w:u w:val="single"/>
                </w:rPr>
                <w:t>Understanding</w:t>
              </w:r>
            </w:hyperlink>
          </w:p>
        </w:tc>
        <w:tc>
          <w:tcPr>
            <w:tcW w:type="dxa" w:w="3408"/>
            <w:shd w:val="clear" w:fill="EEF1F4"/>
          </w:tcPr>
          <w:p>
            <w:r>
              <w:t>Not Applicable</w:t>
            </w:r>
          </w:p>
        </w:tc>
        <w:tc>
          <w:tcPr>
            <w:tcW w:type="dxa" w:w="3408"/>
          </w:tcPr>
          <w:p>
            <w:r/>
            <w:r>
              <w:t>No CSS animation, animated image, marquee, blink, canvas, SVG animation or video anywhere in the sample, so nothing can flash.</w:t>
            </w:r>
          </w:p>
        </w:tc>
      </w:tr>
      <w:tr>
        <w:tc>
          <w:tcPr>
            <w:tcW w:type="dxa" w:w="3408"/>
          </w:tcPr>
          <w:p>
            <w:hyperlink r:id="rId37">
              <w:r>
                <w:rPr>
                  <w:color w:val="0000EE"/>
                  <w:u w:val="single"/>
                </w:rPr>
                <w:t>2.4.1 Bypass Blocks</w:t>
              </w:r>
            </w:hyperlink>
            <w:r>
              <w:rPr>
                <w:b/>
              </w:rPr>
              <w:t xml:space="preserve"> </w:t>
            </w:r>
            <w:r>
              <w:rPr>
                <w:b/>
              </w:rPr>
              <w:t>(Level A)</w:t>
            </w:r>
            <w:r>
              <w:rPr>
                <w:b/>
              </w:rPr>
              <w:t xml:space="preserve"> </w:t>
            </w:r>
            <w:hyperlink r:id="rId37">
              <w:r>
                <w:rPr>
                  <w:color w:val="0000EE"/>
                  <w:u w:val="single"/>
                </w:rPr>
                <w:t>Understanding</w:t>
              </w:r>
            </w:hyperlink>
          </w:p>
        </w:tc>
        <w:tc>
          <w:tcPr>
            <w:tcW w:type="dxa" w:w="3408"/>
            <w:shd w:val="clear" w:fill="FCEBED"/>
          </w:tcPr>
          <w:p>
            <w:r>
              <w:t>Does Not Support</w:t>
            </w:r>
          </w:p>
        </w:tc>
        <w:tc>
          <w:tcPr>
            <w:tcW w:type="dxa" w:w="3408"/>
          </w:tcPr>
          <w:p>
            <w:r/>
            <w:r>
              <w:t>NVDA on Class Management — Accessibility Mode: the section skip links work (focus moves to the next section) and a top-of-page jump point exists, so a bypass mechanism is present in Accessibility Mode; the controls are links by role and confusingly worded.</w:t>
            </w:r>
            <w:r>
              <w:t xml:space="preserve"> </w:t>
            </w:r>
          </w:p>
          <w:p>
            <w:pPr>
              <w:pStyle w:val="ListBullet"/>
              <w:spacing w:line="240" w:lineRule="auto"/>
              <w:ind w:left="720"/>
            </w:pPr>
            <w:r/>
            <w:r>
              <w:rPr>
                <w:b/>
              </w:rPr>
              <w:t>Class Management — Accessibility Mode</w:t>
            </w:r>
            <w:r>
              <w:t xml:space="preserve">, </w:t>
            </w:r>
            <w:r>
              <w:rPr>
                <w:b/>
              </w:rPr>
              <w:t>Class Management (standard mode)</w:t>
            </w:r>
            <w:r>
              <w:t xml:space="preserve"> — No page carries headings or landmarks, so a screen-reader user cannot jump between sections and must read or tab through everything in order.</w:t>
            </w:r>
            <w:r>
              <w:t>Major</w:t>
            </w:r>
          </w:p>
        </w:tc>
      </w:tr>
      <w:tr>
        <w:tc>
          <w:tcPr>
            <w:tcW w:type="dxa" w:w="3408"/>
          </w:tcPr>
          <w:p>
            <w:hyperlink r:id="rId38">
              <w:r>
                <w:rPr>
                  <w:color w:val="0000EE"/>
                  <w:u w:val="single"/>
                </w:rPr>
                <w:t>2.4.2 Page Titled</w:t>
              </w:r>
            </w:hyperlink>
            <w:r>
              <w:rPr>
                <w:b/>
              </w:rPr>
              <w:t xml:space="preserve"> </w:t>
            </w:r>
            <w:r>
              <w:rPr>
                <w:b/>
              </w:rPr>
              <w:t>(Level A)</w:t>
            </w:r>
            <w:r>
              <w:rPr>
                <w:b/>
              </w:rPr>
              <w:t xml:space="preserve"> </w:t>
            </w:r>
            <w:hyperlink r:id="rId38">
              <w:r>
                <w:rPr>
                  <w:color w:val="0000EE"/>
                  <w:u w:val="single"/>
                </w:rPr>
                <w:t>Understanding</w:t>
              </w:r>
            </w:hyperlink>
          </w:p>
        </w:tc>
        <w:tc>
          <w:tcPr>
            <w:tcW w:type="dxa" w:w="3408"/>
            <w:shd w:val="clear" w:fill="E6F4EC"/>
          </w:tcPr>
          <w:p>
            <w:r>
              <w:t>Supports</w:t>
            </w:r>
          </w:p>
        </w:tc>
        <w:tc>
          <w:tcPr>
            <w:tcW w:type="dxa" w:w="3408"/>
          </w:tcPr>
          <w:p>
            <w:r/>
            <w:r>
              <w:t>Page/view title identifies its purpose — verified on all pages tested.</w:t>
            </w:r>
          </w:p>
        </w:tc>
      </w:tr>
      <w:tr>
        <w:tc>
          <w:tcPr>
            <w:tcW w:type="dxa" w:w="3408"/>
          </w:tcPr>
          <w:p>
            <w:hyperlink r:id="rId39">
              <w:r>
                <w:rPr>
                  <w:color w:val="0000EE"/>
                  <w:u w:val="single"/>
                </w:rPr>
                <w:t>2.4.3 Focus Order</w:t>
              </w:r>
            </w:hyperlink>
            <w:r>
              <w:rPr>
                <w:b/>
              </w:rPr>
              <w:t xml:space="preserve"> </w:t>
            </w:r>
            <w:r>
              <w:rPr>
                <w:b/>
              </w:rPr>
              <w:t>(Level A)</w:t>
            </w:r>
            <w:r>
              <w:rPr>
                <w:b/>
              </w:rPr>
              <w:t xml:space="preserve"> </w:t>
            </w:r>
            <w:hyperlink r:id="rId39">
              <w:r>
                <w:rPr>
                  <w:color w:val="0000EE"/>
                  <w:u w:val="single"/>
                </w:rPr>
                <w:t>Understanding</w:t>
              </w:r>
            </w:hyperlink>
          </w:p>
        </w:tc>
        <w:tc>
          <w:tcPr>
            <w:tcW w:type="dxa" w:w="3408"/>
            <w:shd w:val="clear" w:fill="FDF3E0"/>
          </w:tcPr>
          <w:p>
            <w:r>
              <w:t>Partially Supports</w:t>
            </w:r>
          </w:p>
        </w:tc>
        <w:tc>
          <w:tcPr>
            <w:tcW w:type="dxa" w:w="3408"/>
          </w:tcPr>
          <w:p>
            <w:r/>
            <w:r>
              <w:t>NVDA on Take Assignment: activating a problem link does not move focus into the problem; the vendor's jump-point menu mounts links outside the natural focus path and is itself a hidden tab stop.</w:t>
            </w:r>
            <w:r>
              <w:t xml:space="preserve"> </w:t>
            </w:r>
          </w:p>
          <w:p>
            <w:pPr>
              <w:pStyle w:val="ListBullet"/>
              <w:spacing w:line="240" w:lineRule="auto"/>
              <w:ind w:left="720"/>
            </w:pPr>
            <w:r/>
            <w:r>
              <w:rPr>
                <w:b/>
              </w:rPr>
              <w:t>Class Management — Accessibility Mode</w:t>
            </w:r>
            <w:r>
              <w:t xml:space="preserve">, </w:t>
            </w:r>
            <w:r>
              <w:rPr>
                <w:b/>
              </w:rPr>
              <w:t>Class Management (standard mode)</w:t>
            </w:r>
            <w:r>
              <w:t xml:space="preserve"> — The jump-point shortcuts have no accessible name and appear outside the normal focus path, so a screen-reader user cannot tell what they do or reach them predictably.</w:t>
            </w:r>
            <w:r>
              <w:t>Major</w:t>
            </w:r>
          </w:p>
          <w:p>
            <w:pPr>
              <w:pStyle w:val="ListBullet"/>
              <w:spacing w:line="240" w:lineRule="auto"/>
              <w:ind w:left="720"/>
            </w:pPr>
            <w:r/>
            <w:r>
              <w:rPr>
                <w:b/>
              </w:rPr>
              <w:t>Take Assignment</w:t>
            </w:r>
            <w:r>
              <w:t xml:space="preserve"> — Activating a problem does not move focus to it and no heading marks it, so a screen-reader user has no way to reach the problem they just opened.</w:t>
            </w:r>
            <w:r>
              <w:t>Major</w:t>
            </w:r>
          </w:p>
          <w:p>
            <w:pPr>
              <w:pStyle w:val="ListBullet"/>
              <w:spacing w:line="240" w:lineRule="auto"/>
              <w:ind w:left="720"/>
            </w:pPr>
            <w:r/>
            <w:r>
              <w:rPr>
                <w:b/>
              </w:rPr>
              <w:t>Take Assignment</w:t>
            </w:r>
            <w:r>
              <w:t xml:space="preserve"> — The formula and number entry area is a plain container rather than a form field, so a screen-reader user is not told it is an input or what it expects.</w:t>
            </w:r>
            <w:r>
              <w:t>Major</w:t>
            </w:r>
          </w:p>
          <w:p>
            <w:pPr>
              <w:pStyle w:val="ListBullet"/>
              <w:spacing w:line="240" w:lineRule="auto"/>
              <w:ind w:left="720"/>
            </w:pPr>
            <w:r/>
            <w:r>
              <w:rPr>
                <w:b/>
              </w:rPr>
              <w:t>Take Assignment</w:t>
            </w:r>
            <w:r>
              <w:t xml:space="preserve"> — A requested hint is inserted below the reading position without announcement, so a screen-reader user is not told the help they asked for has arrived.</w:t>
            </w:r>
            <w:r>
              <w:t>Major</w:t>
            </w:r>
          </w:p>
          <w:p>
            <w:pPr>
              <w:pStyle w:val="ListBullet"/>
              <w:spacing w:line="240" w:lineRule="auto"/>
              <w:ind w:left="720"/>
            </w:pPr>
            <w:r/>
            <w:r>
              <w:rPr>
                <w:b/>
              </w:rPr>
              <w:t>Calendar</w:t>
            </w:r>
            <w:r>
              <w:t xml:space="preserve"> — Opening an event and changing the month are not announced, so a screen-reader user is not told the page has changed.</w:t>
            </w:r>
            <w:r>
              <w:t>Major</w:t>
            </w:r>
          </w:p>
        </w:tc>
      </w:tr>
      <w:tr>
        <w:tc>
          <w:tcPr>
            <w:tcW w:type="dxa" w:w="3408"/>
          </w:tcPr>
          <w:p>
            <w:hyperlink r:id="rId40">
              <w:r>
                <w:rPr>
                  <w:color w:val="0000EE"/>
                  <w:u w:val="single"/>
                </w:rPr>
                <w:t>2.4.4 Link Purpose (In Context)</w:t>
              </w:r>
            </w:hyperlink>
            <w:r>
              <w:rPr>
                <w:b/>
              </w:rPr>
              <w:t xml:space="preserve"> </w:t>
            </w:r>
            <w:r>
              <w:rPr>
                <w:b/>
              </w:rPr>
              <w:t>(Level A)</w:t>
            </w:r>
            <w:r>
              <w:rPr>
                <w:b/>
              </w:rPr>
              <w:t xml:space="preserve"> </w:t>
            </w:r>
            <w:hyperlink r:id="rId40">
              <w:r>
                <w:rPr>
                  <w:color w:val="0000EE"/>
                  <w:u w:val="single"/>
                </w:rPr>
                <w:t>Understanding</w:t>
              </w:r>
            </w:hyperlink>
          </w:p>
        </w:tc>
        <w:tc>
          <w:tcPr>
            <w:tcW w:type="dxa" w:w="3408"/>
            <w:shd w:val="clear" w:fill="FDF3E0"/>
          </w:tcPr>
          <w:p>
            <w:r>
              <w:t>Partially Supports</w:t>
            </w:r>
          </w:p>
        </w:tc>
        <w:tc>
          <w:tcPr>
            <w:tcW w:type="dxa" w:w="3408"/>
          </w:tcPr>
          <w:p>
            <w:r/>
            <w:r>
              <w:t xml:space="preserve">Link purpose on Take Assignment and the remaining views still to be walked.: the grade report's 22 </w:t>
            </w:r>
            <w:r>
              <w:rPr>
                <w:rFonts w:ascii="Courier" w:hAnsi="Courier"/>
              </w:rPr>
              <w:t>[?]</w:t>
            </w:r>
            <w:r>
              <w:t xml:space="preserve"> help links have </w:t>
            </w:r>
            <w:r>
              <w:rPr>
                <w:rFonts w:ascii="Courier" w:hAnsi="Courier"/>
              </w:rPr>
              <w:t>[?]</w:t>
            </w:r>
            <w:r>
              <w:t xml:space="preserve"> as their entire text, no title and no aria-label, so the accessible name is empty and NVDA announces only "Visited Link".</w:t>
            </w:r>
            <w:r>
              <w:t xml:space="preserve"> </w:t>
            </w:r>
          </w:p>
          <w:p>
            <w:pPr>
              <w:pStyle w:val="ListBullet"/>
              <w:spacing w:line="240" w:lineRule="auto"/>
              <w:ind w:left="720"/>
            </w:pPr>
            <w:r/>
            <w:r>
              <w:rPr>
                <w:b/>
              </w:rPr>
              <w:t>View Grade Report</w:t>
            </w:r>
            <w:r>
              <w:t xml:space="preserve"> — The grade report's help links contain only punctuation, so a screen-reader user hears 22 anonymous links and cannot tell what help any of them offers.</w:t>
            </w:r>
            <w:r>
              <w:t>Major</w:t>
            </w:r>
          </w:p>
          <w:p>
            <w:pPr>
              <w:pStyle w:val="ListBullet"/>
              <w:spacing w:line="240" w:lineRule="auto"/>
              <w:ind w:left="720"/>
            </w:pPr>
            <w:r/>
            <w:r>
              <w:rPr>
                <w:b/>
              </w:rPr>
              <w:t>Sign in</w:t>
            </w:r>
            <w:r>
              <w:t xml:space="preserve">, </w:t>
            </w:r>
            <w:r>
              <w:rPr>
                <w:b/>
              </w:rPr>
              <w:t>Password reset</w:t>
            </w:r>
            <w:r>
              <w:t xml:space="preserve"> — The logo link on the sign-in and password reset pages has no accessible name, so a screen-reader user meets a link that says nothing about where it leads.</w:t>
            </w:r>
            <w:r>
              <w:t>Minor</w:t>
            </w:r>
          </w:p>
          <w:p>
            <w:pPr>
              <w:pStyle w:val="ListBullet"/>
              <w:spacing w:line="240" w:lineRule="auto"/>
              <w:ind w:left="720"/>
            </w:pPr>
            <w:r/>
            <w:r>
              <w:rPr>
                <w:b/>
              </w:rPr>
              <w:t>Class Management — Accessibility Mode</w:t>
            </w:r>
            <w:r>
              <w:t xml:space="preserve"> — The skip links are announced as links whose text names no destination, so a screen-reader user cannot tell where they lead.</w:t>
            </w:r>
            <w:r>
              <w:t>Minor</w:t>
            </w:r>
          </w:p>
        </w:tc>
      </w:tr>
      <w:tr>
        <w:tc>
          <w:tcPr>
            <w:tcW w:type="dxa" w:w="3408"/>
          </w:tcPr>
          <w:p>
            <w:hyperlink r:id="rId41">
              <w:r>
                <w:rPr>
                  <w:color w:val="0000EE"/>
                  <w:u w:val="single"/>
                </w:rPr>
                <w:t>2.5.1 Pointer Gestures</w:t>
              </w:r>
            </w:hyperlink>
            <w:r>
              <w:rPr>
                <w:b/>
              </w:rPr>
              <w:t xml:space="preserve"> </w:t>
            </w:r>
            <w:r>
              <w:rPr>
                <w:b/>
              </w:rPr>
              <w:t>(Level A)</w:t>
            </w:r>
            <w:r>
              <w:rPr>
                <w:b/>
              </w:rPr>
              <w:t xml:space="preserve"> </w:t>
            </w:r>
            <w:r>
              <w:rPr>
                <w:b/>
              </w:rPr>
              <w:t>WCAG 2.1</w:t>
            </w:r>
            <w:r>
              <w:rPr>
                <w:b/>
              </w:rPr>
              <w:t xml:space="preserve"> </w:t>
            </w:r>
            <w:hyperlink r:id="rId41">
              <w:r>
                <w:rPr>
                  <w:color w:val="0000EE"/>
                  <w:u w:val="single"/>
                </w:rPr>
                <w:t>Understanding</w:t>
              </w:r>
            </w:hyperlink>
          </w:p>
        </w:tc>
        <w:tc>
          <w:tcPr>
            <w:tcW w:type="dxa" w:w="3408"/>
            <w:shd w:val="clear" w:fill="E6F4EC"/>
          </w:tcPr>
          <w:p>
            <w:r>
              <w:t>Supports</w:t>
            </w:r>
          </w:p>
        </w:tc>
        <w:tc>
          <w:tcPr>
            <w:tcW w:type="dxa" w:w="3408"/>
          </w:tcPr>
          <w:p>
            <w:r/>
            <w:r>
              <w:t>Dragging and multipoint/path gestures have single-pointer, non-drag alternatives — verified on 1 of the 10 pages tested.</w:t>
            </w:r>
          </w:p>
        </w:tc>
      </w:tr>
      <w:tr>
        <w:tc>
          <w:tcPr>
            <w:tcW w:type="dxa" w:w="3408"/>
          </w:tcPr>
          <w:p>
            <w:hyperlink r:id="rId42">
              <w:r>
                <w:rPr>
                  <w:color w:val="0000EE"/>
                  <w:u w:val="single"/>
                </w:rPr>
                <w:t>2.5.2 Pointer Cancellation</w:t>
              </w:r>
            </w:hyperlink>
            <w:r>
              <w:rPr>
                <w:b/>
              </w:rPr>
              <w:t xml:space="preserve"> </w:t>
            </w:r>
            <w:r>
              <w:rPr>
                <w:b/>
              </w:rPr>
              <w:t>(Level A)</w:t>
            </w:r>
            <w:r>
              <w:rPr>
                <w:b/>
              </w:rPr>
              <w:t xml:space="preserve"> </w:t>
            </w:r>
            <w:r>
              <w:rPr>
                <w:b/>
              </w:rPr>
              <w:t>WCAG 2.1</w:t>
            </w:r>
            <w:r>
              <w:rPr>
                <w:b/>
              </w:rPr>
              <w:t xml:space="preserve"> </w:t>
            </w:r>
            <w:hyperlink r:id="rId42">
              <w:r>
                <w:rPr>
                  <w:color w:val="0000EE"/>
                  <w:u w:val="single"/>
                </w:rPr>
                <w:t>Understanding</w:t>
              </w:r>
            </w:hyperlink>
          </w:p>
        </w:tc>
        <w:tc>
          <w:tcPr>
            <w:tcW w:type="dxa" w:w="3408"/>
            <w:shd w:val="clear" w:fill="E6F4EC"/>
          </w:tcPr>
          <w:p>
            <w:r>
              <w:t>Supports</w:t>
            </w:r>
          </w:p>
        </w:tc>
        <w:tc>
          <w:tcPr>
            <w:tcW w:type="dxa" w:w="3408"/>
          </w:tcPr>
          <w:p>
            <w:r/>
            <w:r>
              <w:t>Pointer actions can be cancelled — verified on all pages tested.</w:t>
            </w:r>
          </w:p>
        </w:tc>
      </w:tr>
      <w:tr>
        <w:tc>
          <w:tcPr>
            <w:tcW w:type="dxa" w:w="3408"/>
          </w:tcPr>
          <w:p>
            <w:hyperlink r:id="rId43">
              <w:r>
                <w:rPr>
                  <w:color w:val="0000EE"/>
                  <w:u w:val="single"/>
                </w:rPr>
                <w:t>2.5.3 Label in Name</w:t>
              </w:r>
            </w:hyperlink>
            <w:r>
              <w:rPr>
                <w:b/>
              </w:rPr>
              <w:t xml:space="preserve"> </w:t>
            </w:r>
            <w:r>
              <w:rPr>
                <w:b/>
              </w:rPr>
              <w:t>(Level A)</w:t>
            </w:r>
            <w:r>
              <w:rPr>
                <w:b/>
              </w:rPr>
              <w:t xml:space="preserve"> </w:t>
            </w:r>
            <w:r>
              <w:rPr>
                <w:b/>
              </w:rPr>
              <w:t>WCAG 2.1</w:t>
            </w:r>
            <w:r>
              <w:rPr>
                <w:b/>
              </w:rPr>
              <w:t xml:space="preserve"> </w:t>
            </w:r>
            <w:hyperlink r:id="rId43">
              <w:r>
                <w:rPr>
                  <w:color w:val="0000EE"/>
                  <w:u w:val="single"/>
                </w:rPr>
                <w:t>Understanding</w:t>
              </w:r>
            </w:hyperlink>
          </w:p>
        </w:tc>
        <w:tc>
          <w:tcPr>
            <w:tcW w:type="dxa" w:w="3408"/>
            <w:shd w:val="clear" w:fill="FDF3E0"/>
          </w:tcPr>
          <w:p>
            <w:r>
              <w:t>Partially Supports</w:t>
            </w:r>
          </w:p>
        </w:tc>
        <w:tc>
          <w:tcPr>
            <w:tcW w:type="dxa" w:w="3408"/>
          </w:tcPr>
          <w:p>
            <w:r/>
            <w:r>
              <w:t>NVDA on Class Management — Accessibility Mode: the Classes and Class Menu selects' accessible names are an instruction sentence; the visible labels "Classes:" / "Class Menu:" are not part of the name.</w:t>
            </w:r>
            <w:r>
              <w:t xml:space="preserve"> </w:t>
            </w:r>
          </w:p>
          <w:p>
            <w:pPr>
              <w:pStyle w:val="ListBullet"/>
              <w:spacing w:line="240" w:lineRule="auto"/>
              <w:ind w:left="720"/>
            </w:pPr>
            <w:r/>
            <w:r>
              <w:rPr>
                <w:b/>
              </w:rPr>
              <w:t>Class Management — Accessibility Mode</w:t>
            </w:r>
            <w:r>
              <w:t xml:space="preserve"> — The class selection controls announce an instruction instead of their label, so a screen-reader user learns what a control is for only after moving past it.</w:t>
            </w:r>
            <w:r>
              <w:t>Major</w:t>
            </w:r>
          </w:p>
        </w:tc>
      </w:tr>
      <w:tr>
        <w:tc>
          <w:tcPr>
            <w:tcW w:type="dxa" w:w="3408"/>
          </w:tcPr>
          <w:p>
            <w:hyperlink r:id="rId44">
              <w:r>
                <w:rPr>
                  <w:color w:val="0000EE"/>
                  <w:u w:val="single"/>
                </w:rPr>
                <w:t>2.5.4 Motion Actuation</w:t>
              </w:r>
            </w:hyperlink>
            <w:r>
              <w:rPr>
                <w:b/>
              </w:rPr>
              <w:t xml:space="preserve"> </w:t>
            </w:r>
            <w:r>
              <w:rPr>
                <w:b/>
              </w:rPr>
              <w:t>(Level A)</w:t>
            </w:r>
            <w:r>
              <w:rPr>
                <w:b/>
              </w:rPr>
              <w:t xml:space="preserve"> </w:t>
            </w:r>
            <w:r>
              <w:rPr>
                <w:b/>
              </w:rPr>
              <w:t>WCAG 2.1</w:t>
            </w:r>
            <w:r>
              <w:rPr>
                <w:b/>
              </w:rPr>
              <w:t xml:space="preserve"> </w:t>
            </w:r>
            <w:hyperlink r:id="rId44">
              <w:r>
                <w:rPr>
                  <w:color w:val="0000EE"/>
                  <w:u w:val="single"/>
                </w:rPr>
                <w:t>Understanding</w:t>
              </w:r>
            </w:hyperlink>
          </w:p>
        </w:tc>
        <w:tc>
          <w:tcPr>
            <w:tcW w:type="dxa" w:w="3408"/>
            <w:shd w:val="clear" w:fill="EEF1F4"/>
          </w:tcPr>
          <w:p>
            <w:r>
              <w:t>Not Applicable</w:t>
            </w:r>
          </w:p>
        </w:tc>
        <w:tc>
          <w:tcPr>
            <w:tcW w:type="dxa" w:w="3408"/>
          </w:tcPr>
          <w:p>
            <w:r/>
            <w:r>
              <w:t xml:space="preserve">No </w:t>
            </w:r>
            <w:r>
              <w:rPr>
                <w:rFonts w:ascii="Courier" w:hAnsi="Courier"/>
              </w:rPr>
              <w:t>devicemotion</w:t>
            </w:r>
            <w:r>
              <w:t xml:space="preserve"> or </w:t>
            </w:r>
            <w:r>
              <w:rPr>
                <w:rFonts w:ascii="Courier" w:hAnsi="Courier"/>
              </w:rPr>
              <w:t>deviceorientation</w:t>
            </w:r>
            <w:r>
              <w:t xml:space="preserve"> use in any readable script, so no functionality is operated by motion.</w:t>
            </w:r>
          </w:p>
        </w:tc>
      </w:tr>
      <w:tr>
        <w:tc>
          <w:tcPr>
            <w:tcW w:type="dxa" w:w="3408"/>
          </w:tcPr>
          <w:p>
            <w:hyperlink r:id="rId45">
              <w:r>
                <w:rPr>
                  <w:color w:val="0000EE"/>
                  <w:u w:val="single"/>
                </w:rPr>
                <w:t>3.1.1 Language of Page</w:t>
              </w:r>
            </w:hyperlink>
            <w:r>
              <w:rPr>
                <w:b/>
              </w:rPr>
              <w:t xml:space="preserve"> </w:t>
            </w:r>
            <w:r>
              <w:rPr>
                <w:b/>
              </w:rPr>
              <w:t>(Level A)</w:t>
            </w:r>
            <w:r>
              <w:rPr>
                <w:b/>
              </w:rPr>
              <w:t xml:space="preserve"> </w:t>
            </w:r>
            <w:hyperlink r:id="rId45">
              <w:r>
                <w:rPr>
                  <w:color w:val="0000EE"/>
                  <w:u w:val="single"/>
                </w:rPr>
                <w:t>Understanding</w:t>
              </w:r>
            </w:hyperlink>
          </w:p>
        </w:tc>
        <w:tc>
          <w:tcPr>
            <w:tcW w:type="dxa" w:w="3408"/>
            <w:shd w:val="clear" w:fill="FDF3E0"/>
          </w:tcPr>
          <w:p>
            <w:r>
              <w:t>Partially Supports</w:t>
            </w:r>
          </w:p>
        </w:tc>
        <w:tc>
          <w:tcPr>
            <w:tcW w:type="dxa" w:w="3408"/>
          </w:tcPr>
          <w:p>
            <w:r/>
            <w:r>
              <w:t xml:space="preserve">Earlier,: three of the fourteen sampled views declare no </w:t>
            </w:r>
            <w:r>
              <w:rPr>
                <w:rFonts w:ascii="Courier" w:hAnsi="Courier"/>
              </w:rPr>
              <w:t>lang</w:t>
            </w:r>
            <w:r>
              <w:t xml:space="preserve"> — Take Assignment (Take Assignment), Sign in (Sign in), the Edit Class popup (Edit Class popup); the other eleven declare </w:t>
            </w:r>
            <w:r>
              <w:rPr>
                <w:rFonts w:ascii="Courier" w:hAnsi="Courier"/>
              </w:rPr>
              <w:t>en</w:t>
            </w:r>
            <w:r>
              <w:t xml:space="preserve"> (probe runs.).</w:t>
            </w:r>
            <w:r>
              <w:t xml:space="preserve"> </w:t>
            </w:r>
          </w:p>
          <w:p>
            <w:pPr>
              <w:pStyle w:val="ListBullet"/>
              <w:spacing w:line="240" w:lineRule="auto"/>
              <w:ind w:left="720"/>
            </w:pPr>
            <w:r/>
            <w:r>
              <w:rPr>
                <w:b/>
              </w:rPr>
              <w:t>Take Assignment</w:t>
            </w:r>
            <w:r>
              <w:t xml:space="preserve"> and 3 other pages</w:t>
            </w:r>
            <w:r>
              <w:t xml:space="preserve"> — Four pages declare no language, so a screen reader may pronounce them with the wrong voice.</w:t>
            </w:r>
            <w:r>
              <w:t>Minor</w:t>
            </w:r>
          </w:p>
        </w:tc>
      </w:tr>
      <w:tr>
        <w:tc>
          <w:tcPr>
            <w:tcW w:type="dxa" w:w="3408"/>
          </w:tcPr>
          <w:p>
            <w:hyperlink r:id="rId46">
              <w:r>
                <w:rPr>
                  <w:color w:val="0000EE"/>
                  <w:u w:val="single"/>
                </w:rPr>
                <w:t>3.2.1 On Focus</w:t>
              </w:r>
            </w:hyperlink>
            <w:r>
              <w:rPr>
                <w:b/>
              </w:rPr>
              <w:t xml:space="preserve"> </w:t>
            </w:r>
            <w:r>
              <w:rPr>
                <w:b/>
              </w:rPr>
              <w:t>(Level A)</w:t>
            </w:r>
            <w:r>
              <w:rPr>
                <w:b/>
              </w:rPr>
              <w:t xml:space="preserve"> </w:t>
            </w:r>
            <w:hyperlink r:id="rId46">
              <w:r>
                <w:rPr>
                  <w:color w:val="0000EE"/>
                  <w:u w:val="single"/>
                </w:rPr>
                <w:t>Understanding</w:t>
              </w:r>
            </w:hyperlink>
          </w:p>
        </w:tc>
        <w:tc>
          <w:tcPr>
            <w:tcW w:type="dxa" w:w="3408"/>
            <w:shd w:val="clear" w:fill="E6F4EC"/>
          </w:tcPr>
          <w:p>
            <w:r>
              <w:t>Supports</w:t>
            </w:r>
          </w:p>
        </w:tc>
        <w:tc>
          <w:tcPr>
            <w:tcW w:type="dxa" w:w="3408"/>
          </w:tcPr>
          <w:p>
            <w:r/>
            <w:r>
              <w:t>Focus/input does not trigger unexpected context changes — verified on all pages tested.</w:t>
            </w:r>
          </w:p>
        </w:tc>
      </w:tr>
      <w:tr>
        <w:tc>
          <w:tcPr>
            <w:tcW w:type="dxa" w:w="3408"/>
          </w:tcPr>
          <w:p>
            <w:hyperlink r:id="rId47">
              <w:r>
                <w:rPr>
                  <w:color w:val="0000EE"/>
                  <w:u w:val="single"/>
                </w:rPr>
                <w:t>3.2.2 On Input</w:t>
              </w:r>
            </w:hyperlink>
            <w:r>
              <w:rPr>
                <w:b/>
              </w:rPr>
              <w:t xml:space="preserve"> </w:t>
            </w:r>
            <w:r>
              <w:rPr>
                <w:b/>
              </w:rPr>
              <w:t>(Level A)</w:t>
            </w:r>
            <w:r>
              <w:rPr>
                <w:b/>
              </w:rPr>
              <w:t xml:space="preserve"> </w:t>
            </w:r>
            <w:hyperlink r:id="rId47">
              <w:r>
                <w:rPr>
                  <w:color w:val="0000EE"/>
                  <w:u w:val="single"/>
                </w:rPr>
                <w:t>Understanding</w:t>
              </w:r>
            </w:hyperlink>
          </w:p>
        </w:tc>
        <w:tc>
          <w:tcPr>
            <w:tcW w:type="dxa" w:w="3408"/>
            <w:shd w:val="clear" w:fill="E6F4EC"/>
          </w:tcPr>
          <w:p>
            <w:r>
              <w:t>Supports</w:t>
            </w:r>
          </w:p>
        </w:tc>
        <w:tc>
          <w:tcPr>
            <w:tcW w:type="dxa" w:w="3408"/>
          </w:tcPr>
          <w:p>
            <w:r/>
            <w:r>
              <w:t>Focus/input does not trigger unexpected context changes — verified on all pages tested.</w:t>
            </w:r>
          </w:p>
        </w:tc>
      </w:tr>
      <w:tr>
        <w:tc>
          <w:tcPr>
            <w:tcW w:type="dxa" w:w="3408"/>
          </w:tcPr>
          <w:p>
            <w:hyperlink r:id="rId48">
              <w:r>
                <w:rPr>
                  <w:color w:val="0000EE"/>
                  <w:u w:val="single"/>
                </w:rPr>
                <w:t>3.2.6 Consistent Help</w:t>
              </w:r>
            </w:hyperlink>
            <w:r>
              <w:rPr>
                <w:b/>
              </w:rPr>
              <w:t xml:space="preserve"> </w:t>
            </w:r>
            <w:r>
              <w:rPr>
                <w:b/>
              </w:rPr>
              <w:t>(Level A)</w:t>
            </w:r>
            <w:r>
              <w:rPr>
                <w:b/>
              </w:rPr>
              <w:t xml:space="preserve"> </w:t>
            </w:r>
            <w:r>
              <w:rPr>
                <w:b/>
              </w:rPr>
              <w:t>WCAG 2.2</w:t>
            </w:r>
            <w:r>
              <w:rPr>
                <w:b/>
              </w:rPr>
              <w:t xml:space="preserve"> </w:t>
            </w:r>
            <w:hyperlink r:id="rId48">
              <w:r>
                <w:rPr>
                  <w:color w:val="0000EE"/>
                  <w:u w:val="single"/>
                </w:rPr>
                <w:t>Understanding</w:t>
              </w:r>
            </w:hyperlink>
          </w:p>
        </w:tc>
        <w:tc>
          <w:tcPr>
            <w:tcW w:type="dxa" w:w="3408"/>
            <w:shd w:val="clear" w:fill="E6F4EC"/>
          </w:tcPr>
          <w:p>
            <w:r>
              <w:t>Supports</w:t>
            </w:r>
          </w:p>
        </w:tc>
        <w:tc>
          <w:tcPr>
            <w:tcW w:type="dxa" w:w="3408"/>
          </w:tcPr>
          <w:p>
            <w:r/>
            <w:r>
              <w:t>Help appears in a consistent location — verified on all pages tested.</w:t>
            </w:r>
          </w:p>
        </w:tc>
      </w:tr>
      <w:tr>
        <w:tc>
          <w:tcPr>
            <w:tcW w:type="dxa" w:w="3408"/>
          </w:tcPr>
          <w:p>
            <w:hyperlink r:id="rId49">
              <w:r>
                <w:rPr>
                  <w:color w:val="0000EE"/>
                  <w:u w:val="single"/>
                </w:rPr>
                <w:t>3.3.1 Error Identification</w:t>
              </w:r>
            </w:hyperlink>
            <w:r>
              <w:rPr>
                <w:b/>
              </w:rPr>
              <w:t xml:space="preserve"> </w:t>
            </w:r>
            <w:r>
              <w:rPr>
                <w:b/>
              </w:rPr>
              <w:t>(Level A)</w:t>
            </w:r>
            <w:r>
              <w:rPr>
                <w:b/>
              </w:rPr>
              <w:t xml:space="preserve"> </w:t>
            </w:r>
            <w:hyperlink r:id="rId49">
              <w:r>
                <w:rPr>
                  <w:color w:val="0000EE"/>
                  <w:u w:val="single"/>
                </w:rPr>
                <w:t>Understanding</w:t>
              </w:r>
            </w:hyperlink>
          </w:p>
        </w:tc>
        <w:tc>
          <w:tcPr>
            <w:tcW w:type="dxa" w:w="3408"/>
            <w:shd w:val="clear" w:fill="FDF3E0"/>
          </w:tcPr>
          <w:p>
            <w:r>
              <w:t>Partially Supports</w:t>
            </w:r>
          </w:p>
        </w:tc>
        <w:tc>
          <w:tcPr>
            <w:tcW w:type="dxa" w:w="3408"/>
          </w:tcPr>
          <w:p>
            <w:r/>
            <w:r>
              <w:t>You have previously used this answer.</w:t>
            </w:r>
          </w:p>
        </w:tc>
      </w:tr>
      <w:tr>
        <w:tc>
          <w:tcPr>
            <w:tcW w:type="dxa" w:w="3408"/>
          </w:tcPr>
          <w:p>
            <w:hyperlink r:id="rId50">
              <w:r>
                <w:rPr>
                  <w:color w:val="0000EE"/>
                  <w:u w:val="single"/>
                </w:rPr>
                <w:t>3.3.2 Labels or Instructions</w:t>
              </w:r>
            </w:hyperlink>
            <w:r>
              <w:rPr>
                <w:b/>
              </w:rPr>
              <w:t xml:space="preserve"> </w:t>
            </w:r>
            <w:r>
              <w:rPr>
                <w:b/>
              </w:rPr>
              <w:t>(Level A)</w:t>
            </w:r>
            <w:r>
              <w:rPr>
                <w:b/>
              </w:rPr>
              <w:t xml:space="preserve"> </w:t>
            </w:r>
            <w:hyperlink r:id="rId50">
              <w:r>
                <w:rPr>
                  <w:color w:val="0000EE"/>
                  <w:u w:val="single"/>
                </w:rPr>
                <w:t>Understanding</w:t>
              </w:r>
            </w:hyperlink>
          </w:p>
        </w:tc>
        <w:tc>
          <w:tcPr>
            <w:tcW w:type="dxa" w:w="3408"/>
            <w:shd w:val="clear" w:fill="FDF3E0"/>
          </w:tcPr>
          <w:p>
            <w:r>
              <w:t>Partially Supports</w:t>
            </w:r>
          </w:p>
        </w:tc>
        <w:tc>
          <w:tcPr>
            <w:tcW w:type="dxa" w:w="3408"/>
          </w:tcPr>
          <w:p>
            <w:r/>
            <w:r>
              <w:t>The pattern is one mechanism: the application lays its forms out in tables and lets the surrounding table text stand in for a label, so the screen reader announces context rather than a name.</w:t>
            </w:r>
            <w:r>
              <w:t xml:space="preserve"> </w:t>
            </w:r>
          </w:p>
          <w:p>
            <w:pPr>
              <w:pStyle w:val="ListBullet"/>
              <w:spacing w:line="240" w:lineRule="auto"/>
              <w:ind w:left="720"/>
            </w:pPr>
            <w:r/>
            <w:r>
              <w:rPr>
                <w:b/>
              </w:rPr>
              <w:t>Take Assignment</w:t>
            </w:r>
            <w:r>
              <w:t xml:space="preserve"> — The formula and number entry area is a plain container rather than a form field, so a screen-reader user is not told it is an input or what it expects.</w:t>
            </w:r>
            <w:r>
              <w:t>Major</w:t>
            </w:r>
          </w:p>
          <w:p>
            <w:pPr>
              <w:pStyle w:val="ListBullet"/>
              <w:spacing w:line="240" w:lineRule="auto"/>
              <w:ind w:left="720"/>
            </w:pPr>
            <w:r/>
            <w:r>
              <w:rPr>
                <w:b/>
              </w:rPr>
              <w:t>Calendar</w:t>
            </w:r>
            <w:r>
              <w:t xml:space="preserve"> — The event detail fields are unlabelled, and read-only dates are presented as editable date pickers, so a screen-reader user is invited to change information they cannot change.</w:t>
            </w:r>
            <w:r>
              <w:t>Major</w:t>
            </w:r>
          </w:p>
          <w:p>
            <w:pPr>
              <w:pStyle w:val="ListBullet"/>
              <w:spacing w:line="240" w:lineRule="auto"/>
              <w:ind w:left="720"/>
            </w:pPr>
            <w:r/>
            <w:r>
              <w:rPr>
                <w:b/>
              </w:rPr>
              <w:t>Edit Class popup</w:t>
            </w:r>
            <w:r>
              <w:t xml:space="preserve"> — The popup form fields are not associated with their captions, so a screen-reader user is not told what each field expects.</w:t>
            </w:r>
            <w:r>
              <w:t>Major</w:t>
            </w:r>
          </w:p>
          <w:p>
            <w:pPr>
              <w:pStyle w:val="ListBullet"/>
              <w:spacing w:line="240" w:lineRule="auto"/>
              <w:ind w:left="720"/>
            </w:pPr>
            <w:r/>
            <w:r>
              <w:rPr>
                <w:b/>
              </w:rPr>
              <w:t>Password reset</w:t>
            </w:r>
            <w:r>
              <w:t xml:space="preserve"> — The password reset field has no label of its own, so a screen-reader user must infer what to type from the surrounding table.</w:t>
            </w:r>
            <w:r>
              <w:t>Minor</w:t>
            </w:r>
          </w:p>
        </w:tc>
      </w:tr>
      <w:tr>
        <w:tc>
          <w:tcPr>
            <w:tcW w:type="dxa" w:w="3408"/>
          </w:tcPr>
          <w:p>
            <w:hyperlink r:id="rId51">
              <w:r>
                <w:rPr>
                  <w:color w:val="0000EE"/>
                  <w:u w:val="single"/>
                </w:rPr>
                <w:t>3.3.7 Redundant Entry</w:t>
              </w:r>
            </w:hyperlink>
            <w:r>
              <w:rPr>
                <w:b/>
              </w:rPr>
              <w:t xml:space="preserve"> </w:t>
            </w:r>
            <w:r>
              <w:rPr>
                <w:b/>
              </w:rPr>
              <w:t>(Level A)</w:t>
            </w:r>
            <w:r>
              <w:rPr>
                <w:b/>
              </w:rPr>
              <w:t xml:space="preserve"> </w:t>
            </w:r>
            <w:r>
              <w:rPr>
                <w:b/>
              </w:rPr>
              <w:t>WCAG 2.2</w:t>
            </w:r>
            <w:r>
              <w:rPr>
                <w:b/>
              </w:rPr>
              <w:t xml:space="preserve"> </w:t>
            </w:r>
            <w:hyperlink r:id="rId51">
              <w:r>
                <w:rPr>
                  <w:color w:val="0000EE"/>
                  <w:u w:val="single"/>
                </w:rPr>
                <w:t>Understanding</w:t>
              </w:r>
            </w:hyperlink>
          </w:p>
        </w:tc>
        <w:tc>
          <w:tcPr>
            <w:tcW w:type="dxa" w:w="3408"/>
            <w:shd w:val="clear" w:fill="E6F4EC"/>
          </w:tcPr>
          <w:p>
            <w:r>
              <w:t>Supports</w:t>
            </w:r>
          </w:p>
        </w:tc>
        <w:tc>
          <w:tcPr>
            <w:tcW w:type="dxa" w:w="3408"/>
          </w:tcPr>
          <w:p>
            <w:r/>
            <w:r>
              <w:t>Previously entered information is not demanded again — verified on 7 of the 10 pages tested.</w:t>
            </w:r>
          </w:p>
        </w:tc>
      </w:tr>
      <w:tr>
        <w:tc>
          <w:tcPr>
            <w:tcW w:type="dxa" w:w="3408"/>
          </w:tcPr>
          <w:p>
            <w:hyperlink r:id="rId52">
              <w:r>
                <w:rPr>
                  <w:color w:val="0000EE"/>
                  <w:u w:val="single"/>
                </w:rPr>
                <w:t>4.1.2 Name, Role, Value</w:t>
              </w:r>
            </w:hyperlink>
            <w:r>
              <w:rPr>
                <w:b/>
              </w:rPr>
              <w:t xml:space="preserve"> </w:t>
            </w:r>
            <w:r>
              <w:rPr>
                <w:b/>
              </w:rPr>
              <w:t>(Level A)</w:t>
            </w:r>
            <w:r>
              <w:rPr>
                <w:b/>
              </w:rPr>
              <w:t xml:space="preserve"> </w:t>
            </w:r>
            <w:hyperlink r:id="rId52">
              <w:r>
                <w:rPr>
                  <w:color w:val="0000EE"/>
                  <w:u w:val="single"/>
                </w:rPr>
                <w:t>Understanding</w:t>
              </w:r>
            </w:hyperlink>
          </w:p>
        </w:tc>
        <w:tc>
          <w:tcPr>
            <w:tcW w:type="dxa" w:w="3408"/>
            <w:shd w:val="clear" w:fill="FCEBED"/>
          </w:tcPr>
          <w:p>
            <w:r>
              <w:t>Does Not Support</w:t>
            </w:r>
          </w:p>
        </w:tc>
        <w:tc>
          <w:tcPr>
            <w:tcW w:type="dxa" w:w="3408"/>
          </w:tcPr>
          <w:p>
            <w:r/>
            <w:r>
              <w:t>Class Management — Accessibility Mode: skip controls exposed as links though they act as buttons; per-row Actions select without a name; popup inputs without names.</w:t>
            </w:r>
            <w:r>
              <w:t xml:space="preserve"> </w:t>
            </w:r>
          </w:p>
          <w:p>
            <w:pPr>
              <w:pStyle w:val="ListBullet"/>
              <w:spacing w:line="240" w:lineRule="auto"/>
              <w:ind w:left="720"/>
            </w:pPr>
            <w:r/>
            <w:r>
              <w:rPr>
                <w:b/>
              </w:rPr>
              <w:t>Student Practice Area</w:t>
            </w:r>
            <w:r>
              <w:t xml:space="preserve"> — Nothing in the Student Practice Area takes keyboard focus and the page has no headings, so a keyboard or screen-reader user cannot choose a book, a chapter or a problem.</w:t>
            </w:r>
            <w:r>
              <w:t>Blocker</w:t>
            </w:r>
          </w:p>
          <w:p>
            <w:pPr>
              <w:pStyle w:val="ListBullet"/>
              <w:spacing w:line="240" w:lineRule="auto"/>
              <w:ind w:left="720"/>
            </w:pPr>
            <w:r/>
            <w:r>
              <w:rPr>
                <w:b/>
              </w:rPr>
              <w:t>Class Management — Accessibility Mode</w:t>
            </w:r>
            <w:r>
              <w:t xml:space="preserve">, </w:t>
            </w:r>
            <w:r>
              <w:rPr>
                <w:b/>
              </w:rPr>
              <w:t>Class Management (standard mode)</w:t>
            </w:r>
            <w:r>
              <w:t xml:space="preserve"> — The jump-point shortcuts have no accessible name and appear outside the normal focus path, so a screen-reader user cannot tell what they do or reach them predictably.</w:t>
            </w:r>
            <w:r>
              <w:t>Major</w:t>
            </w:r>
          </w:p>
          <w:p>
            <w:pPr>
              <w:pStyle w:val="ListBullet"/>
              <w:spacing w:line="240" w:lineRule="auto"/>
              <w:ind w:left="720"/>
            </w:pPr>
            <w:r/>
            <w:r>
              <w:rPr>
                <w:b/>
              </w:rPr>
              <w:t>Class Management — Accessibility Mode</w:t>
            </w:r>
            <w:r>
              <w:t xml:space="preserve"> — The assignments table and its controls carry no headings or landmarks, so a screen-reader user must tab through the whole page to find an assignment.</w:t>
            </w:r>
            <w:r>
              <w:t>Major</w:t>
            </w:r>
          </w:p>
          <w:p>
            <w:pPr>
              <w:pStyle w:val="ListBullet"/>
              <w:spacing w:line="240" w:lineRule="auto"/>
              <w:ind w:left="720"/>
            </w:pPr>
            <w:r/>
            <w:r>
              <w:rPr>
                <w:b/>
              </w:rPr>
              <w:t>Take Assignment</w:t>
            </w:r>
            <w:r>
              <w:t xml:space="preserve"> — Multiple-choice answer options have no accessible name, so a screen-reader user cannot tell which option they are selecting; where options contain mathematics the answer is unreadable.</w:t>
            </w:r>
            <w:r>
              <w:t>Major</w:t>
            </w:r>
          </w:p>
          <w:p>
            <w:pPr>
              <w:pStyle w:val="ListBullet"/>
              <w:spacing w:line="240" w:lineRule="auto"/>
              <w:ind w:left="720"/>
            </w:pPr>
            <w:r/>
            <w:r>
              <w:rPr>
                <w:b/>
              </w:rPr>
              <w:t>Take Assignment</w:t>
            </w:r>
            <w:r>
              <w:t xml:space="preserve"> — The formula and number entry area is a plain container rather than a form field, so a screen-reader user is not told it is an input or what it expects.</w:t>
            </w:r>
            <w:r>
              <w:t>Major</w:t>
            </w:r>
          </w:p>
          <w:p>
            <w:pPr>
              <w:pStyle w:val="ListBullet"/>
              <w:spacing w:line="240" w:lineRule="auto"/>
              <w:ind w:left="720"/>
            </w:pPr>
            <w:r/>
            <w:r>
              <w:rPr>
                <w:b/>
              </w:rPr>
              <w:t>View Grade Report</w:t>
            </w:r>
            <w:r>
              <w:t xml:space="preserve"> — The grade report's help links contain only punctuation, so a screen-reader user hears 22 anonymous links and cannot tell what help any of them offers.</w:t>
            </w:r>
            <w:r>
              <w:t>Major</w:t>
            </w:r>
          </w:p>
          <w:p>
            <w:pPr>
              <w:pStyle w:val="ListBullet"/>
              <w:spacing w:line="240" w:lineRule="auto"/>
              <w:ind w:left="720"/>
            </w:pPr>
            <w:r/>
            <w:r>
              <w:rPr>
                <w:b/>
              </w:rPr>
              <w:t>Calendar</w:t>
            </w:r>
            <w:r>
              <w:t xml:space="preserve"> — The calendar grid takes no keyboard focus, so a keyboard user cannot reach an assignment or open its details.</w:t>
            </w:r>
            <w:r>
              <w:t>Major</w:t>
            </w:r>
          </w:p>
          <w:p>
            <w:pPr>
              <w:pStyle w:val="ListBullet"/>
              <w:spacing w:line="240" w:lineRule="auto"/>
              <w:ind w:left="720"/>
            </w:pPr>
            <w:r/>
            <w:r>
              <w:rPr>
                <w:b/>
              </w:rPr>
              <w:t>Calendar</w:t>
            </w:r>
            <w:r>
              <w:t xml:space="preserve"> — The event detail fields are unlabelled, and read-only dates are presented as editable date pickers, so a screen-reader user is invited to change information they cannot change.</w:t>
            </w:r>
            <w:r>
              <w:t>Major</w:t>
            </w:r>
          </w:p>
          <w:p>
            <w:pPr>
              <w:pStyle w:val="ListBullet"/>
              <w:spacing w:line="240" w:lineRule="auto"/>
              <w:ind w:left="720"/>
            </w:pPr>
            <w:r/>
            <w:r>
              <w:rPr>
                <w:b/>
              </w:rPr>
              <w:t>View Printable Assignment</w:t>
            </w:r>
            <w:r>
              <w:t xml:space="preserve"> — Every mathematical expression on the printable assignment is exposed as an unnamed button, so a screen-reader user gets a control instead of the mathematics.</w:t>
            </w:r>
            <w:r>
              <w:t>Major</w:t>
            </w:r>
          </w:p>
          <w:p>
            <w:pPr>
              <w:pStyle w:val="ListBullet"/>
              <w:spacing w:line="240" w:lineRule="auto"/>
              <w:ind w:left="720"/>
            </w:pPr>
            <w:r/>
            <w:r>
              <w:rPr>
                <w:b/>
              </w:rPr>
              <w:t>Edit Class popup</w:t>
            </w:r>
            <w:r>
              <w:t xml:space="preserve"> — The popup form fields are not associated with their captions, so a screen-reader user is not told what each field expects.</w:t>
            </w:r>
            <w:r>
              <w:t>Major</w:t>
            </w:r>
          </w:p>
          <w:p>
            <w:pPr>
              <w:pStyle w:val="ListBullet"/>
              <w:spacing w:line="240" w:lineRule="auto"/>
              <w:ind w:left="720"/>
            </w:pPr>
            <w:r/>
            <w:r>
              <w:rPr>
                <w:b/>
              </w:rPr>
              <w:t>Class Management — Accessibility Mode</w:t>
            </w:r>
            <w:r>
              <w:t xml:space="preserve"> — The class selection controls announce an instruction instead of their label, so a screen-reader user learns what a control is for only after moving past it.</w:t>
            </w:r>
            <w:r>
              <w:t>Major</w:t>
            </w:r>
          </w:p>
          <w:p>
            <w:pPr>
              <w:pStyle w:val="ListBullet"/>
              <w:spacing w:line="240" w:lineRule="auto"/>
              <w:ind w:left="720"/>
            </w:pPr>
            <w:r/>
            <w:r>
              <w:rPr>
                <w:b/>
              </w:rPr>
              <w:t>Class Management (standard mode)</w:t>
            </w:r>
            <w:r>
              <w:t xml:space="preserve">, </w:t>
            </w:r>
            <w:r>
              <w:rPr>
                <w:b/>
              </w:rPr>
              <w:t>Class Management — Accessibility Mode</w:t>
            </w:r>
            <w:r>
              <w:t xml:space="preserve">, </w:t>
            </w:r>
            <w:r>
              <w:rPr>
                <w:b/>
              </w:rPr>
              <w:t>Student Practice Area</w:t>
            </w:r>
            <w:r>
              <w:t xml:space="preserve"> — The grid expand controls are images with no name or role, so a screen-reader user hears only that something clickable exists, not what it opens.</w:t>
            </w:r>
            <w:r>
              <w:t>Minor</w:t>
            </w:r>
          </w:p>
          <w:p>
            <w:pPr>
              <w:pStyle w:val="ListBullet"/>
              <w:spacing w:line="240" w:lineRule="auto"/>
              <w:ind w:left="720"/>
            </w:pPr>
            <w:r/>
            <w:r>
              <w:rPr>
                <w:b/>
              </w:rPr>
              <w:t>Sign in</w:t>
            </w:r>
            <w:r>
              <w:t xml:space="preserve">, </w:t>
            </w:r>
            <w:r>
              <w:rPr>
                <w:b/>
              </w:rPr>
              <w:t>Password reset</w:t>
            </w:r>
            <w:r>
              <w:t xml:space="preserve"> — The logo link on the sign-in and password reset pages has no accessible name, so a screen-reader user meets a link that says nothing about where it leads.</w:t>
            </w:r>
            <w:r>
              <w:t>Minor</w:t>
            </w:r>
          </w:p>
          <w:p>
            <w:pPr>
              <w:pStyle w:val="ListBullet"/>
              <w:spacing w:line="240" w:lineRule="auto"/>
              <w:ind w:left="720"/>
            </w:pPr>
            <w:r/>
            <w:r>
              <w:rPr>
                <w:b/>
              </w:rPr>
              <w:t>Class Management (standard mode)</w:t>
            </w:r>
            <w:r>
              <w:t xml:space="preserve"> — On the standard Class Management page the assignment row's action menu opens only by mouse, so a keyboard user must switch to the Accessibility Page to start an assignment.</w:t>
            </w:r>
            <w:r>
              <w:t>Minor</w:t>
            </w:r>
          </w:p>
          <w:p>
            <w:pPr>
              <w:pStyle w:val="ListBullet"/>
              <w:spacing w:line="240" w:lineRule="auto"/>
              <w:ind w:left="720"/>
            </w:pPr>
            <w:r/>
            <w:r>
              <w:rPr>
                <w:b/>
              </w:rPr>
              <w:t>Class Management — Accessibility Mode</w:t>
            </w:r>
            <w:r>
              <w:t xml:space="preserve"> — The skip links are announced as links whose text names no destination, so a screen-reader user cannot tell where they lead.</w:t>
            </w:r>
            <w:r>
              <w:t>Minor</w:t>
            </w:r>
          </w:p>
          <w:p>
            <w:pPr>
              <w:pStyle w:val="ListBullet"/>
              <w:spacing w:line="240" w:lineRule="auto"/>
              <w:ind w:left="720"/>
            </w:pPr>
            <w:r/>
            <w:r>
              <w:rPr>
                <w:b/>
              </w:rPr>
              <w:t>Password reset</w:t>
            </w:r>
            <w:r>
              <w:t xml:space="preserve"> — The password reset field has no label of its own, so a screen-reader user must infer what to type from the surrounding table.</w:t>
            </w:r>
            <w:r>
              <w:t>Minor</w:t>
            </w:r>
          </w:p>
          <w:p>
            <w:pPr>
              <w:pStyle w:val="ListBullet"/>
              <w:spacing w:line="240" w:lineRule="auto"/>
              <w:ind w:left="720"/>
            </w:pPr>
            <w:r/>
            <w:r>
              <w:rPr>
                <w:b/>
              </w:rPr>
              <w:t>Class Management (standard mode)</w:t>
            </w:r>
            <w:r>
              <w:t xml:space="preserve"> — The grade-profile link is absent from the tab order but present to a screen reader, so a keyboard user without assistive technology cannot reach it at all.</w:t>
            </w:r>
            <w:r>
              <w:t>Minor</w:t>
            </w:r>
          </w:p>
          <w:p>
            <w:pPr>
              <w:pStyle w:val="ListBullet"/>
              <w:spacing w:line="240" w:lineRule="auto"/>
              <w:ind w:left="720"/>
            </w:pPr>
            <w:r/>
            <w:r>
              <w:rPr>
                <w:b/>
              </w:rPr>
              <w:t>Class Management — Accessibility Mode</w:t>
            </w:r>
            <w:r>
              <w:t xml:space="preserve"> — The per-row action control has no accessible name, so a screen-reader user cannot tell what the control does before using it.</w:t>
            </w:r>
            <w:r>
              <w:t>Minor</w:t>
            </w:r>
          </w:p>
        </w:tc>
      </w:tr>
    </w:tbl>
    <w:p>
      <w:r/>
    </w:p>
    <w:p>
      <w:pPr>
        <w:pStyle w:val="Heading3"/>
      </w:pPr>
      <w:r>
        <w:t>Table 2: Success Criteria, Level AA</w:t>
      </w:r>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rPr>
                <w:b/>
              </w:rPr>
              <w:t>Criterion</w:t>
            </w:r>
          </w:p>
        </w:tc>
        <w:tc>
          <w:tcPr>
            <w:tcW w:type="dxa" w:w="3408"/>
          </w:tcPr>
          <w:p>
            <w:r>
              <w:rPr>
                <w:b/>
              </w:rPr>
              <w:t>Conformance level</w:t>
            </w:r>
          </w:p>
        </w:tc>
        <w:tc>
          <w:tcPr>
            <w:tcW w:type="dxa" w:w="3408"/>
          </w:tcPr>
          <w:p>
            <w:r>
              <w:rPr>
                <w:b/>
              </w:rPr>
              <w:t>Remarks and explanations</w:t>
            </w:r>
          </w:p>
        </w:tc>
      </w:tr>
      <w:tr>
        <w:tc>
          <w:tcPr>
            <w:tcW w:type="dxa" w:w="3408"/>
          </w:tcPr>
          <w:p>
            <w:hyperlink r:id="rId53">
              <w:r>
                <w:rPr>
                  <w:color w:val="0000EE"/>
                  <w:u w:val="single"/>
                </w:rPr>
                <w:t>1.2.4 Captions (Live)</w:t>
              </w:r>
            </w:hyperlink>
            <w:r>
              <w:rPr>
                <w:b/>
              </w:rPr>
              <w:t xml:space="preserve"> </w:t>
            </w:r>
            <w:r>
              <w:rPr>
                <w:b/>
              </w:rPr>
              <w:t>(Level AA)</w:t>
            </w:r>
            <w:r>
              <w:rPr>
                <w:b/>
              </w:rPr>
              <w:t xml:space="preserve"> </w:t>
            </w:r>
            <w:hyperlink r:id="rId53">
              <w:r>
                <w:rPr>
                  <w:color w:val="0000EE"/>
                  <w:u w:val="single"/>
                </w:rPr>
                <w:t>Understanding</w:t>
              </w:r>
            </w:hyperlink>
          </w:p>
        </w:tc>
        <w:tc>
          <w:tcPr>
            <w:tcW w:type="dxa" w:w="3408"/>
            <w:shd w:val="clear" w:fill="EEF1F4"/>
          </w:tcPr>
          <w:p>
            <w:r>
              <w:t>Not Applicable</w:t>
            </w:r>
          </w:p>
        </w:tc>
        <w:tc>
          <w:tcPr>
            <w:tcW w:type="dxa" w:w="3408"/>
          </w:tcPr>
          <w:p>
            <w:r/>
            <w:r>
              <w:t>No live audio or video in the product.</w:t>
            </w:r>
          </w:p>
        </w:tc>
      </w:tr>
      <w:tr>
        <w:tc>
          <w:tcPr>
            <w:tcW w:type="dxa" w:w="3408"/>
          </w:tcPr>
          <w:p>
            <w:hyperlink r:id="rId54">
              <w:r>
                <w:rPr>
                  <w:color w:val="0000EE"/>
                  <w:u w:val="single"/>
                </w:rPr>
                <w:t>1.2.5 Audio Description (Prerecorded)</w:t>
              </w:r>
            </w:hyperlink>
            <w:r>
              <w:rPr>
                <w:b/>
              </w:rPr>
              <w:t xml:space="preserve"> </w:t>
            </w:r>
            <w:r>
              <w:rPr>
                <w:b/>
              </w:rPr>
              <w:t>(Level AA)</w:t>
            </w:r>
            <w:r>
              <w:rPr>
                <w:b/>
              </w:rPr>
              <w:t xml:space="preserve"> </w:t>
            </w:r>
            <w:hyperlink r:id="rId54">
              <w:r>
                <w:rPr>
                  <w:color w:val="0000EE"/>
                  <w:u w:val="single"/>
                </w:rPr>
                <w:t>Understanding</w:t>
              </w:r>
            </w:hyperlink>
          </w:p>
        </w:tc>
        <w:tc>
          <w:tcPr>
            <w:tcW w:type="dxa" w:w="3408"/>
            <w:shd w:val="clear" w:fill="EEF1F4"/>
          </w:tcPr>
          <w:p>
            <w:r>
              <w:t>Not Applicable</w:t>
            </w:r>
          </w:p>
        </w:tc>
        <w:tc>
          <w:tcPr>
            <w:tcW w:type="dxa" w:w="3408"/>
          </w:tcPr>
          <w:p>
            <w:r/>
            <w:r>
              <w:t>Not present in the evaluated sample.</w:t>
            </w:r>
          </w:p>
        </w:tc>
      </w:tr>
      <w:tr>
        <w:tc>
          <w:tcPr>
            <w:tcW w:type="dxa" w:w="3408"/>
          </w:tcPr>
          <w:p>
            <w:hyperlink r:id="rId55">
              <w:r>
                <w:rPr>
                  <w:color w:val="0000EE"/>
                  <w:u w:val="single"/>
                </w:rPr>
                <w:t>1.3.4 Orientation</w:t>
              </w:r>
            </w:hyperlink>
            <w:r>
              <w:rPr>
                <w:b/>
              </w:rPr>
              <w:t xml:space="preserve"> </w:t>
            </w:r>
            <w:r>
              <w:rPr>
                <w:b/>
              </w:rPr>
              <w:t>(Level AA)</w:t>
            </w:r>
            <w:r>
              <w:rPr>
                <w:b/>
              </w:rPr>
              <w:t xml:space="preserve"> </w:t>
            </w:r>
            <w:r>
              <w:rPr>
                <w:b/>
              </w:rPr>
              <w:t>WCAG 2.1</w:t>
            </w:r>
            <w:r>
              <w:rPr>
                <w:b/>
              </w:rPr>
              <w:t xml:space="preserve"> </w:t>
            </w:r>
            <w:hyperlink r:id="rId55">
              <w:r>
                <w:rPr>
                  <w:color w:val="0000EE"/>
                  <w:u w:val="single"/>
                </w:rPr>
                <w:t>Understanding</w:t>
              </w:r>
            </w:hyperlink>
          </w:p>
        </w:tc>
        <w:tc>
          <w:tcPr>
            <w:tcW w:type="dxa" w:w="3408"/>
            <w:shd w:val="clear" w:fill="E6F4EC"/>
          </w:tcPr>
          <w:p>
            <w:r>
              <w:t>Supports</w:t>
            </w:r>
          </w:p>
        </w:tc>
        <w:tc>
          <w:tcPr>
            <w:tcW w:type="dxa" w:w="3408"/>
          </w:tcPr>
          <w:p>
            <w:r/>
            <w:r>
              <w:t>The view works in both portrait and landscape — verified on all pages tested.</w:t>
            </w:r>
          </w:p>
        </w:tc>
      </w:tr>
      <w:tr>
        <w:tc>
          <w:tcPr>
            <w:tcW w:type="dxa" w:w="3408"/>
          </w:tcPr>
          <w:p>
            <w:hyperlink r:id="rId56">
              <w:r>
                <w:rPr>
                  <w:color w:val="0000EE"/>
                  <w:u w:val="single"/>
                </w:rPr>
                <w:t>1.3.5 Identify Input Purpose</w:t>
              </w:r>
            </w:hyperlink>
            <w:r>
              <w:rPr>
                <w:b/>
              </w:rPr>
              <w:t xml:space="preserve"> </w:t>
            </w:r>
            <w:r>
              <w:rPr>
                <w:b/>
              </w:rPr>
              <w:t>(Level AA)</w:t>
            </w:r>
            <w:r>
              <w:rPr>
                <w:b/>
              </w:rPr>
              <w:t xml:space="preserve"> </w:t>
            </w:r>
            <w:r>
              <w:rPr>
                <w:b/>
              </w:rPr>
              <w:t>WCAG 2.1</w:t>
            </w:r>
            <w:r>
              <w:rPr>
                <w:b/>
              </w:rPr>
              <w:t xml:space="preserve"> </w:t>
            </w:r>
            <w:hyperlink r:id="rId56">
              <w:r>
                <w:rPr>
                  <w:color w:val="0000EE"/>
                  <w:u w:val="single"/>
                </w:rPr>
                <w:t>Understanding</w:t>
              </w:r>
            </w:hyperlink>
          </w:p>
        </w:tc>
        <w:tc>
          <w:tcPr>
            <w:tcW w:type="dxa" w:w="3408"/>
            <w:shd w:val="clear" w:fill="FDF3E0"/>
          </w:tcPr>
          <w:p>
            <w:r>
              <w:t>Partially Supports</w:t>
            </w:r>
          </w:p>
        </w:tc>
        <w:tc>
          <w:tcPr>
            <w:tcW w:type="dxa" w:w="3408"/>
          </w:tcPr>
          <w:p>
            <w:r/>
            <w:r>
              <w:t>No other field in the sample collects the user's own data (the instructor pages hold class and assignment data).</w:t>
            </w:r>
            <w:r>
              <w:t xml:space="preserve"> </w:t>
            </w:r>
          </w:p>
          <w:p>
            <w:pPr>
              <w:pStyle w:val="ListBullet"/>
              <w:spacing w:line="240" w:lineRule="auto"/>
              <w:ind w:left="720"/>
            </w:pPr>
            <w:r/>
            <w:r>
              <w:rPr>
                <w:b/>
              </w:rPr>
              <w:t>Sign in</w:t>
            </w:r>
            <w:r>
              <w:t xml:space="preserve"> — The sign-in user-name field carries no autocomplete token, so browsers and assistive technology cannot identify its purpose to fill it automatically.</w:t>
            </w:r>
            <w:r>
              <w:t>Minor</w:t>
            </w:r>
          </w:p>
        </w:tc>
      </w:tr>
      <w:tr>
        <w:tc>
          <w:tcPr>
            <w:tcW w:type="dxa" w:w="3408"/>
          </w:tcPr>
          <w:p>
            <w:hyperlink r:id="rId57">
              <w:r>
                <w:rPr>
                  <w:color w:val="0000EE"/>
                  <w:u w:val="single"/>
                </w:rPr>
                <w:t>1.4.3 Contrast (Minimum)</w:t>
              </w:r>
            </w:hyperlink>
            <w:r>
              <w:rPr>
                <w:b/>
              </w:rPr>
              <w:t xml:space="preserve"> </w:t>
            </w:r>
            <w:r>
              <w:rPr>
                <w:b/>
              </w:rPr>
              <w:t>(Level AA)</w:t>
            </w:r>
            <w:r>
              <w:rPr>
                <w:b/>
              </w:rPr>
              <w:t xml:space="preserve"> </w:t>
            </w:r>
            <w:hyperlink r:id="rId57">
              <w:r>
                <w:rPr>
                  <w:color w:val="0000EE"/>
                  <w:u w:val="single"/>
                </w:rPr>
                <w:t>Understanding</w:t>
              </w:r>
            </w:hyperlink>
          </w:p>
        </w:tc>
        <w:tc>
          <w:tcPr>
            <w:tcW w:type="dxa" w:w="3408"/>
            <w:shd w:val="clear" w:fill="FDF3E0"/>
          </w:tcPr>
          <w:p>
            <w:r>
              <w:t>Partially Supports</w:t>
            </w:r>
          </w:p>
        </w:tc>
        <w:tc>
          <w:tcPr>
            <w:tcW w:type="dxa" w:w="3408"/>
          </w:tcPr>
          <w:p>
            <w:r/>
            <w:r>
              <w:t xml:space="preserve">Most body text and controls pass; the product's section-heading and caption colours (orange </w:t>
            </w:r>
            <w:r>
              <w:rPr>
                <w:rFonts w:ascii="Courier" w:hAnsi="Courier"/>
              </w:rPr>
              <w:t>#EFBB75</w:t>
            </w:r>
            <w:r>
              <w:t xml:space="preserve"> 1.74:1, </w:t>
            </w:r>
            <w:r>
              <w:rPr>
                <w:rFonts w:ascii="Courier" w:hAnsi="Courier"/>
              </w:rPr>
              <w:t>#E58F65</w:t>
            </w:r>
            <w:r>
              <w:t xml:space="preserve"> 2.48:1, </w:t>
            </w:r>
            <w:r>
              <w:rPr>
                <w:rFonts w:ascii="Courier" w:hAnsi="Courier"/>
              </w:rPr>
              <w:t>#DB715C</w:t>
            </w:r>
            <w:r>
              <w:t xml:space="preserve"> 3.21:1, teal </w:t>
            </w:r>
            <w:r>
              <w:rPr>
                <w:rFonts w:ascii="Courier" w:hAnsi="Courier"/>
              </w:rPr>
              <w:t>#48848C</w:t>
            </w:r>
            <w:r>
              <w:t xml:space="preserve"> 4.23:1), its grey 12 px notice text (</w:t>
            </w:r>
            <w:r>
              <w:rPr>
                <w:rFonts w:ascii="Courier" w:hAnsi="Courier"/>
              </w:rPr>
              <w:t>#808080</w:t>
            </w:r>
            <w:r>
              <w:t xml:space="preserve"> 3.94:1) and the coloured values students act on (deduction % </w:t>
            </w:r>
            <w:r>
              <w:rPr>
                <w:rFonts w:ascii="Courier" w:hAnsi="Courier"/>
              </w:rPr>
              <w:t>#FF9900</w:t>
            </w:r>
            <w:r>
              <w:t xml:space="preserve"> 2.14:1; red variable/MathJax values 2.94–3.99:1) fall below 4.5:1.</w:t>
            </w:r>
            <w:r>
              <w:t xml:space="preserve"> </w:t>
            </w:r>
          </w:p>
          <w:p>
            <w:pPr>
              <w:pStyle w:val="ListBullet"/>
              <w:spacing w:line="240" w:lineRule="auto"/>
              <w:ind w:left="720"/>
            </w:pPr>
            <w:r/>
            <w:r>
              <w:rPr>
                <w:b/>
              </w:rPr>
              <w:t>Class Management (standard mode)</w:t>
            </w:r>
            <w:r>
              <w:t xml:space="preserve"> and 7 other pages</w:t>
            </w:r>
            <w:r>
              <w:t xml:space="preserve"> — Section headings, deduction percentages and randomised values fall below the required contrast, so a low-vision user cannot read the numbers a task depends on.</w:t>
            </w:r>
            <w:r>
              <w:t>Major</w:t>
            </w:r>
          </w:p>
          <w:p>
            <w:pPr>
              <w:pStyle w:val="ListBullet"/>
              <w:spacing w:line="240" w:lineRule="auto"/>
              <w:ind w:left="720"/>
            </w:pPr>
            <w:r/>
            <w:r>
              <w:rPr>
                <w:b/>
              </w:rPr>
              <w:t>Take Assignment</w:t>
            </w:r>
            <w:r>
              <w:t xml:space="preserve"> and 3 other pages</w:t>
            </w:r>
            <w:r>
              <w:t xml:space="preserve"> — The problem figures are low-resolution images containing text, so they blur at high zoom and the mathematics inside them becomes unreadable.</w:t>
            </w:r>
            <w:r>
              <w:t>Major</w:t>
            </w:r>
          </w:p>
        </w:tc>
      </w:tr>
      <w:tr>
        <w:tc>
          <w:tcPr>
            <w:tcW w:type="dxa" w:w="3408"/>
          </w:tcPr>
          <w:p>
            <w:hyperlink r:id="rId58">
              <w:r>
                <w:rPr>
                  <w:color w:val="0000EE"/>
                  <w:u w:val="single"/>
                </w:rPr>
                <w:t>1.4.4 Resize Text</w:t>
              </w:r>
            </w:hyperlink>
            <w:r>
              <w:rPr>
                <w:b/>
              </w:rPr>
              <w:t xml:space="preserve"> </w:t>
            </w:r>
            <w:r>
              <w:rPr>
                <w:b/>
              </w:rPr>
              <w:t>(Level AA)</w:t>
            </w:r>
            <w:r>
              <w:rPr>
                <w:b/>
              </w:rPr>
              <w:t xml:space="preserve"> </w:t>
            </w:r>
            <w:hyperlink r:id="rId58">
              <w:r>
                <w:rPr>
                  <w:color w:val="0000EE"/>
                  <w:u w:val="single"/>
                </w:rPr>
                <w:t>Understanding</w:t>
              </w:r>
            </w:hyperlink>
          </w:p>
        </w:tc>
        <w:tc>
          <w:tcPr>
            <w:tcW w:type="dxa" w:w="3408"/>
            <w:shd w:val="clear" w:fill="FDF3E0"/>
          </w:tcPr>
          <w:p>
            <w:r>
              <w:t>Partially Supports</w:t>
            </w:r>
          </w:p>
        </w:tc>
        <w:tc>
          <w:tcPr>
            <w:tcW w:type="dxa" w:w="3408"/>
          </w:tcPr>
          <w:p>
            <w:r/>
            <w:r>
              <w:t>Text resizes to 400 % without loss on Class Management (both modes), Take Assignment, View Grade Report and the Assignment Editor.</w:t>
            </w:r>
            <w:r>
              <w:t xml:space="preserve"> </w:t>
            </w:r>
          </w:p>
          <w:p>
            <w:pPr>
              <w:pStyle w:val="ListBullet"/>
              <w:spacing w:line="240" w:lineRule="auto"/>
              <w:ind w:left="720"/>
            </w:pPr>
            <w:r/>
            <w:r>
              <w:rPr>
                <w:b/>
              </w:rPr>
              <w:t>Edit Class popup</w:t>
            </w:r>
            <w:r>
              <w:t xml:space="preserve"> — The Edit Class popup is fixed in size and the page behind it cannot scroll, so above 175 per cent zoom its fields and buttons cannot be reached at all.</w:t>
            </w:r>
            <w:r>
              <w:t>Major</w:t>
            </w:r>
          </w:p>
        </w:tc>
      </w:tr>
      <w:tr>
        <w:tc>
          <w:tcPr>
            <w:tcW w:type="dxa" w:w="3408"/>
          </w:tcPr>
          <w:p>
            <w:hyperlink r:id="rId59">
              <w:r>
                <w:rPr>
                  <w:color w:val="0000EE"/>
                  <w:u w:val="single"/>
                </w:rPr>
                <w:t>1.4.5 Images of Text</w:t>
              </w:r>
            </w:hyperlink>
            <w:r>
              <w:rPr>
                <w:b/>
              </w:rPr>
              <w:t xml:space="preserve"> </w:t>
            </w:r>
            <w:r>
              <w:rPr>
                <w:b/>
              </w:rPr>
              <w:t>(Level AA)</w:t>
            </w:r>
            <w:r>
              <w:rPr>
                <w:b/>
              </w:rPr>
              <w:t xml:space="preserve"> </w:t>
            </w:r>
            <w:hyperlink r:id="rId59">
              <w:r>
                <w:rPr>
                  <w:color w:val="0000EE"/>
                  <w:u w:val="single"/>
                </w:rPr>
                <w:t>Understanding</w:t>
              </w:r>
            </w:hyperlink>
          </w:p>
        </w:tc>
        <w:tc>
          <w:tcPr>
            <w:tcW w:type="dxa" w:w="3408"/>
            <w:shd w:val="clear" w:fill="FDF3E0"/>
          </w:tcPr>
          <w:p>
            <w:r>
              <w:t>Partially Supports</w:t>
            </w:r>
          </w:p>
        </w:tc>
        <w:tc>
          <w:tcPr>
            <w:tcW w:type="dxa" w:w="3408"/>
          </w:tcPr>
          <w:p>
            <w:r/>
            <w:r>
              <w:t>The problem figures on Take Assignment (and the same images on the solutions and printable views) are raster images containing mathematical text that blurs at 400 % zoom; the image form is not essential — the page renders its other mathematics as MathJax text.</w:t>
            </w:r>
            <w:r>
              <w:t xml:space="preserve"> </w:t>
            </w:r>
          </w:p>
          <w:p>
            <w:pPr>
              <w:pStyle w:val="ListBullet"/>
              <w:spacing w:line="240" w:lineRule="auto"/>
              <w:ind w:left="720"/>
            </w:pPr>
            <w:r/>
            <w:r>
              <w:rPr>
                <w:b/>
              </w:rPr>
              <w:t>Take Assignment</w:t>
            </w:r>
            <w:r>
              <w:t xml:space="preserve"> and 3 other pages</w:t>
            </w:r>
            <w:r>
              <w:t xml:space="preserve"> — The problem figures are low-resolution images containing text, so they blur at high zoom and the mathematics inside them becomes unreadable.</w:t>
            </w:r>
            <w:r>
              <w:t>Major</w:t>
            </w:r>
          </w:p>
        </w:tc>
      </w:tr>
      <w:tr>
        <w:tc>
          <w:tcPr>
            <w:tcW w:type="dxa" w:w="3408"/>
          </w:tcPr>
          <w:p>
            <w:hyperlink r:id="rId60">
              <w:r>
                <w:rPr>
                  <w:color w:val="0000EE"/>
                  <w:u w:val="single"/>
                </w:rPr>
                <w:t>1.4.10 Reflow</w:t>
              </w:r>
            </w:hyperlink>
            <w:r>
              <w:rPr>
                <w:b/>
              </w:rPr>
              <w:t xml:space="preserve"> </w:t>
            </w:r>
            <w:r>
              <w:rPr>
                <w:b/>
              </w:rPr>
              <w:t>(Level AA)</w:t>
            </w:r>
            <w:r>
              <w:rPr>
                <w:b/>
              </w:rPr>
              <w:t xml:space="preserve"> </w:t>
            </w:r>
            <w:r>
              <w:rPr>
                <w:b/>
              </w:rPr>
              <w:t>WCAG 2.1</w:t>
            </w:r>
            <w:r>
              <w:rPr>
                <w:b/>
              </w:rPr>
              <w:t xml:space="preserve"> </w:t>
            </w:r>
            <w:hyperlink r:id="rId60">
              <w:r>
                <w:rPr>
                  <w:color w:val="0000EE"/>
                  <w:u w:val="single"/>
                </w:rPr>
                <w:t>Understanding</w:t>
              </w:r>
            </w:hyperlink>
          </w:p>
        </w:tc>
        <w:tc>
          <w:tcPr>
            <w:tcW w:type="dxa" w:w="3408"/>
            <w:shd w:val="clear" w:fill="FCEBED"/>
          </w:tcPr>
          <w:p>
            <w:r>
              <w:t>Does Not Support</w:t>
            </w:r>
          </w:p>
        </w:tc>
        <w:tc>
          <w:tcPr>
            <w:tcW w:type="dxa" w:w="3408"/>
          </w:tcPr>
          <w:p>
            <w:r/>
            <w:r>
              <w:t>Product-wide: a fixed 1300 px container on every sampled page, so nothing reflows at 320 CSS px / 400 % zoom ( measured fail on all 14 low-vision runs; reviewer confirmed at real 400 % zoom on Class Management and Take Assignment,: nothing is hidden or lost at 400%, but no reflow).</w:t>
            </w:r>
            <w:r>
              <w:t xml:space="preserve"> </w:t>
            </w:r>
          </w:p>
          <w:p>
            <w:pPr>
              <w:pStyle w:val="ListBullet"/>
              <w:spacing w:line="240" w:lineRule="auto"/>
              <w:ind w:left="720"/>
            </w:pPr>
            <w:r/>
            <w:r>
              <w:rPr>
                <w:b/>
              </w:rPr>
              <w:t>Class Management (standard mode)</w:t>
            </w:r>
            <w:r>
              <w:t xml:space="preserve"> and 4 other pages</w:t>
            </w:r>
            <w:r>
              <w:t xml:space="preserve"> — Every page is fixed at 1300 pixels wide and does not reflow, so a low-vision user at high zoom must scroll horizontally to read any line.</w:t>
            </w:r>
            <w:r>
              <w:t>Major</w:t>
            </w:r>
          </w:p>
          <w:p>
            <w:pPr>
              <w:pStyle w:val="ListBullet"/>
              <w:spacing w:line="240" w:lineRule="auto"/>
              <w:ind w:left="720"/>
            </w:pPr>
            <w:r/>
            <w:r>
              <w:rPr>
                <w:b/>
              </w:rPr>
              <w:t>Edit Class popup</w:t>
            </w:r>
            <w:r>
              <w:t xml:space="preserve"> — The Edit Class popup is fixed in size and the page behind it cannot scroll, so above 175 per cent zoom its fields and buttons cannot be reached at all.</w:t>
            </w:r>
            <w:r>
              <w:t>Major</w:t>
            </w:r>
          </w:p>
        </w:tc>
      </w:tr>
      <w:tr>
        <w:tc>
          <w:tcPr>
            <w:tcW w:type="dxa" w:w="3408"/>
          </w:tcPr>
          <w:p>
            <w:hyperlink r:id="rId61">
              <w:r>
                <w:rPr>
                  <w:color w:val="0000EE"/>
                  <w:u w:val="single"/>
                </w:rPr>
                <w:t>1.4.11 Non-text Contrast</w:t>
              </w:r>
            </w:hyperlink>
            <w:r>
              <w:rPr>
                <w:b/>
              </w:rPr>
              <w:t xml:space="preserve"> </w:t>
            </w:r>
            <w:r>
              <w:rPr>
                <w:b/>
              </w:rPr>
              <w:t>(Level AA)</w:t>
            </w:r>
            <w:r>
              <w:rPr>
                <w:b/>
              </w:rPr>
              <w:t xml:space="preserve"> </w:t>
            </w:r>
            <w:r>
              <w:rPr>
                <w:b/>
              </w:rPr>
              <w:t>WCAG 2.1</w:t>
            </w:r>
            <w:r>
              <w:rPr>
                <w:b/>
              </w:rPr>
              <w:t xml:space="preserve"> </w:t>
            </w:r>
            <w:hyperlink r:id="rId61">
              <w:r>
                <w:rPr>
                  <w:color w:val="0000EE"/>
                  <w:u w:val="single"/>
                </w:rPr>
                <w:t>Understanding</w:t>
              </w:r>
            </w:hyperlink>
          </w:p>
        </w:tc>
        <w:tc>
          <w:tcPr>
            <w:tcW w:type="dxa" w:w="3408"/>
            <w:shd w:val="clear" w:fill="FDF3E0"/>
          </w:tcPr>
          <w:p>
            <w:r>
              <w:t>Partially Supports</w:t>
            </w:r>
          </w:p>
        </w:tc>
        <w:tc>
          <w:tcPr>
            <w:tcW w:type="dxa" w:w="3408"/>
          </w:tcPr>
          <w:p>
            <w:r/>
            <w:r>
              <w:t>Controls pass 3:1 on Class Management (both modes), Take Assignment and the Assignment Editor.</w:t>
            </w:r>
            <w:r>
              <w:t xml:space="preserve"> </w:t>
            </w:r>
          </w:p>
          <w:p>
            <w:pPr>
              <w:pStyle w:val="ListBullet"/>
              <w:spacing w:line="240" w:lineRule="auto"/>
              <w:ind w:left="720"/>
            </w:pPr>
            <w:r/>
            <w:r>
              <w:rPr>
                <w:b/>
              </w:rPr>
              <w:t>View Grade Report</w:t>
            </w:r>
            <w:r>
              <w:t xml:space="preserve">, </w:t>
            </w:r>
            <w:r>
              <w:rPr>
                <w:b/>
              </w:rPr>
              <w:t>Calendar</w:t>
            </w:r>
            <w:r>
              <w:t xml:space="preserve"> — The grade tables and calendar grid draw their rules below the required contrast, so a low-vision user loses the boundaries between cells.</w:t>
            </w:r>
            <w:r>
              <w:t>Minor</w:t>
            </w:r>
          </w:p>
        </w:tc>
      </w:tr>
      <w:tr>
        <w:tc>
          <w:tcPr>
            <w:tcW w:type="dxa" w:w="3408"/>
          </w:tcPr>
          <w:p>
            <w:hyperlink r:id="rId62">
              <w:r>
                <w:rPr>
                  <w:color w:val="0000EE"/>
                  <w:u w:val="single"/>
                </w:rPr>
                <w:t>1.4.12 Text Spacing</w:t>
              </w:r>
            </w:hyperlink>
            <w:r>
              <w:rPr>
                <w:b/>
              </w:rPr>
              <w:t xml:space="preserve"> </w:t>
            </w:r>
            <w:r>
              <w:rPr>
                <w:b/>
              </w:rPr>
              <w:t>(Level AA)</w:t>
            </w:r>
            <w:r>
              <w:rPr>
                <w:b/>
              </w:rPr>
              <w:t xml:space="preserve"> </w:t>
            </w:r>
            <w:r>
              <w:rPr>
                <w:b/>
              </w:rPr>
              <w:t>WCAG 2.1</w:t>
            </w:r>
            <w:r>
              <w:rPr>
                <w:b/>
              </w:rPr>
              <w:t xml:space="preserve"> </w:t>
            </w:r>
            <w:hyperlink r:id="rId62">
              <w:r>
                <w:rPr>
                  <w:color w:val="0000EE"/>
                  <w:u w:val="single"/>
                </w:rPr>
                <w:t>Understanding</w:t>
              </w:r>
            </w:hyperlink>
          </w:p>
        </w:tc>
        <w:tc>
          <w:tcPr>
            <w:tcW w:type="dxa" w:w="3408"/>
            <w:shd w:val="clear" w:fill="E6F4EC"/>
          </w:tcPr>
          <w:p>
            <w:r>
              <w:t>Supports</w:t>
            </w:r>
          </w:p>
        </w:tc>
        <w:tc>
          <w:tcPr>
            <w:tcW w:type="dxa" w:w="3408"/>
          </w:tcPr>
          <w:p>
            <w:r/>
            <w:r>
              <w:t>The view tolerates text-spacing overrides without loss — verified on all pages tested.</w:t>
            </w:r>
          </w:p>
        </w:tc>
      </w:tr>
      <w:tr>
        <w:tc>
          <w:tcPr>
            <w:tcW w:type="dxa" w:w="3408"/>
          </w:tcPr>
          <w:p>
            <w:hyperlink r:id="rId63">
              <w:r>
                <w:rPr>
                  <w:color w:val="0000EE"/>
                  <w:u w:val="single"/>
                </w:rPr>
                <w:t>1.4.13 Content on Hover or Focus</w:t>
              </w:r>
            </w:hyperlink>
            <w:r>
              <w:rPr>
                <w:b/>
              </w:rPr>
              <w:t xml:space="preserve"> </w:t>
            </w:r>
            <w:r>
              <w:rPr>
                <w:b/>
              </w:rPr>
              <w:t>(Level AA)</w:t>
            </w:r>
            <w:r>
              <w:rPr>
                <w:b/>
              </w:rPr>
              <w:t xml:space="preserve"> </w:t>
            </w:r>
            <w:r>
              <w:rPr>
                <w:b/>
              </w:rPr>
              <w:t>WCAG 2.1</w:t>
            </w:r>
            <w:r>
              <w:rPr>
                <w:b/>
              </w:rPr>
              <w:t xml:space="preserve"> </w:t>
            </w:r>
            <w:hyperlink r:id="rId63">
              <w:r>
                <w:rPr>
                  <w:color w:val="0000EE"/>
                  <w:u w:val="single"/>
                </w:rPr>
                <w:t>Understanding</w:t>
              </w:r>
            </w:hyperlink>
          </w:p>
        </w:tc>
        <w:tc>
          <w:tcPr>
            <w:tcW w:type="dxa" w:w="3408"/>
            <w:shd w:val="clear" w:fill="E6F4EC"/>
          </w:tcPr>
          <w:p>
            <w:r>
              <w:t>Supports</w:t>
            </w:r>
          </w:p>
        </w:tc>
        <w:tc>
          <w:tcPr>
            <w:tcW w:type="dxa" w:w="3408"/>
          </w:tcPr>
          <w:p>
            <w:r/>
            <w:r>
              <w:t>Content appearing on hover/focus is dismissible, hoverable, persistent — verified on all pages tested.</w:t>
            </w:r>
          </w:p>
        </w:tc>
      </w:tr>
      <w:tr>
        <w:tc>
          <w:tcPr>
            <w:tcW w:type="dxa" w:w="3408"/>
          </w:tcPr>
          <w:p>
            <w:hyperlink r:id="rId64">
              <w:r>
                <w:rPr>
                  <w:color w:val="0000EE"/>
                  <w:u w:val="single"/>
                </w:rPr>
                <w:t>2.4.5 Multiple Ways</w:t>
              </w:r>
            </w:hyperlink>
            <w:r>
              <w:rPr>
                <w:b/>
              </w:rPr>
              <w:t xml:space="preserve"> </w:t>
            </w:r>
            <w:r>
              <w:rPr>
                <w:b/>
              </w:rPr>
              <w:t>(Level AA)</w:t>
            </w:r>
            <w:r>
              <w:rPr>
                <w:b/>
              </w:rPr>
              <w:t xml:space="preserve"> </w:t>
            </w:r>
            <w:hyperlink r:id="rId64">
              <w:r>
                <w:rPr>
                  <w:color w:val="0000EE"/>
                  <w:u w:val="single"/>
                </w:rPr>
                <w:t>Understanding</w:t>
              </w:r>
            </w:hyperlink>
          </w:p>
        </w:tc>
        <w:tc>
          <w:tcPr>
            <w:tcW w:type="dxa" w:w="3408"/>
            <w:shd w:val="clear" w:fill="FCEBED"/>
          </w:tcPr>
          <w:p>
            <w:r>
              <w:t>Does Not Support</w:t>
            </w:r>
          </w:p>
        </w:tc>
        <w:tc>
          <w:tcPr>
            <w:tcW w:type="dxa" w:w="3408"/>
          </w:tcPr>
          <w:p>
            <w:r/>
            <w:r>
              <w:t>Fails on all 10 views.</w:t>
            </w:r>
          </w:p>
        </w:tc>
      </w:tr>
      <w:tr>
        <w:tc>
          <w:tcPr>
            <w:tcW w:type="dxa" w:w="3408"/>
          </w:tcPr>
          <w:p>
            <w:hyperlink r:id="rId65">
              <w:r>
                <w:rPr>
                  <w:color w:val="0000EE"/>
                  <w:u w:val="single"/>
                </w:rPr>
                <w:t>2.4.6 Headings and Labels</w:t>
              </w:r>
            </w:hyperlink>
            <w:r>
              <w:rPr>
                <w:b/>
              </w:rPr>
              <w:t xml:space="preserve"> </w:t>
            </w:r>
            <w:r>
              <w:rPr>
                <w:b/>
              </w:rPr>
              <w:t>(Level AA)</w:t>
            </w:r>
            <w:r>
              <w:rPr>
                <w:b/>
              </w:rPr>
              <w:t xml:space="preserve"> </w:t>
            </w:r>
            <w:hyperlink r:id="rId65">
              <w:r>
                <w:rPr>
                  <w:color w:val="0000EE"/>
                  <w:u w:val="single"/>
                </w:rPr>
                <w:t>Understanding</w:t>
              </w:r>
            </w:hyperlink>
          </w:p>
        </w:tc>
        <w:tc>
          <w:tcPr>
            <w:tcW w:type="dxa" w:w="3408"/>
            <w:shd w:val="clear" w:fill="E6F4EC"/>
          </w:tcPr>
          <w:p>
            <w:r>
              <w:t>Supports</w:t>
            </w:r>
          </w:p>
        </w:tc>
        <w:tc>
          <w:tcPr>
            <w:tcW w:type="dxa" w:w="3408"/>
          </w:tcPr>
          <w:p>
            <w:r/>
            <w:r>
              <w:t>Headings and landmarks exist, are hierarchical, and support navigation — verified on 1 of the 10 pages tested.</w:t>
            </w:r>
          </w:p>
        </w:tc>
      </w:tr>
      <w:tr>
        <w:tc>
          <w:tcPr>
            <w:tcW w:type="dxa" w:w="3408"/>
          </w:tcPr>
          <w:p>
            <w:hyperlink r:id="rId66">
              <w:r>
                <w:rPr>
                  <w:color w:val="0000EE"/>
                  <w:u w:val="single"/>
                </w:rPr>
                <w:t>2.4.7 Focus Visible</w:t>
              </w:r>
            </w:hyperlink>
            <w:r>
              <w:rPr>
                <w:b/>
              </w:rPr>
              <w:t xml:space="preserve"> </w:t>
            </w:r>
            <w:r>
              <w:rPr>
                <w:b/>
              </w:rPr>
              <w:t>(Level AA)</w:t>
            </w:r>
            <w:r>
              <w:rPr>
                <w:b/>
              </w:rPr>
              <w:t xml:space="preserve"> </w:t>
            </w:r>
            <w:hyperlink r:id="rId66">
              <w:r>
                <w:rPr>
                  <w:color w:val="0000EE"/>
                  <w:u w:val="single"/>
                </w:rPr>
                <w:t>Understanding</w:t>
              </w:r>
            </w:hyperlink>
          </w:p>
        </w:tc>
        <w:tc>
          <w:tcPr>
            <w:tcW w:type="dxa" w:w="3408"/>
            <w:shd w:val="clear" w:fill="FDF3E0"/>
          </w:tcPr>
          <w:p>
            <w:r>
              <w:t>Partially Supports</w:t>
            </w:r>
          </w:p>
        </w:tc>
        <w:tc>
          <w:tcPr>
            <w:tcW w:type="dxa" w:w="3408"/>
          </w:tcPr>
          <w:p>
            <w:r/>
            <w:r>
              <w:t>Focus is visible on every Tab stop of Take Assignment ( keyboard) and at 400 % zoom on Class Management, Take Assignment, View Grade Report, the Calendar and Sign in .</w:t>
            </w:r>
            <w:r>
              <w:t xml:space="preserve"> </w:t>
            </w:r>
          </w:p>
          <w:p>
            <w:pPr>
              <w:pStyle w:val="ListBullet"/>
              <w:spacing w:line="240" w:lineRule="auto"/>
              <w:ind w:left="720"/>
            </w:pPr>
            <w:r/>
            <w:r>
              <w:rPr>
                <w:b/>
              </w:rPr>
              <w:t>Student Practice Area</w:t>
            </w:r>
            <w:r>
              <w:t xml:space="preserve"> — Nothing in the Student Practice Area takes keyboard focus and the page has no headings, so a keyboard or screen-reader user cannot choose a book, a chapter or a problem.</w:t>
            </w:r>
            <w:r>
              <w:t>Blocker</w:t>
            </w:r>
          </w:p>
        </w:tc>
      </w:tr>
      <w:tr>
        <w:tc>
          <w:tcPr>
            <w:tcW w:type="dxa" w:w="3408"/>
          </w:tcPr>
          <w:p>
            <w:hyperlink r:id="rId67">
              <w:r>
                <w:rPr>
                  <w:color w:val="0000EE"/>
                  <w:u w:val="single"/>
                </w:rPr>
                <w:t>2.4.11 Focus Not Obscured (Minimum)</w:t>
              </w:r>
            </w:hyperlink>
            <w:r>
              <w:rPr>
                <w:b/>
              </w:rPr>
              <w:t xml:space="preserve"> </w:t>
            </w:r>
            <w:r>
              <w:rPr>
                <w:b/>
              </w:rPr>
              <w:t>(Level AA)</w:t>
            </w:r>
            <w:r>
              <w:rPr>
                <w:b/>
              </w:rPr>
              <w:t xml:space="preserve"> </w:t>
            </w:r>
            <w:r>
              <w:rPr>
                <w:b/>
              </w:rPr>
              <w:t>WCAG 2.2</w:t>
            </w:r>
            <w:r>
              <w:rPr>
                <w:b/>
              </w:rPr>
              <w:t xml:space="preserve"> </w:t>
            </w:r>
            <w:hyperlink r:id="rId67">
              <w:r>
                <w:rPr>
                  <w:color w:val="0000EE"/>
                  <w:u w:val="single"/>
                </w:rPr>
                <w:t>Understanding</w:t>
              </w:r>
            </w:hyperlink>
          </w:p>
        </w:tc>
        <w:tc>
          <w:tcPr>
            <w:tcW w:type="dxa" w:w="3408"/>
            <w:shd w:val="clear" w:fill="FDF3E0"/>
          </w:tcPr>
          <w:p>
            <w:r>
              <w:t>Partially Supports</w:t>
            </w:r>
          </w:p>
        </w:tc>
        <w:tc>
          <w:tcPr>
            <w:tcW w:type="dxa" w:w="3408"/>
          </w:tcPr>
          <w:p>
            <w:r/>
            <w:r>
              <w:t>Nothing sticky or floating hides the focused element: at 400 % zoom the focus ring stayed visible and unobscured on Class Management (both modes), Take Assignment, View Grade Report, the Calendar and Sign in.</w:t>
            </w:r>
          </w:p>
        </w:tc>
      </w:tr>
      <w:tr>
        <w:tc>
          <w:tcPr>
            <w:tcW w:type="dxa" w:w="3408"/>
          </w:tcPr>
          <w:p>
            <w:hyperlink r:id="rId68">
              <w:r>
                <w:rPr>
                  <w:color w:val="0000EE"/>
                  <w:u w:val="single"/>
                </w:rPr>
                <w:t>2.5.7 Dragging Movements</w:t>
              </w:r>
            </w:hyperlink>
            <w:r>
              <w:rPr>
                <w:b/>
              </w:rPr>
              <w:t xml:space="preserve"> </w:t>
            </w:r>
            <w:r>
              <w:rPr>
                <w:b/>
              </w:rPr>
              <w:t>(Level AA)</w:t>
            </w:r>
            <w:r>
              <w:rPr>
                <w:b/>
              </w:rPr>
              <w:t xml:space="preserve"> </w:t>
            </w:r>
            <w:r>
              <w:rPr>
                <w:b/>
              </w:rPr>
              <w:t>WCAG 2.2</w:t>
            </w:r>
            <w:r>
              <w:rPr>
                <w:b/>
              </w:rPr>
              <w:t xml:space="preserve"> </w:t>
            </w:r>
            <w:hyperlink r:id="rId68">
              <w:r>
                <w:rPr>
                  <w:color w:val="0000EE"/>
                  <w:u w:val="single"/>
                </w:rPr>
                <w:t>Understanding</w:t>
              </w:r>
            </w:hyperlink>
          </w:p>
        </w:tc>
        <w:tc>
          <w:tcPr>
            <w:tcW w:type="dxa" w:w="3408"/>
            <w:shd w:val="clear" w:fill="E6F4EC"/>
          </w:tcPr>
          <w:p>
            <w:r>
              <w:t>Supports</w:t>
            </w:r>
          </w:p>
        </w:tc>
        <w:tc>
          <w:tcPr>
            <w:tcW w:type="dxa" w:w="3408"/>
          </w:tcPr>
          <w:p>
            <w:r/>
            <w:r>
              <w:t>Dragging and multipoint/path gestures have single-pointer, non-drag alternatives — verified on 1 of the 10 pages tested.</w:t>
            </w:r>
          </w:p>
        </w:tc>
      </w:tr>
      <w:tr>
        <w:tc>
          <w:tcPr>
            <w:tcW w:type="dxa" w:w="3408"/>
          </w:tcPr>
          <w:p>
            <w:hyperlink r:id="rId69">
              <w:r>
                <w:rPr>
                  <w:color w:val="0000EE"/>
                  <w:u w:val="single"/>
                </w:rPr>
                <w:t>2.5.8 Target Size (Minimum)</w:t>
              </w:r>
            </w:hyperlink>
            <w:r>
              <w:rPr>
                <w:b/>
              </w:rPr>
              <w:t xml:space="preserve"> </w:t>
            </w:r>
            <w:r>
              <w:rPr>
                <w:b/>
              </w:rPr>
              <w:t>(Level AA)</w:t>
            </w:r>
            <w:r>
              <w:rPr>
                <w:b/>
              </w:rPr>
              <w:t xml:space="preserve"> </w:t>
            </w:r>
            <w:r>
              <w:rPr>
                <w:b/>
              </w:rPr>
              <w:t>WCAG 2.2</w:t>
            </w:r>
            <w:r>
              <w:rPr>
                <w:b/>
              </w:rPr>
              <w:t xml:space="preserve"> </w:t>
            </w:r>
            <w:hyperlink r:id="rId69">
              <w:r>
                <w:rPr>
                  <w:color w:val="0000EE"/>
                  <w:u w:val="single"/>
                </w:rPr>
                <w:t>Understanding</w:t>
              </w:r>
            </w:hyperlink>
          </w:p>
        </w:tc>
        <w:tc>
          <w:tcPr>
            <w:tcW w:type="dxa" w:w="3408"/>
            <w:shd w:val="clear" w:fill="FDF3E0"/>
          </w:tcPr>
          <w:p>
            <w:r>
              <w:t>Partially Supports</w:t>
            </w:r>
          </w:p>
        </w:tc>
        <w:tc>
          <w:tcPr>
            <w:tcW w:type="dxa" w:w="3408"/>
          </w:tcPr>
          <w:p>
            <w:r/>
            <w:r>
              <w:t>The other eleven views measured no undersized, unspaced targets.</w:t>
            </w:r>
            <w:r>
              <w:t xml:space="preserve"> </w:t>
            </w:r>
          </w:p>
          <w:p>
            <w:pPr>
              <w:pStyle w:val="ListBullet"/>
              <w:spacing w:line="240" w:lineRule="auto"/>
              <w:ind w:left="720"/>
            </w:pPr>
            <w:r/>
            <w:r>
              <w:rPr>
                <w:b/>
              </w:rPr>
              <w:t>Class Management (standard mode)</w:t>
            </w:r>
            <w:r>
              <w:t xml:space="preserve">, </w:t>
            </w:r>
            <w:r>
              <w:rPr>
                <w:b/>
              </w:rPr>
              <w:t>Take Assignment</w:t>
            </w:r>
            <w:r>
              <w:t xml:space="preserve">, </w:t>
            </w:r>
            <w:r>
              <w:rPr>
                <w:b/>
              </w:rPr>
              <w:t>Assignment Editor (edit)</w:t>
            </w:r>
            <w:r>
              <w:t xml:space="preserve"> — The row action control and the problem-navigator links are smaller than 24 pixels and sit close together, so a user with a tremor or a coarse pointer hits the wrong one.</w:t>
            </w:r>
            <w:r>
              <w:t>Minor</w:t>
            </w:r>
          </w:p>
        </w:tc>
      </w:tr>
      <w:tr>
        <w:tc>
          <w:tcPr>
            <w:tcW w:type="dxa" w:w="3408"/>
          </w:tcPr>
          <w:p>
            <w:hyperlink r:id="rId70">
              <w:r>
                <w:rPr>
                  <w:color w:val="0000EE"/>
                  <w:u w:val="single"/>
                </w:rPr>
                <w:t>3.1.2 Language of Parts</w:t>
              </w:r>
            </w:hyperlink>
            <w:r>
              <w:rPr>
                <w:b/>
              </w:rPr>
              <w:t xml:space="preserve"> </w:t>
            </w:r>
            <w:r>
              <w:rPr>
                <w:b/>
              </w:rPr>
              <w:t>(Level AA)</w:t>
            </w:r>
            <w:r>
              <w:rPr>
                <w:b/>
              </w:rPr>
              <w:t xml:space="preserve"> </w:t>
            </w:r>
            <w:hyperlink r:id="rId70">
              <w:r>
                <w:rPr>
                  <w:color w:val="0000EE"/>
                  <w:u w:val="single"/>
                </w:rPr>
                <w:t>Understanding</w:t>
              </w:r>
            </w:hyperlink>
          </w:p>
        </w:tc>
        <w:tc>
          <w:tcPr>
            <w:tcW w:type="dxa" w:w="3408"/>
            <w:shd w:val="clear" w:fill="EEF1F4"/>
          </w:tcPr>
          <w:p>
            <w:r>
              <w:t>Not Applicable</w:t>
            </w:r>
          </w:p>
        </w:tc>
        <w:tc>
          <w:tcPr>
            <w:tcW w:type="dxa" w:w="3408"/>
          </w:tcPr>
          <w:p>
            <w:r/>
            <w:r>
              <w:t>No passage or phrase in a language other than English was found in any sampled view.</w:t>
            </w:r>
          </w:p>
        </w:tc>
      </w:tr>
      <w:tr>
        <w:tc>
          <w:tcPr>
            <w:tcW w:type="dxa" w:w="3408"/>
          </w:tcPr>
          <w:p>
            <w:hyperlink r:id="rId71">
              <w:r>
                <w:rPr>
                  <w:color w:val="0000EE"/>
                  <w:u w:val="single"/>
                </w:rPr>
                <w:t>3.2.3 Consistent Navigation</w:t>
              </w:r>
            </w:hyperlink>
            <w:r>
              <w:rPr>
                <w:b/>
              </w:rPr>
              <w:t xml:space="preserve"> </w:t>
            </w:r>
            <w:r>
              <w:rPr>
                <w:b/>
              </w:rPr>
              <w:t>(Level AA)</w:t>
            </w:r>
            <w:r>
              <w:rPr>
                <w:b/>
              </w:rPr>
              <w:t xml:space="preserve"> </w:t>
            </w:r>
            <w:hyperlink r:id="rId71">
              <w:r>
                <w:rPr>
                  <w:color w:val="0000EE"/>
                  <w:u w:val="single"/>
                </w:rPr>
                <w:t>Understanding</w:t>
              </w:r>
            </w:hyperlink>
          </w:p>
        </w:tc>
        <w:tc>
          <w:tcPr>
            <w:tcW w:type="dxa" w:w="3408"/>
            <w:shd w:val="clear" w:fill="E6F4EC"/>
          </w:tcPr>
          <w:p>
            <w:r>
              <w:t>Supports</w:t>
            </w:r>
          </w:p>
        </w:tc>
        <w:tc>
          <w:tcPr>
            <w:tcW w:type="dxa" w:w="3408"/>
          </w:tcPr>
          <w:p>
            <w:r/>
            <w:r>
              <w:t>Navigation and component identification are consistent with the rest of the product — verified on all pages tested.</w:t>
            </w:r>
          </w:p>
        </w:tc>
      </w:tr>
      <w:tr>
        <w:tc>
          <w:tcPr>
            <w:tcW w:type="dxa" w:w="3408"/>
          </w:tcPr>
          <w:p>
            <w:hyperlink r:id="rId72">
              <w:r>
                <w:rPr>
                  <w:color w:val="0000EE"/>
                  <w:u w:val="single"/>
                </w:rPr>
                <w:t>3.2.4 Consistent Identification</w:t>
              </w:r>
            </w:hyperlink>
            <w:r>
              <w:rPr>
                <w:b/>
              </w:rPr>
              <w:t xml:space="preserve"> </w:t>
            </w:r>
            <w:r>
              <w:rPr>
                <w:b/>
              </w:rPr>
              <w:t>(Level AA)</w:t>
            </w:r>
            <w:r>
              <w:rPr>
                <w:b/>
              </w:rPr>
              <w:t xml:space="preserve"> </w:t>
            </w:r>
            <w:hyperlink r:id="rId72">
              <w:r>
                <w:rPr>
                  <w:color w:val="0000EE"/>
                  <w:u w:val="single"/>
                </w:rPr>
                <w:t>Understanding</w:t>
              </w:r>
            </w:hyperlink>
          </w:p>
        </w:tc>
        <w:tc>
          <w:tcPr>
            <w:tcW w:type="dxa" w:w="3408"/>
            <w:shd w:val="clear" w:fill="E6F4EC"/>
          </w:tcPr>
          <w:p>
            <w:r>
              <w:t>Supports</w:t>
            </w:r>
          </w:p>
        </w:tc>
        <w:tc>
          <w:tcPr>
            <w:tcW w:type="dxa" w:w="3408"/>
          </w:tcPr>
          <w:p>
            <w:r/>
            <w:r>
              <w:t>Navigation and component identification are consistent with the rest of the product — verified on all pages tested.</w:t>
            </w:r>
          </w:p>
        </w:tc>
      </w:tr>
      <w:tr>
        <w:tc>
          <w:tcPr>
            <w:tcW w:type="dxa" w:w="3408"/>
          </w:tcPr>
          <w:p>
            <w:hyperlink r:id="rId73">
              <w:r>
                <w:rPr>
                  <w:color w:val="0000EE"/>
                  <w:u w:val="single"/>
                </w:rPr>
                <w:t>3.3.3 Error Suggestion</w:t>
              </w:r>
            </w:hyperlink>
            <w:r>
              <w:rPr>
                <w:b/>
              </w:rPr>
              <w:t xml:space="preserve"> </w:t>
            </w:r>
            <w:r>
              <w:rPr>
                <w:b/>
              </w:rPr>
              <w:t>(Level AA)</w:t>
            </w:r>
            <w:r>
              <w:rPr>
                <w:b/>
              </w:rPr>
              <w:t xml:space="preserve"> </w:t>
            </w:r>
            <w:hyperlink r:id="rId73">
              <w:r>
                <w:rPr>
                  <w:color w:val="0000EE"/>
                  <w:u w:val="single"/>
                </w:rPr>
                <w:t>Understanding</w:t>
              </w:r>
            </w:hyperlink>
          </w:p>
        </w:tc>
        <w:tc>
          <w:tcPr>
            <w:tcW w:type="dxa" w:w="3408"/>
            <w:shd w:val="clear" w:fill="E6F4EC"/>
          </w:tcPr>
          <w:p>
            <w:r>
              <w:t>Supports</w:t>
            </w:r>
          </w:p>
        </w:tc>
        <w:tc>
          <w:tcPr>
            <w:tcW w:type="dxa" w:w="3408"/>
          </w:tcPr>
          <w:p>
            <w:r/>
            <w:r>
              <w:t>Errors suggest how to fix the problem — verified on 3 of the 10 pages tested.</w:t>
            </w:r>
          </w:p>
        </w:tc>
      </w:tr>
      <w:tr>
        <w:tc>
          <w:tcPr>
            <w:tcW w:type="dxa" w:w="3408"/>
          </w:tcPr>
          <w:p>
            <w:hyperlink r:id="rId74">
              <w:r>
                <w:rPr>
                  <w:color w:val="0000EE"/>
                  <w:u w:val="single"/>
                </w:rPr>
                <w:t>3.3.4 Error Prevention (Legal, Financial, Data)</w:t>
              </w:r>
            </w:hyperlink>
            <w:r>
              <w:rPr>
                <w:b/>
              </w:rPr>
              <w:t xml:space="preserve"> </w:t>
            </w:r>
            <w:r>
              <w:rPr>
                <w:b/>
              </w:rPr>
              <w:t>(Level AA)</w:t>
            </w:r>
            <w:r>
              <w:rPr>
                <w:b/>
              </w:rPr>
              <w:t xml:space="preserve"> </w:t>
            </w:r>
            <w:hyperlink r:id="rId74">
              <w:r>
                <w:rPr>
                  <w:color w:val="0000EE"/>
                  <w:u w:val="single"/>
                </w:rPr>
                <w:t>Understanding</w:t>
              </w:r>
            </w:hyperlink>
          </w:p>
        </w:tc>
        <w:tc>
          <w:tcPr>
            <w:tcW w:type="dxa" w:w="3408"/>
            <w:shd w:val="clear" w:fill="FCEBED"/>
          </w:tcPr>
          <w:p>
            <w:r>
              <w:t>Does Not Support</w:t>
            </w:r>
          </w:p>
        </w:tc>
        <w:tc>
          <w:tcPr>
            <w:tcW w:type="dxa" w:w="3408"/>
          </w:tcPr>
          <w:p>
            <w:r/>
            <w:r>
              <w:t>Submit does not warn, 'I give up' does warn, 'Feedback' does not warn, each of these has an effect on the total points earned.</w:t>
            </w:r>
            <w:r>
              <w:rPr>
                <w:b/>
              </w:rPr>
              <w:t xml:space="preserve"> 3.3.4 covers submissions that </w:t>
            </w:r>
            <w:r>
              <w:t>submit user test responses, which these are.</w:t>
            </w:r>
            <w:r>
              <w:t xml:space="preserve"> </w:t>
            </w:r>
          </w:p>
          <w:p>
            <w:pPr>
              <w:pStyle w:val="ListBullet"/>
              <w:spacing w:line="240" w:lineRule="auto"/>
              <w:ind w:left="720"/>
            </w:pPr>
            <w:r/>
            <w:r>
              <w:rPr>
                <w:b/>
              </w:rPr>
              <w:t>Take Assignment</w:t>
            </w:r>
            <w:r>
              <w:t xml:space="preserve"> — Submitting an answer and requesting feedback each reduce the score on a single activation without asking, so a user who activates one in error loses marks irreversibly.</w:t>
            </w:r>
            <w:r>
              <w:t>Major</w:t>
            </w:r>
          </w:p>
        </w:tc>
      </w:tr>
      <w:tr>
        <w:tc>
          <w:tcPr>
            <w:tcW w:type="dxa" w:w="3408"/>
          </w:tcPr>
          <w:p>
            <w:hyperlink r:id="rId75">
              <w:r>
                <w:rPr>
                  <w:color w:val="0000EE"/>
                  <w:u w:val="single"/>
                </w:rPr>
                <w:t>3.3.8 Accessible Authentication (Minimum)</w:t>
              </w:r>
            </w:hyperlink>
            <w:r>
              <w:rPr>
                <w:b/>
              </w:rPr>
              <w:t xml:space="preserve"> </w:t>
            </w:r>
            <w:r>
              <w:rPr>
                <w:b/>
              </w:rPr>
              <w:t>(Level AA)</w:t>
            </w:r>
            <w:r>
              <w:rPr>
                <w:b/>
              </w:rPr>
              <w:t xml:space="preserve"> </w:t>
            </w:r>
            <w:r>
              <w:rPr>
                <w:b/>
              </w:rPr>
              <w:t>WCAG 2.2</w:t>
            </w:r>
            <w:r>
              <w:rPr>
                <w:b/>
              </w:rPr>
              <w:t xml:space="preserve"> </w:t>
            </w:r>
            <w:hyperlink r:id="rId75">
              <w:r>
                <w:rPr>
                  <w:color w:val="0000EE"/>
                  <w:u w:val="single"/>
                </w:rPr>
                <w:t>Understanding</w:t>
              </w:r>
            </w:hyperlink>
          </w:p>
        </w:tc>
        <w:tc>
          <w:tcPr>
            <w:tcW w:type="dxa" w:w="3408"/>
            <w:shd w:val="clear" w:fill="E6F4EC"/>
          </w:tcPr>
          <w:p>
            <w:r>
              <w:t>Supports</w:t>
            </w:r>
          </w:p>
        </w:tc>
        <w:tc>
          <w:tcPr>
            <w:tcW w:type="dxa" w:w="3408"/>
          </w:tcPr>
          <w:p>
            <w:r/>
            <w:r>
              <w:t>Authentication does not require transcription or memorization — verified on 1 of the 10 pages tested.</w:t>
            </w:r>
          </w:p>
        </w:tc>
      </w:tr>
      <w:tr>
        <w:tc>
          <w:tcPr>
            <w:tcW w:type="dxa" w:w="3408"/>
          </w:tcPr>
          <w:p>
            <w:hyperlink r:id="rId76">
              <w:r>
                <w:rPr>
                  <w:color w:val="0000EE"/>
                  <w:u w:val="single"/>
                </w:rPr>
                <w:t>4.1.3 Status Messages</w:t>
              </w:r>
            </w:hyperlink>
            <w:r>
              <w:rPr>
                <w:b/>
              </w:rPr>
              <w:t xml:space="preserve"> </w:t>
            </w:r>
            <w:r>
              <w:rPr>
                <w:b/>
              </w:rPr>
              <w:t>(Level AA)</w:t>
            </w:r>
            <w:r>
              <w:rPr>
                <w:b/>
              </w:rPr>
              <w:t xml:space="preserve"> </w:t>
            </w:r>
            <w:r>
              <w:rPr>
                <w:b/>
              </w:rPr>
              <w:t>WCAG 2.1</w:t>
            </w:r>
            <w:r>
              <w:rPr>
                <w:b/>
              </w:rPr>
              <w:t xml:space="preserve"> </w:t>
            </w:r>
            <w:hyperlink r:id="rId76">
              <w:r>
                <w:rPr>
                  <w:color w:val="0000EE"/>
                  <w:u w:val="single"/>
                </w:rPr>
                <w:t>Understanding</w:t>
              </w:r>
            </w:hyperlink>
          </w:p>
        </w:tc>
        <w:tc>
          <w:tcPr>
            <w:tcW w:type="dxa" w:w="3408"/>
            <w:shd w:val="clear" w:fill="FDF3E0"/>
          </w:tcPr>
          <w:p>
            <w:r>
              <w:t>Partially Supports</w:t>
            </w:r>
          </w:p>
        </w:tc>
        <w:tc>
          <w:tcPr>
            <w:tcW w:type="dxa" w:w="3408"/>
          </w:tcPr>
          <w:p>
            <w:r/>
            <w:r>
              <w:t>NVDA on Take Assignment: the instruction read-out (Ctrl+Shift+5) is announced correctly via the alert region; the answer read-out (Ctrl+Shift+2) injects raw MathJax markup for math-bearing options, so the status message is unusable; on the drag-and-drop alternative form, placements are not announced and the read-back runs items together.</w:t>
            </w:r>
            <w:r>
              <w:t xml:space="preserve"> </w:t>
            </w:r>
          </w:p>
          <w:p>
            <w:pPr>
              <w:pStyle w:val="ListBullet"/>
              <w:spacing w:line="240" w:lineRule="auto"/>
              <w:ind w:left="720"/>
            </w:pPr>
            <w:r/>
            <w:r>
              <w:rPr>
                <w:b/>
              </w:rPr>
              <w:t>Take Assignment</w:t>
            </w:r>
            <w:r>
              <w:t xml:space="preserve"> — The answer read-back speaks raw markup instead of the mathematics, so a screen-reader user cannot check what they have entered before submitting.</w:t>
            </w:r>
            <w:r>
              <w:t>Blocker</w:t>
            </w:r>
          </w:p>
          <w:p>
            <w:pPr>
              <w:pStyle w:val="ListBullet"/>
              <w:spacing w:line="240" w:lineRule="auto"/>
              <w:ind w:left="720"/>
            </w:pPr>
            <w:r/>
            <w:r>
              <w:rPr>
                <w:b/>
              </w:rPr>
              <w:t>Take Assignment</w:t>
            </w:r>
            <w:r>
              <w:t xml:space="preserve"> — A requested hint is inserted below the reading position without announcement, so a screen-reader user is not told the help they asked for has arrived.</w:t>
            </w:r>
            <w:r>
              <w:t>Major</w:t>
            </w:r>
          </w:p>
          <w:p>
            <w:pPr>
              <w:pStyle w:val="ListBullet"/>
              <w:spacing w:line="240" w:lineRule="auto"/>
              <w:ind w:left="720"/>
            </w:pPr>
            <w:r/>
            <w:r>
              <w:rPr>
                <w:b/>
              </w:rPr>
              <w:t>Calendar</w:t>
            </w:r>
            <w:r>
              <w:t xml:space="preserve"> — Opening an event and changing the month are not announced, so a screen-reader user is not told the page has changed.</w:t>
            </w:r>
            <w:r>
              <w:t>Major</w:t>
            </w:r>
          </w:p>
          <w:p>
            <w:pPr>
              <w:pStyle w:val="ListBullet"/>
              <w:spacing w:line="240" w:lineRule="auto"/>
              <w:ind w:left="720"/>
            </w:pPr>
            <w:r/>
            <w:r>
              <w:rPr>
                <w:b/>
              </w:rPr>
              <w:t>Student Practice Area</w:t>
            </w:r>
            <w:r>
              <w:t xml:space="preserve"> — Every selection re-announces the whole page identically, so a screen-reader user is never told which part actually changed.</w:t>
            </w:r>
            <w:r>
              <w:t>Major</w:t>
            </w:r>
          </w:p>
          <w:p>
            <w:pPr>
              <w:pStyle w:val="ListBullet"/>
              <w:spacing w:line="240" w:lineRule="auto"/>
              <w:ind w:left="720"/>
            </w:pPr>
            <w:r/>
            <w:r>
              <w:rPr>
                <w:b/>
              </w:rPr>
              <w:t>Take Assignment</w:t>
            </w:r>
            <w:r>
              <w:t xml:space="preserve"> — Placing an item in the drag-and-drop ranking is not announced, so a screen-reader user cannot confirm where their answer went.</w:t>
            </w:r>
            <w:r>
              <w:t>Minor</w:t>
            </w:r>
          </w:p>
        </w:tc>
      </w:tr>
    </w:tbl>
    <w:p>
      <w:r/>
    </w:p>
    <w:p>
      <w:pPr>
        <w:pStyle w:val="Heading2"/>
      </w:pPr>
      <w:r>
        <w:t>Revised Section 508 — Chapter 3: Functional Performance Criteria</w:t>
      </w:r>
      <w:r/>
    </w:p>
    <w:p>
      <w:r/>
      <w:r>
        <w:t>Derived from the proportion of sampled views evaluated for each functional modality and the check rows recorded against them. A criterion whose views are not all evaluated is reported as Not Evaluated rather than inferred.</w:t>
      </w:r>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rPr>
                <w:b/>
              </w:rPr>
              <w:t>Criterion</w:t>
            </w:r>
          </w:p>
        </w:tc>
        <w:tc>
          <w:tcPr>
            <w:tcW w:type="dxa" w:w="3408"/>
          </w:tcPr>
          <w:p>
            <w:r>
              <w:rPr>
                <w:b/>
              </w:rPr>
              <w:t>Conformance level</w:t>
            </w:r>
          </w:p>
        </w:tc>
        <w:tc>
          <w:tcPr>
            <w:tcW w:type="dxa" w:w="3408"/>
          </w:tcPr>
          <w:p>
            <w:r>
              <w:rPr>
                <w:b/>
              </w:rPr>
              <w:t>Remarks and explanations</w:t>
            </w:r>
          </w:p>
        </w:tc>
      </w:tr>
      <w:tr>
        <w:tc>
          <w:tcPr>
            <w:tcW w:type="dxa" w:w="3408"/>
          </w:tcPr>
          <w:p>
            <w:r>
              <w:rPr>
                <w:b/>
              </w:rPr>
              <w:t>302.1 Without Vision</w:t>
            </w:r>
          </w:p>
        </w:tc>
        <w:tc>
          <w:tcPr>
            <w:tcW w:type="dxa" w:w="3408"/>
            <w:shd w:val="clear" w:fill="FCEBED"/>
          </w:tcPr>
          <w:p>
            <w:r>
              <w:t>Does Not Support</w:t>
            </w:r>
          </w:p>
        </w:tc>
        <w:tc>
          <w:tcPr>
            <w:tcW w:type="dxa" w:w="3408"/>
          </w:tcPr>
          <w:p>
            <w:r/>
            <w:r>
              <w:t xml:space="preserve">5 of the 10 pages evaluated could not be used by this method, and 46 recorded checks failed. Affected: </w:t>
            </w:r>
            <w:r>
              <w:rPr>
                <w:b/>
              </w:rPr>
              <w:t>Class Management (standard mode)</w:t>
            </w:r>
            <w:r>
              <w:t xml:space="preserve">, </w:t>
            </w:r>
            <w:r>
              <w:rPr>
                <w:b/>
              </w:rPr>
              <w:t>Take Assignment</w:t>
            </w:r>
            <w:r>
              <w:t xml:space="preserve">, </w:t>
            </w:r>
            <w:r>
              <w:rPr>
                <w:b/>
              </w:rPr>
              <w:t>View Grade Report</w:t>
            </w:r>
            <w:r>
              <w:t xml:space="preserve">, </w:t>
            </w:r>
            <w:r>
              <w:rPr>
                <w:b/>
              </w:rPr>
              <w:t>Calendar</w:t>
            </w:r>
            <w:r>
              <w:t>.</w:t>
            </w:r>
            <w:r>
              <w:t xml:space="preserve"> </w:t>
            </w:r>
            <w:r>
              <w:t xml:space="preserve"> </w:t>
            </w:r>
            <w:r>
              <w:rPr>
                <w:b/>
              </w:rPr>
              <w:t>Coverage limit:</w:t>
            </w:r>
            <w:r>
              <w:t xml:space="preserve"> 9 of 10 pages carry a completed result, and 1 check row elsewhere remains unanswered. Still outstanding: </w:t>
            </w:r>
            <w:r>
              <w:rPr>
                <w:b/>
              </w:rPr>
              <w:t>View Printable Assignment</w:t>
            </w:r>
            <w:r>
              <w:t>. The level above reflects the pages that were evaluated.</w:t>
            </w:r>
          </w:p>
        </w:tc>
      </w:tr>
      <w:tr>
        <w:tc>
          <w:tcPr>
            <w:tcW w:type="dxa" w:w="3408"/>
          </w:tcPr>
          <w:p>
            <w:r>
              <w:rPr>
                <w:b/>
              </w:rPr>
              <w:t>302.2 With Limited Vision</w:t>
            </w:r>
          </w:p>
        </w:tc>
        <w:tc>
          <w:tcPr>
            <w:tcW w:type="dxa" w:w="3408"/>
            <w:shd w:val="clear" w:fill="FCEBED"/>
          </w:tcPr>
          <w:p>
            <w:r>
              <w:t>Does Not Support</w:t>
            </w:r>
          </w:p>
        </w:tc>
        <w:tc>
          <w:tcPr>
            <w:tcW w:type="dxa" w:w="3408"/>
          </w:tcPr>
          <w:p>
            <w:r/>
            <w:r>
              <w:t xml:space="preserve">1 of the 10 pages evaluated could not be used by this method, and 25 recorded checks failed. Affected: </w:t>
            </w:r>
            <w:r>
              <w:rPr>
                <w:b/>
              </w:rPr>
              <w:t>View Printable Assignment</w:t>
            </w:r>
            <w:r>
              <w:t>.</w:t>
            </w:r>
            <w:r>
              <w:t xml:space="preserve"> </w:t>
            </w:r>
            <w:r>
              <w:t xml:space="preserve"> All 10 pages in scope were evaluated for this criterion.</w:t>
            </w:r>
          </w:p>
        </w:tc>
      </w:tr>
      <w:tr>
        <w:tc>
          <w:tcPr>
            <w:tcW w:type="dxa" w:w="3408"/>
          </w:tcPr>
          <w:p>
            <w:r>
              <w:rPr>
                <w:b/>
              </w:rPr>
              <w:t>302.3 Without Perception of Color</w:t>
            </w:r>
          </w:p>
        </w:tc>
        <w:tc>
          <w:tcPr>
            <w:tcW w:type="dxa" w:w="3408"/>
            <w:shd w:val="clear" w:fill="FCEBED"/>
          </w:tcPr>
          <w:p>
            <w:r>
              <w:t>Does Not Support</w:t>
            </w:r>
          </w:p>
        </w:tc>
        <w:tc>
          <w:tcPr>
            <w:tcW w:type="dxa" w:w="3408"/>
          </w:tcPr>
          <w:p>
            <w:r/>
            <w:r>
              <w:t xml:space="preserve">5 of the 10 pages evaluated could not be used by this method, and 21 recorded checks failed. Affected: </w:t>
            </w:r>
            <w:r>
              <w:rPr>
                <w:b/>
              </w:rPr>
              <w:t>Take Assignment</w:t>
            </w:r>
            <w:r>
              <w:t xml:space="preserve">, </w:t>
            </w:r>
            <w:r>
              <w:rPr>
                <w:b/>
              </w:rPr>
              <w:t>View Grade Report</w:t>
            </w:r>
            <w:r>
              <w:t xml:space="preserve">, </w:t>
            </w:r>
            <w:r>
              <w:rPr>
                <w:b/>
              </w:rPr>
              <w:t>Calendar</w:t>
            </w:r>
            <w:r>
              <w:t xml:space="preserve">, </w:t>
            </w:r>
            <w:r>
              <w:rPr>
                <w:b/>
              </w:rPr>
              <w:t>View Assignment Solutions</w:t>
            </w:r>
            <w:r>
              <w:t>.</w:t>
            </w:r>
            <w:r>
              <w:t xml:space="preserve"> </w:t>
            </w:r>
            <w:r>
              <w:t xml:space="preserve"> All 10 pages in scope were evaluated for this criterion.</w:t>
            </w:r>
          </w:p>
        </w:tc>
      </w:tr>
      <w:tr>
        <w:tc>
          <w:tcPr>
            <w:tcW w:type="dxa" w:w="3408"/>
          </w:tcPr>
          <w:p>
            <w:r>
              <w:rPr>
                <w:b/>
              </w:rPr>
              <w:t>302.4 Without Hearing</w:t>
            </w:r>
          </w:p>
        </w:tc>
        <w:tc>
          <w:tcPr>
            <w:tcW w:type="dxa" w:w="3408"/>
            <w:shd w:val="clear" w:fill="E6F4EC"/>
          </w:tcPr>
          <w:p>
            <w:r>
              <w:t>Supports</w:t>
            </w:r>
          </w:p>
        </w:tc>
        <w:tc>
          <w:tcPr>
            <w:tcW w:type="dxa" w:w="3408"/>
          </w:tcPr>
          <w:p>
            <w:r/>
            <w:r>
              <w:t>Every page evaluated could be used by this method with no failing checks.</w:t>
            </w:r>
            <w:r>
              <w:t xml:space="preserve"> </w:t>
            </w:r>
            <w:r>
              <w:t xml:space="preserve"> All 10 pages in scope were evaluated for this criterion.</w:t>
            </w:r>
          </w:p>
        </w:tc>
      </w:tr>
      <w:tr>
        <w:tc>
          <w:tcPr>
            <w:tcW w:type="dxa" w:w="3408"/>
          </w:tcPr>
          <w:p>
            <w:r>
              <w:rPr>
                <w:b/>
              </w:rPr>
              <w:t>302.5 With Limited Hearing</w:t>
            </w:r>
          </w:p>
        </w:tc>
        <w:tc>
          <w:tcPr>
            <w:tcW w:type="dxa" w:w="3408"/>
            <w:shd w:val="clear" w:fill="E6F4EC"/>
          </w:tcPr>
          <w:p>
            <w:r>
              <w:t>Supports</w:t>
            </w:r>
          </w:p>
        </w:tc>
        <w:tc>
          <w:tcPr>
            <w:tcW w:type="dxa" w:w="3408"/>
          </w:tcPr>
          <w:p>
            <w:r/>
            <w:r>
              <w:t>Every page evaluated could be used by this method with no failing checks.</w:t>
            </w:r>
            <w:r>
              <w:t xml:space="preserve"> </w:t>
            </w:r>
            <w:r>
              <w:t xml:space="preserve"> All 10 pages in scope were evaluated for this criterion.</w:t>
            </w:r>
          </w:p>
        </w:tc>
      </w:tr>
      <w:tr>
        <w:tc>
          <w:tcPr>
            <w:tcW w:type="dxa" w:w="3408"/>
          </w:tcPr>
          <w:p>
            <w:r>
              <w:rPr>
                <w:b/>
              </w:rPr>
              <w:t>302.6 Without Speech</w:t>
            </w:r>
          </w:p>
        </w:tc>
        <w:tc>
          <w:tcPr>
            <w:tcW w:type="dxa" w:w="3408"/>
            <w:shd w:val="clear" w:fill="E6F4EC"/>
          </w:tcPr>
          <w:p>
            <w:r>
              <w:t>Supports</w:t>
            </w:r>
          </w:p>
        </w:tc>
        <w:tc>
          <w:tcPr>
            <w:tcW w:type="dxa" w:w="3408"/>
          </w:tcPr>
          <w:p>
            <w:r/>
            <w:r>
              <w:t>Every page evaluated could be used by this method with no failing checks.</w:t>
            </w:r>
            <w:r>
              <w:t xml:space="preserve"> </w:t>
            </w:r>
            <w:r>
              <w:t xml:space="preserve"> All 10 pages in scope were evaluated for this criterion.</w:t>
            </w:r>
          </w:p>
        </w:tc>
      </w:tr>
      <w:tr>
        <w:tc>
          <w:tcPr>
            <w:tcW w:type="dxa" w:w="3408"/>
          </w:tcPr>
          <w:p>
            <w:r>
              <w:rPr>
                <w:b/>
              </w:rPr>
              <w:t>302.7 With Limited Manipulation</w:t>
            </w:r>
          </w:p>
        </w:tc>
        <w:tc>
          <w:tcPr>
            <w:tcW w:type="dxa" w:w="3408"/>
            <w:shd w:val="clear" w:fill="FCEBED"/>
          </w:tcPr>
          <w:p>
            <w:r>
              <w:t>Does Not Support</w:t>
            </w:r>
          </w:p>
        </w:tc>
        <w:tc>
          <w:tcPr>
            <w:tcW w:type="dxa" w:w="3408"/>
          </w:tcPr>
          <w:p>
            <w:r/>
            <w:r>
              <w:t xml:space="preserve">3 of the 10 pages evaluated could not be used by this method, and 16 recorded checks failed. Affected: </w:t>
            </w:r>
            <w:r>
              <w:rPr>
                <w:b/>
              </w:rPr>
              <w:t>Class Management (standard mode)</w:t>
            </w:r>
            <w:r>
              <w:t xml:space="preserve">, </w:t>
            </w:r>
            <w:r>
              <w:rPr>
                <w:b/>
              </w:rPr>
              <w:t>Calendar</w:t>
            </w:r>
            <w:r>
              <w:t xml:space="preserve">, </w:t>
            </w:r>
            <w:r>
              <w:rPr>
                <w:b/>
              </w:rPr>
              <w:t>Student Practice Area</w:t>
            </w:r>
            <w:r>
              <w:t>.</w:t>
            </w:r>
            <w:r>
              <w:t xml:space="preserve"> </w:t>
            </w:r>
            <w:r>
              <w:t xml:space="preserve"> All 10 pages in scope were evaluated for this criterion.</w:t>
            </w:r>
          </w:p>
        </w:tc>
      </w:tr>
      <w:tr>
        <w:tc>
          <w:tcPr>
            <w:tcW w:type="dxa" w:w="3408"/>
          </w:tcPr>
          <w:p>
            <w:r>
              <w:rPr>
                <w:b/>
              </w:rPr>
              <w:t>302.8 With Limited Reach and Strength</w:t>
            </w:r>
          </w:p>
        </w:tc>
        <w:tc>
          <w:tcPr>
            <w:tcW w:type="dxa" w:w="3408"/>
            <w:shd w:val="clear" w:fill="FCEBED"/>
          </w:tcPr>
          <w:p>
            <w:r>
              <w:t>Does Not Support</w:t>
            </w:r>
          </w:p>
        </w:tc>
        <w:tc>
          <w:tcPr>
            <w:tcW w:type="dxa" w:w="3408"/>
          </w:tcPr>
          <w:p>
            <w:r/>
            <w:r>
              <w:t xml:space="preserve">3 of the 10 pages evaluated could not be used by this method, and 16 recorded checks failed. Affected: </w:t>
            </w:r>
            <w:r>
              <w:rPr>
                <w:b/>
              </w:rPr>
              <w:t>Class Management (standard mode)</w:t>
            </w:r>
            <w:r>
              <w:t xml:space="preserve">, </w:t>
            </w:r>
            <w:r>
              <w:rPr>
                <w:b/>
              </w:rPr>
              <w:t>Calendar</w:t>
            </w:r>
            <w:r>
              <w:t xml:space="preserve">, </w:t>
            </w:r>
            <w:r>
              <w:rPr>
                <w:b/>
              </w:rPr>
              <w:t>Student Practice Area</w:t>
            </w:r>
            <w:r>
              <w:t>.</w:t>
            </w:r>
            <w:r>
              <w:t xml:space="preserve"> </w:t>
            </w:r>
            <w:r>
              <w:t xml:space="preserve"> All 10 pages in scope were evaluated for this criterion.</w:t>
            </w:r>
          </w:p>
        </w:tc>
      </w:tr>
      <w:tr>
        <w:tc>
          <w:tcPr>
            <w:tcW w:type="dxa" w:w="3408"/>
          </w:tcPr>
          <w:p>
            <w:r>
              <w:rPr>
                <w:b/>
              </w:rPr>
              <w:t>302.9 With Limited Language, Cognitive, and Learning Abilities</w:t>
            </w:r>
          </w:p>
        </w:tc>
        <w:tc>
          <w:tcPr>
            <w:tcW w:type="dxa" w:w="3408"/>
            <w:shd w:val="clear" w:fill="FDF3E0"/>
          </w:tcPr>
          <w:p>
            <w:r>
              <w:t>Partially Supports</w:t>
            </w:r>
          </w:p>
        </w:tc>
        <w:tc>
          <w:tcPr>
            <w:tcW w:type="dxa" w:w="3408"/>
          </w:tcPr>
          <w:p>
            <w:r/>
            <w:r>
              <w:t>Every page evaluated could be used by this method, but 12 recorded checks failed.</w:t>
            </w:r>
            <w:r>
              <w:t xml:space="preserve"> </w:t>
            </w:r>
            <w:r>
              <w:t xml:space="preserve"> All 10 pages in scope were evaluated for this criterion.</w:t>
            </w:r>
          </w:p>
        </w:tc>
      </w:tr>
    </w:tbl>
    <w:p>
      <w:r/>
    </w:p>
    <w:p>
      <w:pPr>
        <w:pStyle w:val="Heading2"/>
      </w:pPr>
      <w:r>
        <w:t>Vendor Roadmap</w:t>
      </w:r>
    </w:p>
    <w:p>
      <w:r/>
      <w:r>
        <w:t xml:space="preserve">The California State University requires that the information and communication technology it acquires conform to </w:t>
      </w:r>
      <w:r>
        <w:rPr>
          <w:b/>
        </w:rPr>
        <w:t>WCAG 2.1 Level AA</w:t>
      </w:r>
      <w:r>
        <w:t xml:space="preserve">. This product does not currently meet that standard. Continued failure to meet it </w:t>
      </w:r>
      <w:r>
        <w:rPr>
          <w:i/>
        </w:rPr>
        <w:t>may</w:t>
      </w:r>
      <w:r>
        <w:t xml:space="preserve"> jeopardize future acquisitions. </w:t>
      </w:r>
      <w:r>
        <w:rPr>
          <w:b/>
        </w:rPr>
        <w:t>The following fixes should be implemented to meet the WCAG 2.1 AA standard.</w:t>
      </w:r>
    </w:p>
    <w:p>
      <w:pPr>
        <w:pStyle w:val="Heading3"/>
      </w:pPr>
      <w:r>
        <w:t>Needs Immediate Attention</w:t>
      </w:r>
    </w:p>
    <w:p>
      <w:r/>
      <w:r>
        <w:t>Level A criteria the product does not meet. Level A is the floor of the standard, and these are the failures that most often stop a person completing a task rather than merely slowing them down.</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tcPr>
          <w:p>
            <w:r>
              <w:rPr>
                <w:b/>
              </w:rPr>
              <w:t>Criterion</w:t>
            </w:r>
          </w:p>
        </w:tc>
        <w:tc>
          <w:tcPr>
            <w:tcW w:type="dxa" w:w="2556"/>
          </w:tcPr>
          <w:p>
            <w:r>
              <w:rPr>
                <w:b/>
              </w:rPr>
              <w:t>Level</w:t>
            </w:r>
          </w:p>
        </w:tc>
        <w:tc>
          <w:tcPr>
            <w:tcW w:type="dxa" w:w="2556"/>
          </w:tcPr>
          <w:p>
            <w:r>
              <w:rPr>
                <w:b/>
              </w:rPr>
              <w:t>Issues</w:t>
            </w:r>
          </w:p>
        </w:tc>
        <w:tc>
          <w:tcPr>
            <w:tcW w:type="dxa" w:w="2556"/>
          </w:tcPr>
          <w:p>
            <w:r>
              <w:rPr>
                <w:b/>
              </w:rPr>
              <w:t>What needs to be done</w:t>
            </w:r>
          </w:p>
        </w:tc>
      </w:tr>
      <w:tr>
        <w:tc>
          <w:tcPr>
            <w:tcW w:type="dxa" w:w="2556"/>
          </w:tcPr>
          <w:p>
            <w:r>
              <w:rPr>
                <w:b/>
              </w:rPr>
              <w:t>1.3.1 Info and Relationships</w:t>
            </w:r>
          </w:p>
        </w:tc>
        <w:tc>
          <w:tcPr>
            <w:tcW w:type="dxa" w:w="2556"/>
          </w:tcPr>
          <w:p>
            <w:r>
              <w:t>Level A</w:t>
            </w:r>
          </w:p>
        </w:tc>
        <w:tc>
          <w:tcPr>
            <w:tcW w:type="dxa" w:w="2556"/>
          </w:tcPr>
          <w:p>
            <w:r>
              <w:t>14</w:t>
            </w:r>
          </w:p>
        </w:tc>
        <w:tc>
          <w:tcPr>
            <w:tcW w:type="dxa" w:w="2556"/>
          </w:tcPr>
          <w:p>
            <w:r>
              <w:t xml:space="preserve">Publish a real heading outline and a </w:t>
            </w:r>
            <w:r>
              <w:rPr>
                <w:rFonts w:ascii="Courier" w:hAnsi="Courier"/>
              </w:rPr>
              <w:t>main</w:t>
            </w:r>
            <w:r>
              <w:t xml:space="preserve"> landmark on every page — the solutions page already does, with a heading per problem. Give each data grid a caption that names it and real column headers. Associate every field with its visible caption. Replace the nested layout tables with CSS layout so spacer cells stop being announced as content, and expose an assignment's due date and duration as text, not only as a coloured bar. </w:t>
            </w:r>
            <w:r>
              <w:t>Product-wide</w:t>
            </w:r>
          </w:p>
        </w:tc>
      </w:tr>
      <w:tr>
        <w:tc>
          <w:tcPr>
            <w:tcW w:type="dxa" w:w="2556"/>
          </w:tcPr>
          <w:p>
            <w:r>
              <w:rPr>
                <w:b/>
              </w:rPr>
              <w:t>1.4.1 Use of Color</w:t>
            </w:r>
          </w:p>
        </w:tc>
        <w:tc>
          <w:tcPr>
            <w:tcW w:type="dxa" w:w="2556"/>
          </w:tcPr>
          <w:p>
            <w:r>
              <w:t>Level A</w:t>
            </w:r>
          </w:p>
        </w:tc>
        <w:tc>
          <w:tcPr>
            <w:tcW w:type="dxa" w:w="2556"/>
          </w:tcPr>
          <w:p>
            <w:r>
              <w:t>1</w:t>
            </w:r>
          </w:p>
        </w:tc>
        <w:tc>
          <w:tcPr>
            <w:tcW w:type="dxa" w:w="2556"/>
          </w:tcPr>
          <w:p>
            <w:r>
              <w:t xml:space="preserve">Add a second, non-colour cue wherever colour carries meaning: a symbol, an underline or a weight change for randomised values, hint and deduction costs, calendar events and late submission dates. The problem-navigator status marks already pair a symbol with their colour and are the pattern to copy. </w:t>
            </w:r>
            <w:r>
              <w:t>Product-wide</w:t>
            </w:r>
          </w:p>
        </w:tc>
      </w:tr>
      <w:tr>
        <w:tc>
          <w:tcPr>
            <w:tcW w:type="dxa" w:w="2556"/>
          </w:tcPr>
          <w:p>
            <w:r>
              <w:rPr>
                <w:b/>
              </w:rPr>
              <w:t>2.4.1 Bypass Blocks</w:t>
            </w:r>
          </w:p>
        </w:tc>
        <w:tc>
          <w:tcPr>
            <w:tcW w:type="dxa" w:w="2556"/>
          </w:tcPr>
          <w:p>
            <w:r>
              <w:t>Level A</w:t>
            </w:r>
          </w:p>
        </w:tc>
        <w:tc>
          <w:tcPr>
            <w:tcW w:type="dxa" w:w="2556"/>
          </w:tcPr>
          <w:p>
            <w:r>
              <w:t>1</w:t>
            </w:r>
          </w:p>
        </w:tc>
        <w:tc>
          <w:tcPr>
            <w:tcW w:type="dxa" w:w="2556"/>
          </w:tcPr>
          <w:p>
            <w:r>
              <w:t xml:space="preserve">Provide a bypass that works: headings and landmarks on every page, and a skip link that actually moves focus to the main content. The hidden jump-point mechanism does not substitute — it answers "no shortcuts" on the page a student lands on, and its controls have no names. </w:t>
            </w:r>
            <w:r>
              <w:t>Class Management — Accessibility Mode, Class Management (standard mode)</w:t>
            </w:r>
          </w:p>
        </w:tc>
      </w:tr>
      <w:tr>
        <w:tc>
          <w:tcPr>
            <w:tcW w:type="dxa" w:w="2556"/>
          </w:tcPr>
          <w:p>
            <w:r>
              <w:rPr>
                <w:b/>
              </w:rPr>
              <w:t>4.1.2 Name, Role, Value</w:t>
            </w:r>
          </w:p>
        </w:tc>
        <w:tc>
          <w:tcPr>
            <w:tcW w:type="dxa" w:w="2556"/>
          </w:tcPr>
          <w:p>
            <w:r>
              <w:t>Level A</w:t>
            </w:r>
          </w:p>
        </w:tc>
        <w:tc>
          <w:tcPr>
            <w:tcW w:type="dxa" w:w="2556"/>
          </w:tcPr>
          <w:p>
            <w:r>
              <w:t>18</w:t>
            </w:r>
          </w:p>
        </w:tc>
        <w:tc>
          <w:tcPr>
            <w:tcW w:type="dxa" w:w="2556"/>
          </w:tcPr>
          <w:p>
            <w:r>
              <w:t xml:space="preserve">Rebuild the elements that carry behaviour as the controls they pretend to be. Row action menus, expand toggles, problem checkboxes, calendar events, jump points and the grade-profile control are </w:t>
            </w:r>
            <w:r>
              <w:rPr>
                <w:rFonts w:ascii="Courier" w:hAnsi="Courier"/>
              </w:rPr>
              <w:t>div</w:t>
            </w:r>
            <w:r>
              <w:t xml:space="preserve"> , </w:t>
            </w:r>
            <w:r>
              <w:rPr>
                <w:rFonts w:ascii="Courier" w:hAnsi="Courier"/>
              </w:rPr>
              <w:t>span</w:t>
            </w:r>
            <w:r>
              <w:t xml:space="preserve"> , </w:t>
            </w:r>
            <w:r>
              <w:rPr>
                <w:rFonts w:ascii="Courier" w:hAnsi="Courier"/>
              </w:rPr>
              <w:t>img</w:t>
            </w:r>
            <w:r>
              <w:t xml:space="preserve"> and </w:t>
            </w:r>
            <w:r>
              <w:rPr>
                <w:rFonts w:ascii="Courier" w:hAnsi="Courier"/>
              </w:rPr>
              <w:t>a</w:t>
            </w:r>
            <w:r>
              <w:t xml:space="preserve"> elements with click handlers, no role, no name and no tab position. Native buttons, links and inputs give them all three at once, which is why this single change clears more failures than any other in this report. </w:t>
            </w:r>
            <w:r>
              <w:t>Product-wide</w:t>
            </w:r>
          </w:p>
        </w:tc>
      </w:tr>
    </w:tbl>
    <w:p>
      <w:pPr>
        <w:pStyle w:val="Heading3"/>
      </w:pPr>
      <w:r>
        <w:t>Should be Prioritized</w:t>
      </w:r>
    </w:p>
    <w:p>
      <w:r/>
      <w:r>
        <w:t>Level A criteria the product meets only in part. The functionality exists and works in places, so the remaining work is narrower than above, but it is still at the floor of the standard.</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tcPr>
          <w:p>
            <w:r>
              <w:rPr>
                <w:b/>
              </w:rPr>
              <w:t>Criterion</w:t>
            </w:r>
          </w:p>
        </w:tc>
        <w:tc>
          <w:tcPr>
            <w:tcW w:type="dxa" w:w="2556"/>
          </w:tcPr>
          <w:p>
            <w:r>
              <w:rPr>
                <w:b/>
              </w:rPr>
              <w:t>Level</w:t>
            </w:r>
          </w:p>
        </w:tc>
        <w:tc>
          <w:tcPr>
            <w:tcW w:type="dxa" w:w="2556"/>
          </w:tcPr>
          <w:p>
            <w:r>
              <w:rPr>
                <w:b/>
              </w:rPr>
              <w:t>Issues</w:t>
            </w:r>
          </w:p>
        </w:tc>
        <w:tc>
          <w:tcPr>
            <w:tcW w:type="dxa" w:w="2556"/>
          </w:tcPr>
          <w:p>
            <w:r>
              <w:rPr>
                <w:b/>
              </w:rPr>
              <w:t>What needs to be done</w:t>
            </w:r>
          </w:p>
        </w:tc>
      </w:tr>
      <w:tr>
        <w:tc>
          <w:tcPr>
            <w:tcW w:type="dxa" w:w="2556"/>
          </w:tcPr>
          <w:p>
            <w:r>
              <w:rPr>
                <w:b/>
              </w:rPr>
              <w:t>1.1.1 Non-text Content</w:t>
            </w:r>
          </w:p>
        </w:tc>
        <w:tc>
          <w:tcPr>
            <w:tcW w:type="dxa" w:w="2556"/>
          </w:tcPr>
          <w:p>
            <w:r>
              <w:t>Level A</w:t>
            </w:r>
          </w:p>
        </w:tc>
        <w:tc>
          <w:tcPr>
            <w:tcW w:type="dxa" w:w="2556"/>
          </w:tcPr>
          <w:p>
            <w:r>
              <w:t>7</w:t>
            </w:r>
          </w:p>
        </w:tc>
        <w:tc>
          <w:tcPr>
            <w:tcW w:type="dxa" w:w="2556"/>
          </w:tcPr>
          <w:p>
            <w:r>
              <w:t xml:space="preserve">Give every informative image an </w:t>
            </w:r>
            <w:r>
              <w:rPr>
                <w:rFonts w:ascii="Courier" w:hAnsi="Courier"/>
              </w:rPr>
              <w:t>alt</w:t>
            </w:r>
            <w:r>
              <w:t xml:space="preserve"> attribute describing what it conveys, and mark decorative images </w:t>
            </w:r>
            <w:r>
              <w:rPr>
                <w:rFonts w:ascii="Courier" w:hAnsi="Courier"/>
              </w:rPr>
              <w:t>alt=""</w:t>
            </w:r>
            <w:r>
              <w:t xml:space="preserve"> . Three causes need separate fixes: alternative text on the solutions figures was swallowed into the </w:t>
            </w:r>
            <w:r>
              <w:rPr>
                <w:rFonts w:ascii="Courier" w:hAnsi="Courier"/>
              </w:rPr>
              <w:t>src</w:t>
            </w:r>
            <w:r>
              <w:t xml:space="preserve"> by a missing quote; two printable figures are CSS backgrounds and must become </w:t>
            </w:r>
            <w:r>
              <w:rPr>
                <w:rFonts w:ascii="Courier" w:hAnsi="Courier"/>
              </w:rPr>
              <w:t>&lt;img&gt;</w:t>
            </w:r>
            <w:r>
              <w:t xml:space="preserve"> before they can carry text; the mathematics is exposed as unnamed buttons. Four printable figures already carry good descriptions. </w:t>
            </w:r>
            <w:r>
              <w:t>Product-wide</w:t>
            </w:r>
          </w:p>
        </w:tc>
      </w:tr>
      <w:tr>
        <w:tc>
          <w:tcPr>
            <w:tcW w:type="dxa" w:w="2556"/>
          </w:tcPr>
          <w:p>
            <w:r>
              <w:rPr>
                <w:b/>
              </w:rPr>
              <w:t>1.2.2 Captions (Prerecorded)</w:t>
            </w:r>
          </w:p>
        </w:tc>
        <w:tc>
          <w:tcPr>
            <w:tcW w:type="dxa" w:w="2556"/>
          </w:tcPr>
          <w:p>
            <w:r>
              <w:t>Level A</w:t>
            </w:r>
          </w:p>
        </w:tc>
        <w:tc>
          <w:tcPr>
            <w:tcW w:type="dxa" w:w="2556"/>
          </w:tcPr>
          <w:p>
            <w:r>
              <w:t>1</w:t>
            </w:r>
          </w:p>
        </w:tc>
        <w:tc>
          <w:tcPr>
            <w:tcW w:type="dxa" w:w="2556"/>
          </w:tcPr>
          <w:p>
            <w:r>
              <w:t xml:space="preserve">Review and correct the automatically generated captions on the library videos before publishing them, or supply a prepared caption track. Automatic captions are a starting point, not a caption. </w:t>
            </w:r>
            <w:r>
              <w:t>Assignment Editor (edit)</w:t>
            </w:r>
          </w:p>
        </w:tc>
      </w:tr>
      <w:tr>
        <w:tc>
          <w:tcPr>
            <w:tcW w:type="dxa" w:w="2556"/>
          </w:tcPr>
          <w:p>
            <w:r>
              <w:rPr>
                <w:b/>
              </w:rPr>
              <w:t>2.1.1 Keyboard</w:t>
            </w:r>
          </w:p>
        </w:tc>
        <w:tc>
          <w:tcPr>
            <w:tcW w:type="dxa" w:w="2556"/>
          </w:tcPr>
          <w:p>
            <w:r>
              <w:t>Level A</w:t>
            </w:r>
          </w:p>
        </w:tc>
        <w:tc>
          <w:tcPr>
            <w:tcW w:type="dxa" w:w="2556"/>
          </w:tcPr>
          <w:p>
            <w:r>
              <w:t>4</w:t>
            </w:r>
          </w:p>
        </w:tc>
        <w:tc>
          <w:tcPr>
            <w:tcW w:type="dxa" w:w="2556"/>
          </w:tcPr>
          <w:p>
            <w:r>
              <w:t xml:space="preserve">Make every interactive element reachable and operable from the keyboard: the assignment row's action menu, the grade-profile control, the calendar grid and its events, and the practice area's selects, checkboxes and expanders. Rebuilding them as native controls resolves this criterion and 4.1.2 together. The Accessibility Mode page shows the working pattern for the row actions — fold it into the standard page rather than maintaining two. </w:t>
            </w:r>
            <w:r>
              <w:t>Class Management (standard mode), Student Practice Area, Calendar</w:t>
            </w:r>
          </w:p>
        </w:tc>
      </w:tr>
      <w:tr>
        <w:tc>
          <w:tcPr>
            <w:tcW w:type="dxa" w:w="2556"/>
          </w:tcPr>
          <w:p>
            <w:r>
              <w:rPr>
                <w:b/>
              </w:rPr>
              <w:t>2.4.3 Focus Order</w:t>
            </w:r>
          </w:p>
        </w:tc>
        <w:tc>
          <w:tcPr>
            <w:tcW w:type="dxa" w:w="2556"/>
          </w:tcPr>
          <w:p>
            <w:r>
              <w:t>Level A</w:t>
            </w:r>
          </w:p>
        </w:tc>
        <w:tc>
          <w:tcPr>
            <w:tcW w:type="dxa" w:w="2556"/>
          </w:tcPr>
          <w:p>
            <w:r>
              <w:t>5</w:t>
            </w:r>
          </w:p>
        </w:tc>
        <w:tc>
          <w:tcPr>
            <w:tcW w:type="dxa" w:w="2556"/>
          </w:tcPr>
          <w:p>
            <w:r>
              <w:t xml:space="preserve">Move focus deliberately at every change: into a problem when it is activated, into a dialog when it opens and back to the control that opened it when it closes, and to a hint when one is inserted. Keep the jump-point controls in the natural tab sequence or remove them. </w:t>
            </w:r>
            <w:r>
              <w:t>Take Assignment, Calendar, Class Management — Accessibility Mode, Class Management (standard mode)</w:t>
            </w:r>
          </w:p>
        </w:tc>
      </w:tr>
      <w:tr>
        <w:tc>
          <w:tcPr>
            <w:tcW w:type="dxa" w:w="2556"/>
          </w:tcPr>
          <w:p>
            <w:r>
              <w:rPr>
                <w:b/>
              </w:rPr>
              <w:t>2.4.4 Link Purpose (In Context)</w:t>
            </w:r>
          </w:p>
        </w:tc>
        <w:tc>
          <w:tcPr>
            <w:tcW w:type="dxa" w:w="2556"/>
          </w:tcPr>
          <w:p>
            <w:r>
              <w:t>Level A</w:t>
            </w:r>
          </w:p>
        </w:tc>
        <w:tc>
          <w:tcPr>
            <w:tcW w:type="dxa" w:w="2556"/>
          </w:tcPr>
          <w:p>
            <w:r>
              <w:t>3</w:t>
            </w:r>
          </w:p>
        </w:tc>
        <w:tc>
          <w:tcPr>
            <w:tcW w:type="dxa" w:w="2556"/>
          </w:tcPr>
          <w:p>
            <w:r>
              <w:t xml:space="preserve">Give every link text that names where it goes. Replace the punctuation-only help links with words, give the logo link an accessible name, and reword the skip controls so they say what they skip to rather than which key to press. </w:t>
            </w:r>
            <w:r>
              <w:t>Class Management — Accessibility Mode, View Grade Report, Sign in, Password reset</w:t>
            </w:r>
          </w:p>
        </w:tc>
      </w:tr>
      <w:tr>
        <w:tc>
          <w:tcPr>
            <w:tcW w:type="dxa" w:w="2556"/>
          </w:tcPr>
          <w:p>
            <w:r>
              <w:rPr>
                <w:b/>
              </w:rPr>
              <w:t>2.5.3 Label in Name</w:t>
            </w:r>
          </w:p>
        </w:tc>
        <w:tc>
          <w:tcPr>
            <w:tcW w:type="dxa" w:w="2556"/>
          </w:tcPr>
          <w:p>
            <w:r>
              <w:t>Level A</w:t>
            </w:r>
          </w:p>
        </w:tc>
        <w:tc>
          <w:tcPr>
            <w:tcW w:type="dxa" w:w="2556"/>
          </w:tcPr>
          <w:p>
            <w:r>
              <w:t>1</w:t>
            </w:r>
          </w:p>
        </w:tc>
        <w:tc>
          <w:tcPr>
            <w:tcW w:type="dxa" w:w="2556"/>
          </w:tcPr>
          <w:p>
            <w:r>
              <w:t xml:space="preserve">Make each control's accessible name begin with its visible caption. Move the instruction sentence on the class selection controls into a description and use "Classes" and "Class Menu" as the names, so that speech input can address them by what the user sees. </w:t>
            </w:r>
            <w:r>
              <w:t>Class Management — Accessibility Mode</w:t>
            </w:r>
          </w:p>
        </w:tc>
      </w:tr>
      <w:tr>
        <w:tc>
          <w:tcPr>
            <w:tcW w:type="dxa" w:w="2556"/>
          </w:tcPr>
          <w:p>
            <w:r>
              <w:rPr>
                <w:b/>
              </w:rPr>
              <w:t>3.1.1 Language of Page</w:t>
            </w:r>
          </w:p>
        </w:tc>
        <w:tc>
          <w:tcPr>
            <w:tcW w:type="dxa" w:w="2556"/>
          </w:tcPr>
          <w:p>
            <w:r>
              <w:t>Level A</w:t>
            </w:r>
          </w:p>
        </w:tc>
        <w:tc>
          <w:tcPr>
            <w:tcW w:type="dxa" w:w="2556"/>
          </w:tcPr>
          <w:p>
            <w:r>
              <w:t>1</w:t>
            </w:r>
          </w:p>
        </w:tc>
        <w:tc>
          <w:tcPr>
            <w:tcW w:type="dxa" w:w="2556"/>
          </w:tcPr>
          <w:p>
            <w:r>
              <w:t xml:space="preserve">Add a </w:t>
            </w:r>
            <w:r>
              <w:rPr>
                <w:rFonts w:ascii="Courier" w:hAnsi="Courier"/>
              </w:rPr>
              <w:t>lang</w:t>
            </w:r>
            <w:r>
              <w:t xml:space="preserve"> attribute to the </w:t>
            </w:r>
            <w:r>
              <w:rPr>
                <w:rFonts w:ascii="Courier" w:hAnsi="Courier"/>
              </w:rPr>
              <w:t>html</w:t>
            </w:r>
            <w:r>
              <w:t xml:space="preserve"> element of the four pages that lack one. </w:t>
            </w:r>
            <w:r>
              <w:t>Take Assignment, Sign in, Edit Class popup, Password reset</w:t>
            </w:r>
          </w:p>
        </w:tc>
      </w:tr>
      <w:tr>
        <w:tc>
          <w:tcPr>
            <w:tcW w:type="dxa" w:w="2556"/>
          </w:tcPr>
          <w:p>
            <w:r>
              <w:rPr>
                <w:b/>
              </w:rPr>
              <w:t>3.3.1 Error Identification</w:t>
            </w:r>
          </w:p>
        </w:tc>
        <w:tc>
          <w:tcPr>
            <w:tcW w:type="dxa" w:w="2556"/>
          </w:tcPr>
          <w:p>
            <w:r>
              <w:t>Level A</w:t>
            </w:r>
          </w:p>
        </w:tc>
        <w:tc>
          <w:tcPr>
            <w:tcW w:type="dxa" w:w="2556"/>
          </w:tcPr>
          <w:p>
            <w:r>
              <w:t>—</w:t>
            </w:r>
          </w:p>
        </w:tc>
        <w:tc>
          <w:tcPr>
            <w:tcW w:type="dxa" w:w="2556"/>
          </w:tcPr>
          <w:p>
            <w:r>
              <w:t xml:space="preserve">Mark the element that reports an error as a live region so it is announced without depending on a full page reload, and expose the required-field indicator to assistive technology rather than hiding it visually. </w:t>
            </w:r>
            <w:r>
              <w:t>Product-wide</w:t>
            </w:r>
          </w:p>
        </w:tc>
      </w:tr>
      <w:tr>
        <w:tc>
          <w:tcPr>
            <w:tcW w:type="dxa" w:w="2556"/>
          </w:tcPr>
          <w:p>
            <w:r>
              <w:rPr>
                <w:b/>
              </w:rPr>
              <w:t>3.3.2 Labels or Instructions</w:t>
            </w:r>
          </w:p>
        </w:tc>
        <w:tc>
          <w:tcPr>
            <w:tcW w:type="dxa" w:w="2556"/>
          </w:tcPr>
          <w:p>
            <w:r>
              <w:t>Level A</w:t>
            </w:r>
          </w:p>
        </w:tc>
        <w:tc>
          <w:tcPr>
            <w:tcW w:type="dxa" w:w="2556"/>
          </w:tcPr>
          <w:p>
            <w:r>
              <w:t>4</w:t>
            </w:r>
          </w:p>
        </w:tc>
        <w:tc>
          <w:tcPr>
            <w:tcW w:type="dxa" w:w="2556"/>
          </w:tcPr>
          <w:p>
            <w:r>
              <w:t xml:space="preserve">Associate every field with its visible caption using </w:t>
            </w:r>
            <w:r>
              <w:rPr>
                <w:rFonts w:ascii="Courier" w:hAnsi="Courier"/>
              </w:rPr>
              <w:t>label for</w:t>
            </w:r>
            <w:r>
              <w:t xml:space="preserve"> or </w:t>
            </w:r>
            <w:r>
              <w:rPr>
                <w:rFonts w:ascii="Courier" w:hAnsi="Courier"/>
              </w:rPr>
              <w:t>aria-labelledby</w:t>
            </w:r>
            <w:r>
              <w:t xml:space="preserve"> . The sign-in page already does this correctly one click from the password reset page, which does not — copy it. Give the answer entry area a real form control, and label the event detail fields. </w:t>
            </w:r>
            <w:r>
              <w:t>Take Assignment, Password reset, Calendar, Edit Class popup</w:t>
            </w:r>
          </w:p>
        </w:tc>
      </w:tr>
    </w:tbl>
    <w:p>
      <w:pPr>
        <w:pStyle w:val="Heading3"/>
      </w:pPr>
      <w:r>
        <w:t>For Full Compliance</w:t>
      </w:r>
    </w:p>
    <w:p>
      <w:r/>
      <w:r>
        <w:t>Level AA criteria the product does not meet. Level AA is the conformance target for the sector; these remain outstanding once the Level A work is done.</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tcPr>
          <w:p>
            <w:r>
              <w:rPr>
                <w:b/>
              </w:rPr>
              <w:t>Criterion</w:t>
            </w:r>
          </w:p>
        </w:tc>
        <w:tc>
          <w:tcPr>
            <w:tcW w:type="dxa" w:w="2556"/>
          </w:tcPr>
          <w:p>
            <w:r>
              <w:rPr>
                <w:b/>
              </w:rPr>
              <w:t>Level</w:t>
            </w:r>
          </w:p>
        </w:tc>
        <w:tc>
          <w:tcPr>
            <w:tcW w:type="dxa" w:w="2556"/>
          </w:tcPr>
          <w:p>
            <w:r>
              <w:rPr>
                <w:b/>
              </w:rPr>
              <w:t>Issues</w:t>
            </w:r>
          </w:p>
        </w:tc>
        <w:tc>
          <w:tcPr>
            <w:tcW w:type="dxa" w:w="2556"/>
          </w:tcPr>
          <w:p>
            <w:r>
              <w:rPr>
                <w:b/>
              </w:rPr>
              <w:t>What needs to be done</w:t>
            </w:r>
          </w:p>
        </w:tc>
      </w:tr>
      <w:tr>
        <w:tc>
          <w:tcPr>
            <w:tcW w:type="dxa" w:w="2556"/>
          </w:tcPr>
          <w:p>
            <w:r>
              <w:rPr>
                <w:b/>
              </w:rPr>
              <w:t>1.4.10 Reflow</w:t>
            </w:r>
          </w:p>
        </w:tc>
        <w:tc>
          <w:tcPr>
            <w:tcW w:type="dxa" w:w="2556"/>
          </w:tcPr>
          <w:p>
            <w:r>
              <w:t>Level AA</w:t>
            </w:r>
          </w:p>
        </w:tc>
        <w:tc>
          <w:tcPr>
            <w:tcW w:type="dxa" w:w="2556"/>
          </w:tcPr>
          <w:p>
            <w:r>
              <w:t>2</w:t>
            </w:r>
          </w:p>
        </w:tc>
        <w:tc>
          <w:tcPr>
            <w:tcW w:type="dxa" w:w="2556"/>
          </w:tcPr>
          <w:p>
            <w:r>
              <w:t xml:space="preserve">Replace the fixed 1300-pixel container with a layout that reflows to 320 CSS pixels without horizontal scrolling, and let the page behind a modal scroll so its fields and buttons stay reachable above 175 per cent zoom. </w:t>
            </w:r>
            <w:r>
              <w:t>Product-wide</w:t>
            </w:r>
          </w:p>
        </w:tc>
      </w:tr>
      <w:tr>
        <w:tc>
          <w:tcPr>
            <w:tcW w:type="dxa" w:w="2556"/>
          </w:tcPr>
          <w:p>
            <w:r>
              <w:rPr>
                <w:b/>
              </w:rPr>
              <w:t>2.4.5 Multiple Ways</w:t>
            </w:r>
          </w:p>
        </w:tc>
        <w:tc>
          <w:tcPr>
            <w:tcW w:type="dxa" w:w="2556"/>
          </w:tcPr>
          <w:p>
            <w:r>
              <w:t>Level AA</w:t>
            </w:r>
          </w:p>
        </w:tc>
        <w:tc>
          <w:tcPr>
            <w:tcW w:type="dxa" w:w="2556"/>
          </w:tcPr>
          <w:p>
            <w:r>
              <w:t>—</w:t>
            </w:r>
          </w:p>
        </w:tc>
        <w:tc>
          <w:tcPr>
            <w:tcW w:type="dxa" w:w="2556"/>
          </w:tcPr>
          <w:p>
            <w:r>
              <w:t xml:space="preserve">Provide a second route to each page — a search, a site map or an index — so that the grade report, the solutions, the calendar and the practice area can be reached without walking the assignments table. </w:t>
            </w:r>
            <w:r>
              <w:t>Product-wide</w:t>
            </w:r>
          </w:p>
        </w:tc>
      </w:tr>
      <w:tr>
        <w:tc>
          <w:tcPr>
            <w:tcW w:type="dxa" w:w="2556"/>
          </w:tcPr>
          <w:p>
            <w:r>
              <w:rPr>
                <w:b/>
              </w:rPr>
              <w:t>3.3.4 Error Prevention (Legal, Financial, Data)</w:t>
            </w:r>
          </w:p>
        </w:tc>
        <w:tc>
          <w:tcPr>
            <w:tcW w:type="dxa" w:w="2556"/>
          </w:tcPr>
          <w:p>
            <w:r>
              <w:t>Level AA</w:t>
            </w:r>
          </w:p>
        </w:tc>
        <w:tc>
          <w:tcPr>
            <w:tcW w:type="dxa" w:w="2556"/>
          </w:tcPr>
          <w:p>
            <w:r>
              <w:t>1</w:t>
            </w:r>
          </w:p>
        </w:tc>
        <w:tc>
          <w:tcPr>
            <w:tcW w:type="dxa" w:w="2556"/>
          </w:tcPr>
          <w:p>
            <w:r>
              <w:t xml:space="preserve">Confirm before any action that changes a student's score. Submit and Feedback act irreversibly on a single activation; "I give up" already asks first and shows the pattern to apply to the other two. </w:t>
            </w:r>
            <w:r>
              <w:t>Take Assignment</w:t>
            </w:r>
          </w:p>
        </w:tc>
      </w:tr>
    </w:tbl>
    <w:p>
      <w:r/>
    </w:p>
    <w:p>
      <w:r/>
      <w:r>
        <w:t>Source database hash beaa762d477d8c14. VPAT</w:t>
      </w:r>
      <w:r>
        <w:rPr>
          <w:vertAlign w:val="superscript"/>
        </w:rPr>
        <w:t>®</w:t>
      </w:r>
      <w:r>
        <w:t xml:space="preserve"> is a registered service mark of the Information Technology Industry Council (ITI); this report follows the structure of VPAT</w:t>
      </w:r>
      <w:r>
        <w:rPr>
          <w:vertAlign w:val="superscript"/>
        </w:rPr>
        <w:t>®</w:t>
      </w:r>
      <w:r>
        <w:t xml:space="preserve"> 2.5 and is not endorsed by ITI.</w:t>
      </w:r>
      <w:r/>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report-information" TargetMode="External"/><Relationship Id="rId11" Type="http://schemas.openxmlformats.org/officeDocument/2006/relationships/hyperlink" Target="#applicable-standards-guidelines" TargetMode="External"/><Relationship Id="rId12" Type="http://schemas.openxmlformats.org/officeDocument/2006/relationships/hyperlink" Target="#terms" TargetMode="External"/><Relationship Id="rId13" Type="http://schemas.openxmlformats.org/officeDocument/2006/relationships/hyperlink" Target="#wcag-2-2-report" TargetMode="External"/><Relationship Id="rId14" Type="http://schemas.openxmlformats.org/officeDocument/2006/relationships/hyperlink" Target="#table-1-success-criteria-level-a" TargetMode="External"/><Relationship Id="rId15" Type="http://schemas.openxmlformats.org/officeDocument/2006/relationships/hyperlink" Target="#table-2-success-criteria-level-aa" TargetMode="External"/><Relationship Id="rId16" Type="http://schemas.openxmlformats.org/officeDocument/2006/relationships/hyperlink" Target="#revised-section-508-chapter-3-functional-performance-criteria" TargetMode="External"/><Relationship Id="rId17" Type="http://schemas.openxmlformats.org/officeDocument/2006/relationships/hyperlink" Target="#vendor-roadmap" TargetMode="External"/><Relationship Id="rId18" Type="http://schemas.openxmlformats.org/officeDocument/2006/relationships/hyperlink" Target="#needs-immediate-attention" TargetMode="External"/><Relationship Id="rId19" Type="http://schemas.openxmlformats.org/officeDocument/2006/relationships/hyperlink" Target="#should-be-prioritized" TargetMode="External"/><Relationship Id="rId20" Type="http://schemas.openxmlformats.org/officeDocument/2006/relationships/hyperlink" Target="#for-full-compliance" TargetMode="External"/><Relationship Id="rId21" Type="http://schemas.openxmlformats.org/officeDocument/2006/relationships/hyperlink" Target="mailto:fontaine@sfsu.edu" TargetMode="External"/><Relationship Id="rId22" Type="http://schemas.openxmlformats.org/officeDocument/2006/relationships/hyperlink" Target="https://www.w3.org/WAI/WCAG22/Understanding/non-text-content.html" TargetMode="External"/><Relationship Id="rId23" Type="http://schemas.openxmlformats.org/officeDocument/2006/relationships/hyperlink" Target="https://www.w3.org/WAI/WCAG22/Understanding/audio-only-and-video-only-prerecorded.html" TargetMode="External"/><Relationship Id="rId24" Type="http://schemas.openxmlformats.org/officeDocument/2006/relationships/hyperlink" Target="https://www.w3.org/WAI/WCAG22/Understanding/captions-prerecorded.html" TargetMode="External"/><Relationship Id="rId25" Type="http://schemas.openxmlformats.org/officeDocument/2006/relationships/hyperlink" Target="https://www.w3.org/WAI/WCAG22/Understanding/audio-description-or-media-alternative-prerecorded.html" TargetMode="External"/><Relationship Id="rId26" Type="http://schemas.openxmlformats.org/officeDocument/2006/relationships/hyperlink" Target="https://www.w3.org/WAI/WCAG22/Understanding/info-and-relationships.html" TargetMode="External"/><Relationship Id="rId27" Type="http://schemas.openxmlformats.org/officeDocument/2006/relationships/hyperlink" Target="https://www.w3.org/WAI/WCAG22/Understanding/meaningful-sequence.html" TargetMode="External"/><Relationship Id="rId28" Type="http://schemas.openxmlformats.org/officeDocument/2006/relationships/hyperlink" Target="https://www.w3.org/WAI/WCAG22/Understanding/sensory-characteristics.html" TargetMode="External"/><Relationship Id="rId29" Type="http://schemas.openxmlformats.org/officeDocument/2006/relationships/hyperlink" Target="https://www.w3.org/WAI/WCAG22/Understanding/use-of-color.html" TargetMode="External"/><Relationship Id="rId30" Type="http://schemas.openxmlformats.org/officeDocument/2006/relationships/hyperlink" Target="https://www.w3.org/WAI/WCAG22/Understanding/audio-control.html" TargetMode="External"/><Relationship Id="rId31" Type="http://schemas.openxmlformats.org/officeDocument/2006/relationships/hyperlink" Target="https://www.w3.org/WAI/WCAG22/Understanding/keyboard.html" TargetMode="External"/><Relationship Id="rId32" Type="http://schemas.openxmlformats.org/officeDocument/2006/relationships/hyperlink" Target="https://www.w3.org/WAI/WCAG22/Understanding/no-keyboard-trap.html" TargetMode="External"/><Relationship Id="rId33" Type="http://schemas.openxmlformats.org/officeDocument/2006/relationships/hyperlink" Target="https://www.w3.org/WAI/WCAG22/Understanding/character-key-shortcuts.html" TargetMode="External"/><Relationship Id="rId34" Type="http://schemas.openxmlformats.org/officeDocument/2006/relationships/hyperlink" Target="https://www.w3.org/WAI/WCAG22/Understanding/timing-adjustable.html" TargetMode="External"/><Relationship Id="rId35" Type="http://schemas.openxmlformats.org/officeDocument/2006/relationships/hyperlink" Target="https://www.w3.org/WAI/WCAG22/Understanding/pause-stop-hide.html" TargetMode="External"/><Relationship Id="rId36" Type="http://schemas.openxmlformats.org/officeDocument/2006/relationships/hyperlink" Target="https://www.w3.org/WAI/WCAG22/Understanding/three-flashes-or-below-threshold.html" TargetMode="External"/><Relationship Id="rId37" Type="http://schemas.openxmlformats.org/officeDocument/2006/relationships/hyperlink" Target="https://www.w3.org/WAI/WCAG22/Understanding/bypass-blocks.html" TargetMode="External"/><Relationship Id="rId38" Type="http://schemas.openxmlformats.org/officeDocument/2006/relationships/hyperlink" Target="https://www.w3.org/WAI/WCAG22/Understanding/page-titled.html" TargetMode="External"/><Relationship Id="rId39" Type="http://schemas.openxmlformats.org/officeDocument/2006/relationships/hyperlink" Target="https://www.w3.org/WAI/WCAG22/Understanding/focus-order.html" TargetMode="External"/><Relationship Id="rId40" Type="http://schemas.openxmlformats.org/officeDocument/2006/relationships/hyperlink" Target="https://www.w3.org/WAI/WCAG22/Understanding/link-purpose-in-context.html" TargetMode="External"/><Relationship Id="rId41" Type="http://schemas.openxmlformats.org/officeDocument/2006/relationships/hyperlink" Target="https://www.w3.org/WAI/WCAG22/Understanding/pointer-gestures.html" TargetMode="External"/><Relationship Id="rId42" Type="http://schemas.openxmlformats.org/officeDocument/2006/relationships/hyperlink" Target="https://www.w3.org/WAI/WCAG22/Understanding/pointer-cancellation.html" TargetMode="External"/><Relationship Id="rId43" Type="http://schemas.openxmlformats.org/officeDocument/2006/relationships/hyperlink" Target="https://www.w3.org/WAI/WCAG22/Understanding/label-in-name.html" TargetMode="External"/><Relationship Id="rId44" Type="http://schemas.openxmlformats.org/officeDocument/2006/relationships/hyperlink" Target="https://www.w3.org/WAI/WCAG22/Understanding/motion-actuation.html" TargetMode="External"/><Relationship Id="rId45" Type="http://schemas.openxmlformats.org/officeDocument/2006/relationships/hyperlink" Target="https://www.w3.org/WAI/WCAG22/Understanding/language-of-page.html" TargetMode="External"/><Relationship Id="rId46" Type="http://schemas.openxmlformats.org/officeDocument/2006/relationships/hyperlink" Target="https://www.w3.org/WAI/WCAG22/Understanding/on-focus.html" TargetMode="External"/><Relationship Id="rId47" Type="http://schemas.openxmlformats.org/officeDocument/2006/relationships/hyperlink" Target="https://www.w3.org/WAI/WCAG22/Understanding/on-input.html" TargetMode="External"/><Relationship Id="rId48" Type="http://schemas.openxmlformats.org/officeDocument/2006/relationships/hyperlink" Target="https://www.w3.org/WAI/WCAG22/Understanding/consistent-help.html" TargetMode="External"/><Relationship Id="rId49" Type="http://schemas.openxmlformats.org/officeDocument/2006/relationships/hyperlink" Target="https://www.w3.org/WAI/WCAG22/Understanding/error-identification.html" TargetMode="External"/><Relationship Id="rId50" Type="http://schemas.openxmlformats.org/officeDocument/2006/relationships/hyperlink" Target="https://www.w3.org/WAI/WCAG22/Understanding/labels-or-instructions.html" TargetMode="External"/><Relationship Id="rId51" Type="http://schemas.openxmlformats.org/officeDocument/2006/relationships/hyperlink" Target="https://www.w3.org/WAI/WCAG22/Understanding/redundant-entry.html" TargetMode="External"/><Relationship Id="rId52" Type="http://schemas.openxmlformats.org/officeDocument/2006/relationships/hyperlink" Target="https://www.w3.org/WAI/WCAG22/Understanding/name-role-value.html" TargetMode="External"/><Relationship Id="rId53" Type="http://schemas.openxmlformats.org/officeDocument/2006/relationships/hyperlink" Target="https://www.w3.org/WAI/WCAG22/Understanding/captions-live.html" TargetMode="External"/><Relationship Id="rId54" Type="http://schemas.openxmlformats.org/officeDocument/2006/relationships/hyperlink" Target="https://www.w3.org/WAI/WCAG22/Understanding/audio-description-prerecorded.html" TargetMode="External"/><Relationship Id="rId55" Type="http://schemas.openxmlformats.org/officeDocument/2006/relationships/hyperlink" Target="https://www.w3.org/WAI/WCAG22/Understanding/orientation.html" TargetMode="External"/><Relationship Id="rId56" Type="http://schemas.openxmlformats.org/officeDocument/2006/relationships/hyperlink" Target="https://www.w3.org/WAI/WCAG22/Understanding/identify-input-purpose.html" TargetMode="External"/><Relationship Id="rId57" Type="http://schemas.openxmlformats.org/officeDocument/2006/relationships/hyperlink" Target="https://www.w3.org/WAI/WCAG22/Understanding/contrast-minimum.html" TargetMode="External"/><Relationship Id="rId58" Type="http://schemas.openxmlformats.org/officeDocument/2006/relationships/hyperlink" Target="https://www.w3.org/WAI/WCAG22/Understanding/resize-text.html" TargetMode="External"/><Relationship Id="rId59" Type="http://schemas.openxmlformats.org/officeDocument/2006/relationships/hyperlink" Target="https://www.w3.org/WAI/WCAG22/Understanding/images-of-text.html" TargetMode="External"/><Relationship Id="rId60" Type="http://schemas.openxmlformats.org/officeDocument/2006/relationships/hyperlink" Target="https://www.w3.org/WAI/WCAG22/Understanding/reflow.html" TargetMode="External"/><Relationship Id="rId61" Type="http://schemas.openxmlformats.org/officeDocument/2006/relationships/hyperlink" Target="https://www.w3.org/WAI/WCAG22/Understanding/non-text-contrast.html" TargetMode="External"/><Relationship Id="rId62" Type="http://schemas.openxmlformats.org/officeDocument/2006/relationships/hyperlink" Target="https://www.w3.org/WAI/WCAG22/Understanding/text-spacing.html" TargetMode="External"/><Relationship Id="rId63" Type="http://schemas.openxmlformats.org/officeDocument/2006/relationships/hyperlink" Target="https://www.w3.org/WAI/WCAG22/Understanding/content-on-hover-or-focus.html" TargetMode="External"/><Relationship Id="rId64" Type="http://schemas.openxmlformats.org/officeDocument/2006/relationships/hyperlink" Target="https://www.w3.org/WAI/WCAG22/Understanding/multiple-ways.html" TargetMode="External"/><Relationship Id="rId65" Type="http://schemas.openxmlformats.org/officeDocument/2006/relationships/hyperlink" Target="https://www.w3.org/WAI/WCAG22/Understanding/headings-and-labels.html" TargetMode="External"/><Relationship Id="rId66" Type="http://schemas.openxmlformats.org/officeDocument/2006/relationships/hyperlink" Target="https://www.w3.org/WAI/WCAG22/Understanding/focus-visible.html" TargetMode="External"/><Relationship Id="rId67" Type="http://schemas.openxmlformats.org/officeDocument/2006/relationships/hyperlink" Target="https://www.w3.org/WAI/WCAG22/Understanding/focus-not-obscured-minimum.html" TargetMode="External"/><Relationship Id="rId68" Type="http://schemas.openxmlformats.org/officeDocument/2006/relationships/hyperlink" Target="https://www.w3.org/WAI/WCAG22/Understanding/dragging-movements.html" TargetMode="External"/><Relationship Id="rId69" Type="http://schemas.openxmlformats.org/officeDocument/2006/relationships/hyperlink" Target="https://www.w3.org/WAI/WCAG22/Understanding/target-size-minimum.html" TargetMode="External"/><Relationship Id="rId70" Type="http://schemas.openxmlformats.org/officeDocument/2006/relationships/hyperlink" Target="https://www.w3.org/WAI/WCAG22/Understanding/language-of-parts.html" TargetMode="External"/><Relationship Id="rId71" Type="http://schemas.openxmlformats.org/officeDocument/2006/relationships/hyperlink" Target="https://www.w3.org/WAI/WCAG22/Understanding/consistent-navigation.html" TargetMode="External"/><Relationship Id="rId72" Type="http://schemas.openxmlformats.org/officeDocument/2006/relationships/hyperlink" Target="https://www.w3.org/WAI/WCAG22/Understanding/consistent-identification.html" TargetMode="External"/><Relationship Id="rId73" Type="http://schemas.openxmlformats.org/officeDocument/2006/relationships/hyperlink" Target="https://www.w3.org/WAI/WCAG22/Understanding/error-suggestion.html" TargetMode="External"/><Relationship Id="rId74" Type="http://schemas.openxmlformats.org/officeDocument/2006/relationships/hyperlink" Target="https://www.w3.org/WAI/WCAG22/Understanding/error-prevention-legal-financial-data.html" TargetMode="External"/><Relationship Id="rId75" Type="http://schemas.openxmlformats.org/officeDocument/2006/relationships/hyperlink" Target="https://www.w3.org/WAI/WCAG22/Understanding/accessible-authentication-minimum.html" TargetMode="External"/><Relationship Id="rId76" Type="http://schemas.openxmlformats.org/officeDocument/2006/relationships/hyperlink" Target="https://www.w3.org/WAI/WCAG22/Understanding/status-mess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