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44802" cy="384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br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802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/>
    </w:p>
    <w:p>
      <w:pPr>
        <w:pStyle w:val="Heading1"/>
      </w:pPr>
      <w:r>
        <w:t>San Francisco Bay Region Network Manual Product Accessibility Evaluation</w:t>
      </w:r>
      <w:r/>
    </w:p>
    <w:p>
      <w:r/>
      <w:r>
        <w:rPr>
          <w:b/>
        </w:rPr>
        <w:t>The Expert TA</w:t>
      </w:r>
      <w:r>
        <w:t xml:space="preserve"> — Internal Report, based on VPAT</w:t>
      </w:r>
      <w:r>
        <w:rPr>
          <w:vertAlign w:val="superscript"/>
        </w:rPr>
        <w:t>®</w:t>
      </w:r>
      <w:r>
        <w:t xml:space="preserve"> Version 2.5Rev, WCAG Edition</w:t>
      </w:r>
      <w:r/>
      <w:r/>
    </w:p>
    <w:p>
      <w:r/>
      <w:r>
        <w:rPr>
          <w:b/>
        </w:rPr>
        <w:t>Internal document. Not for distribution to the supplier or the public.</w:t>
      </w:r>
      <w:r>
        <w:t xml:space="preserve"> Produced from the same evaluation, and the same evidence, as the accessibility conformance report for this product.</w:t>
      </w:r>
      <w:r/>
      <w:r/>
    </w:p>
    <w:p>
      <w:pPr>
        <w:pStyle w:val="Heading2"/>
      </w:pPr>
      <w:r>
        <w:t>Report information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rPr>
                <w:b/>
              </w:rPr>
              <w:t>Name of product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The Expert TA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5112"/>
          </w:tcPr>
          <w:p>
            <w:r>
              <w:t>September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Product description</w:t>
            </w:r>
          </w:p>
        </w:tc>
        <w:tc>
          <w:tcPr>
            <w:tcW w:type="dxa" w:w="5112"/>
          </w:tcPr>
          <w:p>
            <w:r>
              <w:t>Web-delivered software evaluated across 10 pages of the student-facing interface.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Evaluated by</w:t>
            </w:r>
          </w:p>
        </w:tc>
        <w:tc>
          <w:tcPr>
            <w:tcW w:type="dxa" w:w="5112"/>
          </w:tcPr>
          <w:p>
            <w:r>
              <w:t>Daniel Fontaine, SFBRN Accessible Technology Initiative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Contact information</w:t>
            </w:r>
          </w:p>
        </w:tc>
        <w:tc>
          <w:tcPr>
            <w:tcW w:type="dxa" w:w="5112"/>
          </w:tcPr>
          <w:p>
            <w:hyperlink r:id="rId10">
              <w:r>
                <w:rPr>
                  <w:color w:val="0000EE"/>
                  <w:u w:val="single"/>
                </w:rPr>
                <w:t>fontaine@sfsu.edu</w:t>
              </w:r>
            </w:hyperlink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Evaluation methods used</w:t>
            </w:r>
          </w:p>
        </w:tc>
        <w:tc>
          <w:tcPr>
            <w:tcW w:type="dxa" w:w="5112"/>
          </w:tcPr>
          <w:p>
            <w:r>
              <w:t>Manual testing by a human reviewer operating the product with assistive technology — screen reader, keyboard-only operation, browser zoom, colour filters and contrast measurement — supported by automated scanning (axe-core) and programmatic measurement over the Chrome DevTools Protocol. Automated results were used to direct attention only; no conformance level rests on a tool's output alone.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Pages evaluated</w:t>
            </w:r>
          </w:p>
        </w:tc>
        <w:tc>
          <w:tcPr>
            <w:tcW w:type="dxa" w:w="5112"/>
          </w:tcPr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 </w:t>
            </w:r>
            <w:r>
              <w:t>/common/default.aspx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</w:t>
            </w:r>
            <w:r>
              <w:t>/common/default2.aspx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</w:t>
            </w:r>
            <w:r>
              <w:t>/Common/TakeTutorialAssignment.aspx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Grade Report</w:t>
            </w:r>
            <w:r>
              <w:t xml:space="preserve"> </w:t>
            </w:r>
            <w:r>
              <w:t>/Common/GradeSheetGradeReport.aspx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</w:t>
            </w:r>
            <w:r>
              <w:t>/common/calendar.aspx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Sign in</w:t>
            </w:r>
            <w:r>
              <w:t xml:space="preserve"> </w:t>
            </w:r>
            <w:r>
              <w:t>/Login.aspx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Assignment Solutions</w:t>
            </w:r>
            <w:r>
              <w:t xml:space="preserve"> </w:t>
            </w:r>
            <w:r>
              <w:t>/Common/ViewAssignmentSolutionsV2.aspx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Student Practice Area</w:t>
            </w:r>
            <w:r>
              <w:t xml:space="preserve"> </w:t>
            </w:r>
            <w:r>
              <w:t>/Tutorial/ClassTutorialSelection.aspx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Printable Assignment</w:t>
            </w:r>
            <w:r>
              <w:t xml:space="preserve"> </w:t>
            </w:r>
            <w:r>
              <w:t>/Common/ViewAssignmentDetails.aspx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Password reset</w:t>
            </w:r>
            <w:r>
              <w:t xml:space="preserve"> </w:t>
            </w:r>
            <w:r>
              <w:t>/ResetPassword.aspx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Excluded from scope</w:t>
            </w:r>
          </w:p>
        </w:tc>
        <w:tc>
          <w:tcPr>
            <w:tcW w:type="dxa" w:w="5112"/>
          </w:tcPr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Academic Integrity Preferences</w:t>
            </w:r>
            <w:r>
              <w:t xml:space="preserve"> — not student-facing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Grades (Spreadsheet)</w:t>
            </w:r>
            <w:r>
              <w:t xml:space="preserve"> — not student-facing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Manage Class Roster</w:t>
            </w:r>
            <w:r>
              <w:t xml:space="preserve"> — not student-facing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Edit Class popup</w:t>
            </w:r>
            <w:r>
              <w:t xml:space="preserve"> — not student-facing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Assignment Editor (edit)</w:t>
            </w:r>
            <w:r>
              <w:t xml:space="preserve"> — not student-facing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Assignments Grade Sheet</w:t>
            </w:r>
            <w:r>
              <w:t xml:space="preserve"> — not student-facing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5112"/>
          </w:tcPr>
          <w:p>
            <w:r>
              <w:t xml:space="preserve">Task walk-throughs completed: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 xml:space="preserve">Open an assignment and read a problem — </w:t>
            </w:r>
            <w:r>
              <w:rPr>
                <w:b/>
              </w:rPr>
              <w:t>Pass with barriers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 xml:space="preserve">Answer and submit a problem — </w:t>
            </w:r>
            <w:r>
              <w:rPr>
                <w:b/>
              </w:rPr>
              <w:t>Fail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 xml:space="preserve">Complete an assignment under time limits and accommodations — </w:t>
            </w:r>
            <w:r>
              <w:rPr>
                <w:b/>
              </w:rPr>
              <w:t>Not run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 xml:space="preserve">Author an assignment from the library (instructor) — </w:t>
            </w:r>
            <w:r>
              <w:rPr>
                <w:b/>
              </w:rPr>
              <w:t>Not run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 xml:space="preserve">Check grades and feedback — </w:t>
            </w:r>
            <w:r>
              <w:rPr>
                <w:b/>
              </w:rPr>
              <w:t>Not run</w:t>
            </w:r>
          </w:p>
        </w:tc>
      </w:tr>
    </w:tbl>
    <w:p>
      <w:r/>
    </w:p>
    <w:p>
      <w:pPr>
        <w:pStyle w:val="Heading2"/>
      </w:pPr>
      <w:r>
        <w:t>Applicable standards / guidelines</w:t>
      </w:r>
      <w:r/>
    </w:p>
    <w:p>
      <w:r/>
      <w:r>
        <w:t>This report covers the degree of conformance for the following accessibility standard/guidelines.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rPr>
                <w:b/>
              </w:rPr>
              <w:t>Standard / Guideline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Included in report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Web Content Accessibility Guidelines 2.2</w:t>
            </w:r>
          </w:p>
        </w:tc>
        <w:tc>
          <w:tcPr>
            <w:tcW w:type="dxa" w:w="5112"/>
          </w:tcPr>
          <w:p>
            <w:r>
              <w:t xml:space="preserve">Level A (Yes) </w:t>
              <w:br/>
            </w:r>
            <w:r>
              <w:t xml:space="preserve"> Level AA (Yes) </w:t>
              <w:br/>
            </w:r>
            <w:r>
              <w:t xml:space="preserve"> Level AAA (No)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Revised Section 508 — Chapter 3, Functional Performance Criteria</w:t>
            </w:r>
          </w:p>
        </w:tc>
        <w:tc>
          <w:tcPr>
            <w:tcW w:type="dxa" w:w="5112"/>
          </w:tcPr>
          <w:p>
            <w:r>
              <w:t>Yes — reported in addition to the WCAG edition's requirements</w:t>
            </w:r>
          </w:p>
        </w:tc>
      </w:tr>
    </w:tbl>
    <w:p>
      <w:r/>
    </w:p>
    <w:p>
      <w:pPr>
        <w:pStyle w:val="Heading2"/>
      </w:pPr>
      <w:r>
        <w:t>Terms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Supports</w:t>
            </w:r>
          </w:p>
        </w:tc>
        <w:tc>
          <w:tcPr>
            <w:tcW w:type="dxa" w:w="5112"/>
          </w:tcPr>
          <w:p>
            <w:r>
              <w:t>The functionality of the product has at least one method that meets the criterion without known defects, or meets with equivalent facilitation.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Partially Supports</w:t>
            </w:r>
          </w:p>
        </w:tc>
        <w:tc>
          <w:tcPr>
            <w:tcW w:type="dxa" w:w="5112"/>
          </w:tcPr>
          <w:p>
            <w:r>
              <w:t>Some functionality of the product does not meet the criterion.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Does Not Support</w:t>
            </w:r>
          </w:p>
        </w:tc>
        <w:tc>
          <w:tcPr>
            <w:tcW w:type="dxa" w:w="5112"/>
          </w:tcPr>
          <w:p>
            <w:r>
              <w:t>The majority of product functionality does not meet the criterion.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5112"/>
          </w:tcPr>
          <w:p>
            <w:r>
              <w:t>The criterion is not relevant to the product.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Not Evaluated</w:t>
            </w:r>
          </w:p>
        </w:tc>
        <w:tc>
          <w:tcPr>
            <w:tcW w:type="dxa" w:w="5112"/>
          </w:tcPr>
          <w:p>
            <w:r>
              <w:t>The product has not been evaluated against the criterion. This can be used only in WCAG 2.x Level AAA.</w:t>
            </w:r>
          </w:p>
        </w:tc>
      </w:tr>
    </w:tbl>
    <w:p>
      <w:r/>
    </w:p>
    <w:p>
      <w:pPr>
        <w:pStyle w:val="Heading2"/>
      </w:pPr>
      <w:r>
        <w:t>User Functional Limitations</w:t>
      </w:r>
    </w:p>
    <w:p>
      <w:r/>
      <w:r>
        <w:t>This product's interface presents usability barriers for people with disabilities. Use the table below to plan equally effective alternatives.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rPr>
                <w:b/>
              </w:rPr>
              <w:t>User group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What the user cannot do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Blindness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Cannot use at all:</w:t>
            </w:r>
            <w:r>
              <w:t xml:space="preserve"> Class Management (standard mode), Take Assignment, View Grade Report, Calendar, Student Practice Area.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Nothing in the Student Practice Area takes keyboard focus and the page has no headings, so a keyboard or screen-reader user cannot choose a book, a chapter or a problem.</w:t>
            </w:r>
            <w:r>
              <w:t>Blocker</w:t>
            </w:r>
            <w:r>
              <w:t>Student Practice Area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student's submitted work is shown as images with no text alternative, so a screen-reader user cannot read their own graded answers.</w:t>
            </w:r>
            <w:r>
              <w:t>Blocker</w:t>
            </w:r>
            <w:r>
              <w:t>View Grade Report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answer read-back speaks raw markup instead of the mathematics, so a screen-reader user cannot check what they have entered before submitting.</w:t>
            </w:r>
            <w:r>
              <w:t>Blocker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assignments table and its controls carry no headings or landmarks, so a screen-reader user must tab through the whole page to find an assignment.</w:t>
            </w:r>
            <w:r>
              <w:t>Major</w:t>
            </w:r>
            <w:r>
              <w:t>Class Management — Accessibility Mode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Activating a problem does not move focus to it and no heading marks it, so a screen-reader user has no way to reach the problem they just opened.</w:t>
            </w:r>
            <w:r>
              <w:t>Major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No page carries headings or landmarks, so a screen-reader user cannot jump between sections and must read or tab through everything in order.</w:t>
            </w:r>
            <w:r>
              <w:t>Major</w:t>
            </w:r>
            <w:r>
              <w:t>Class Management — Accessibility Mode, Class Management (standard mode)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Multiple-choice answer options have no accessible name, so a screen-reader user cannot tell which option they are selecting; where options contain mathematics the answer is unreadable.</w:t>
            </w:r>
            <w:r>
              <w:t>Major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diagram in a problem is hidden from assistive technology, so a screen-reader user cannot see the figure the question depends on.</w:t>
            </w:r>
            <w:r>
              <w:t>Major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formula and number entry area is a plain container rather than a form field, so a screen-reader user is not told it is an input or what it expects.</w:t>
            </w:r>
            <w:r>
              <w:t>Major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A requested hint is inserted below the reading position without announcement, so a screen-reader user is not told the help they asked for has arrived.</w:t>
            </w:r>
            <w:r>
              <w:t>Major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grade report's help links contain only punctuation, so a screen-reader user hears 22 anonymous links and cannot tell what help any of them offers.</w:t>
            </w:r>
            <w:r>
              <w:t>Major</w:t>
            </w:r>
            <w:r>
              <w:t>View Grade Report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worked solution figures have no alternative text because the attribute is malformed in the markup, so a screen-reader user reaches every problem and finds the explanation missing.</w:t>
            </w:r>
            <w:r>
              <w:t>Major</w:t>
            </w:r>
            <w:r>
              <w:t>View Assignment Solutions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Most problem figures on the printable assignment carry no alternative text and two are background images that cannot carry any, so a screen-reader user cannot read the diagrams.</w:t>
            </w:r>
            <w:r>
              <w:t>Major</w:t>
            </w:r>
            <w:r>
              <w:t>View Printable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calendar grid takes no keyboard focus, so a keyboard user cannot reach an assignment or open its details.</w:t>
            </w:r>
            <w:r>
              <w:t>Major</w:t>
            </w:r>
            <w:r>
              <w:t>Calendar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An assignment's due date and duration are shown only by the coloured bar's extent, so neither a screen-reader nor a colour-blind user can tell when work is due.</w:t>
            </w:r>
            <w:r>
              <w:t>Major</w:t>
            </w:r>
            <w:r>
              <w:t>Calendar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Opening an event and changing the month are not announced, so a screen-reader user is not told the page has changed.</w:t>
            </w:r>
            <w:r>
              <w:t>Major</w:t>
            </w:r>
            <w:r>
              <w:t>Calendar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event detail fields are unlabelled, and read-only dates are presented as editable date pickers, so a screen-reader user is invited to change information they cannot change.</w:t>
            </w:r>
            <w:r>
              <w:t>Major</w:t>
            </w:r>
            <w:r>
              <w:t>Calendar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Every selection re-announces the whole page identically, so a screen-reader user is never told which part actually changed.</w:t>
            </w:r>
            <w:r>
              <w:t>Major</w:t>
            </w:r>
            <w:r>
              <w:t>Student Practice Area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Every mathematical expression on the printable assignment is exposed as an unnamed button, so a screen-reader user gets a control instead of the mathematics.</w:t>
            </w:r>
            <w:r>
              <w:t>Major</w:t>
            </w:r>
            <w:r>
              <w:t>View Printable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popup form fields are not associated with their captions, so a screen-reader user is not told what each field expects.</w:t>
            </w:r>
            <w:r>
              <w:t>Major</w:t>
            </w:r>
            <w:r>
              <w:t>Edit Class popup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class selection controls announce an instruction instead of their label, so a screen-reader user learns what a control is for only after moving past it.</w:t>
            </w:r>
            <w:r>
              <w:t>Major</w:t>
            </w:r>
            <w:r>
              <w:t>Class Management — Accessibility Mode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jump-point shortcuts have no accessible name and appear outside the normal focus path, so a screen-reader user cannot tell what they do or reach them predictably.</w:t>
            </w:r>
            <w:r>
              <w:t>Major</w:t>
            </w:r>
            <w:r>
              <w:t>Class Management — Accessibility Mode, Class Management (standard mode)</w:t>
            </w:r>
            <w:r>
              <w:t xml:space="preserve"> </w:t>
            </w:r>
          </w:p>
          <w:p>
            <w:r/>
            <w:r>
              <w:t>11 further barriers of lower severity, in the tables below.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Low Vision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Cannot use at all:</w:t>
            </w:r>
            <w:r>
              <w:t xml:space="preserve"> View Printable Assignment, Take Assignment, View Grade Report, Calendar, View Assignment Solutions.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Every page is fixed at 1300 pixels wide and does not reflow, so a low-vision user at high zoom must scroll horizontally to read any line.</w:t>
            </w:r>
            <w:r>
              <w:t>Major</w:t>
            </w:r>
            <w:r>
              <w:t>Class Management (standard mode), Student Practice Area, Academic Integrity Preferences, View Grades (Spreadsheet), 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Section headings, deduction percentages and randomised values fall below the required contrast, so a low-vision user cannot read the numbers a task depends on.</w:t>
            </w:r>
            <w:r>
              <w:t>Major</w:t>
            </w:r>
            <w:r>
              <w:t>Class Management (standard mode), Assignment Editor (edit), Student Practice Area, View Grade Report, Manage Class Roster, View Assignment Solutions, View Printable Assignment, 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problem figures are low-resolution images containing text, so they blur at high zoom and the mathematics inside them becomes unreadable.</w:t>
            </w:r>
            <w:r>
              <w:t>Major</w:t>
            </w:r>
            <w:r>
              <w:t>Take Assignment, View Grade Report, View Assignment Solutions, View Printable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Edit Class popup is fixed in size and the page behind it cannot scroll, so above 175 per cent zoom its fields and buttons cannot be reached at all.</w:t>
            </w:r>
            <w:r>
              <w:t>Major</w:t>
            </w:r>
            <w:r>
              <w:t>Edit Class popup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Randomised values, hint costs, calendar events and late submissions are marked by colour alone, so a colour-blind user cannot tell which numbers are theirs or when work is due.</w:t>
            </w:r>
            <w:r>
              <w:t>Major</w:t>
            </w:r>
            <w:r>
              <w:t>View Printable Assignment, Student Practice Area, View Grade Report, Take Assignment, View Assignment Solutions, Calendar, Class Management (standard mode)</w:t>
            </w:r>
            <w:r>
              <w:t xml:space="preserve"> </w:t>
            </w:r>
          </w:p>
          <w:p>
            <w:r/>
            <w:r>
              <w:t>1 further barrier of lower severity, in the tables below.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Deafness · Hard of Hearing</w:t>
            </w:r>
          </w:p>
        </w:tc>
        <w:tc>
          <w:tcPr>
            <w:tcW w:type="dxa" w:w="5112"/>
          </w:tcPr>
          <w:p>
            <w:pPr>
              <w:pStyle w:val="ListBullet"/>
              <w:spacing w:line="240" w:lineRule="auto"/>
              <w:ind w:left="720"/>
            </w:pPr>
            <w:r/>
            <w:r>
              <w:t>The library videos rely on automatically generated captions, so a user who cannot hear gets an unreviewed transcript of instructional material.</w:t>
            </w:r>
            <w:r>
              <w:t>Major</w:t>
            </w:r>
            <w:r>
              <w:t>Assignment Editor (edit)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Speech Disabilities</w:t>
            </w:r>
          </w:p>
        </w:tc>
        <w:tc>
          <w:tcPr>
            <w:tcW w:type="dxa" w:w="5112"/>
          </w:tcPr>
          <w:p>
            <w:r/>
            <w:r>
              <w:t>No barriers found in the evaluated sample.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Limited Manual Dexterity · Limited Reach and Strength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Cannot use at all:</w:t>
            </w:r>
            <w:r>
              <w:t xml:space="preserve"> Class Management (standard mode), Calendar, Student Practice Area.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Nothing in the Student Practice Area takes keyboard focus and the page has no headings, so a keyboard or screen-reader user cannot choose a book, a chapter or a problem.</w:t>
            </w:r>
            <w:r>
              <w:t>Blocker</w:t>
            </w:r>
            <w:r>
              <w:t>Student Practice Area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Activating a problem does not move focus to it and no heading marks it, so a screen-reader user has no way to reach the problem they just opened.</w:t>
            </w:r>
            <w:r>
              <w:t>Major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No page carries headings or landmarks, so a screen-reader user cannot jump between sections and must read or tab through everything in order.</w:t>
            </w:r>
            <w:r>
              <w:t>Major</w:t>
            </w:r>
            <w:r>
              <w:t>Class Management — Accessibility Mode, Class Management (standard mode)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formula and number entry area is a plain container rather than a form field, so a screen-reader user is not told it is an input or what it expects.</w:t>
            </w:r>
            <w:r>
              <w:t>Major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A requested hint is inserted below the reading position without announcement, so a screen-reader user is not told the help they asked for has arrived.</w:t>
            </w:r>
            <w:r>
              <w:t>Major</w:t>
            </w:r>
            <w:r>
              <w:t>Take Assignment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calendar grid takes no keyboard focus, so a keyboard user cannot reach an assignment or open its details.</w:t>
            </w:r>
            <w:r>
              <w:t>Major</w:t>
            </w:r>
            <w:r>
              <w:t>Calendar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Opening an event and changing the month are not announced, so a screen-reader user is not told the page has changed.</w:t>
            </w:r>
            <w:r>
              <w:t>Major</w:t>
            </w:r>
            <w:r>
              <w:t>Calendar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t>The jump-point shortcuts have no accessible name and appear outside the normal focus path, so a screen-reader user cannot tell what they do or reach them predictably.</w:t>
            </w:r>
            <w:r>
              <w:t>Major</w:t>
            </w:r>
            <w:r>
              <w:t>Class Management — Accessibility Mode, Class Management (standard mode)</w:t>
            </w:r>
            <w:r>
              <w:t xml:space="preserve"> </w:t>
            </w:r>
          </w:p>
          <w:p>
            <w:r/>
            <w:r>
              <w:t>3 further barriers of lower severity, in the tables below.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Cognitive Disability</w:t>
            </w:r>
          </w:p>
        </w:tc>
        <w:tc>
          <w:tcPr>
            <w:tcW w:type="dxa" w:w="5112"/>
          </w:tcPr>
          <w:p>
            <w:pPr>
              <w:pStyle w:val="ListBullet"/>
              <w:spacing w:line="240" w:lineRule="auto"/>
              <w:ind w:left="720"/>
            </w:pPr>
            <w:r/>
            <w:r>
              <w:t>Submitting an answer and requesting feedback each reduce the score on a single activation without asking, so a user who activates one in error loses marks irreversibly.</w:t>
            </w:r>
            <w:r>
              <w:t>Major</w:t>
            </w:r>
            <w:r>
              <w:t>Take Assignment</w:t>
            </w:r>
            <w:r>
              <w:t xml:space="preserve"> </w:t>
            </w:r>
          </w:p>
          <w:p>
            <w:r/>
            <w:r>
              <w:t>1 further barrier of lower severity, in the tables below.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Photosensitivity</w:t>
            </w:r>
          </w:p>
        </w:tc>
        <w:tc>
          <w:tcPr>
            <w:tcW w:type="dxa" w:w="5112"/>
          </w:tcPr>
          <w:p>
            <w:r/>
            <w:r>
              <w:t>No barriers found.</w:t>
            </w:r>
          </w:p>
        </w:tc>
      </w:tr>
    </w:tbl>
    <w:p>
      <w:r/>
    </w:p>
    <w:p>
      <w:pPr>
        <w:pStyle w:val="Heading2"/>
      </w:pPr>
      <w:r>
        <w:t>WCAG 2.2 Report</w:t>
      </w:r>
      <w:r/>
    </w:p>
    <w:p>
      <w:r/>
      <w:r>
        <w:t>Tables 1 and 2 also document conformance with EN 301 549 and Revised Section 508 where those standards incorporate WCAG by reference.</w:t>
      </w:r>
      <w:r/>
    </w:p>
    <w:p>
      <w:pPr>
        <w:pStyle w:val="Heading3"/>
      </w:pPr>
      <w:r>
        <w:t>Table 1: Success Criteria, Level 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Conformance level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Remarks and explanations</w:t>
            </w:r>
          </w:p>
        </w:tc>
      </w:tr>
      <w:tr>
        <w:tc>
          <w:tcPr>
            <w:tcW w:type="dxa" w:w="3408"/>
          </w:tcPr>
          <w:p>
            <w:hyperlink r:id="rId11">
              <w:r>
                <w:rPr>
                  <w:color w:val="0000EE"/>
                  <w:u w:val="single"/>
                </w:rPr>
                <w:t>1.1.1 Non-text Content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1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Grade Report</w:t>
            </w:r>
            <w:r>
              <w:t xml:space="preserve"> — The student's submitted work is shown as images with no text alternative, so a screen-reader user cannot read their own graded answers.</w:t>
            </w:r>
            <w:r>
              <w:t>Blocker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The diagram in a problem is hidden from assistive technology, so a screen-reader user cannot see the figure the question depends on.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Assignment Solutions</w:t>
            </w:r>
            <w:r>
              <w:t xml:space="preserve"> — The worked solution figures have no alternative text because the attribute is malformed in the markup, so a screen-reader user reaches every problem and finds the explanation missing.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Printable Assignment</w:t>
            </w:r>
            <w:r>
              <w:t xml:space="preserve"> — Most problem figures on the printable assignment carry no alternative text and two are background images that cannot carry any, so a screen-reader user cannot read the diagrams.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Printable Assignment</w:t>
            </w:r>
            <w:r>
              <w:t xml:space="preserve"> — Every mathematical expression on the printable assignment is exposed as an unnamed button, so a screen-reader user gets a control instead of the mathematics.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, </w:t>
            </w:r>
            <w:r>
              <w:rPr>
                <w:b/>
              </w:rPr>
              <w:t>Class Management — Accessibility Mode</w:t>
            </w:r>
            <w:r>
              <w:t xml:space="preserve">, </w:t>
            </w:r>
            <w:r>
              <w:rPr>
                <w:b/>
              </w:rPr>
              <w:t>Student Practice Area</w:t>
            </w:r>
            <w:r>
              <w:t xml:space="preserve"> — The grid expand controls are images with no name or role, so a screen-reader user hears only that something clickable exists, not what it opens.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Sign in</w:t>
            </w:r>
            <w:r>
              <w:t xml:space="preserve">, </w:t>
            </w:r>
            <w:r>
              <w:rPr>
                <w:b/>
              </w:rPr>
              <w:t>Password reset</w:t>
            </w:r>
            <w:r>
              <w:t xml:space="preserve"> — The logo link on the sign-in and password reset pages has no accessible name, so a screen-reader user meets a link that says nothing about where it leads.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12">
              <w:r>
                <w:rPr>
                  <w:color w:val="0000EE"/>
                  <w:u w:val="single"/>
                </w:rPr>
                <w:t>1.2.1 Audio-only and Video-only (Prerecorded)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2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 audio-only or video-only prerecorded media in the sample.</w:t>
            </w:r>
          </w:p>
        </w:tc>
      </w:tr>
      <w:tr>
        <w:tc>
          <w:tcPr>
            <w:tcW w:type="dxa" w:w="3408"/>
          </w:tcPr>
          <w:p>
            <w:hyperlink r:id="rId13">
              <w:r>
                <w:rPr>
                  <w:color w:val="0000EE"/>
                  <w:u w:val="single"/>
                </w:rPr>
                <w:t>1.2.2 Captions (Prerecorded)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3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The only prerecorded video in the sample — YouTube embeds in the expanding area under Library on the Assignment Editor — has captions, but they are YouTube auto-generated.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Assignment Editor (edit)</w:t>
            </w:r>
            <w:r>
              <w:t xml:space="preserve"> — The library videos rely on automatically generated captions, so a user who cannot hear gets an unreviewed transcript of instructional material.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14">
              <w:r>
                <w:rPr>
                  <w:color w:val="0000EE"/>
                  <w:u w:val="single"/>
                </w:rPr>
                <w:t>1.2.3 Audio Description or Media Alternative (Prerecorded)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4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Not present in the evaluated sample.</w:t>
            </w:r>
          </w:p>
        </w:tc>
      </w:tr>
      <w:tr>
        <w:tc>
          <w:tcPr>
            <w:tcW w:type="dxa" w:w="3408"/>
          </w:tcPr>
          <w:p>
            <w:hyperlink r:id="rId15">
              <w:r>
                <w:rPr>
                  <w:color w:val="0000EE"/>
                  <w:u w:val="single"/>
                </w:rPr>
                <w:t>1.3.1 Info and Relationships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5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>Class Management (standard mode) confirmed with NVDA: no headings/landmarks, grids told apart by position, editors unlabelled —, stand on both Class Management pages.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Student Practice Area</w:t>
            </w:r>
            <w:r>
              <w:t xml:space="preserve"> — Nothing in the Student Practice Area takes keyboard focus and the page has no headings, so a keyboard or screen-reader user cannot choose a book, a chapter or a problem.</w:t>
            </w:r>
            <w:r>
              <w:t>Blocker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The answer read-back speaks raw markup instead of the mathematics, so a screen-reader user cannot check what they have entered before submitting.</w:t>
            </w:r>
            <w:r>
              <w:t>Blocker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, </w:t>
            </w:r>
            <w:r>
              <w:rPr>
                <w:b/>
              </w:rPr>
              <w:t>Class Management (standard mode)</w:t>
            </w:r>
            <w:r>
              <w:t xml:space="preserve"> — No page carries headings or landmarks, so a screen-reader user cannot jump between sections and must read or tab through everything in order.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assignments table and its controls carry no headings or landmarks, so a screen-reader user must tab through the whole page to find an assignment.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Activating a problem does not move focus to it and no heading marks it, so a screen-reader user has no way to reach the problem they just opened.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Multiple-choice answer options have no accessible name, so a screen-reader user cannot tell which option they are selecting; where options contain mathematics the answer is unreadable.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The formula and number entry area is a plain container rather than a form field, so a screen-reader user is not told it is an input or what it expects.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— An assignment's due date and duration are shown only by the coloured bar's extent, so neither a screen-reader nor a colour-blind user can tell when work is due.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— The event detail fields are unlabelled, and read-only dates are presented as editable date pickers, so a screen-reader user is invited to change information they cannot change.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Edit Class popup</w:t>
            </w:r>
            <w:r>
              <w:t xml:space="preserve"> — The popup form fields are not associated with their captions, so a screen-reader user is not told what each field expects.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class selection controls announce an instruction instead of their label, so a screen-reader user learns what a control is for only after moving past it.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two data grids share one generic caption and generic column headers, so a screen-reader user can tell them apart only by their position on the page.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Password reset</w:t>
            </w:r>
            <w:r>
              <w:t xml:space="preserve"> — The password reset field has no label of its own, so a screen-reader user must infer what to type from the surrounding table.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Printable Assignment</w:t>
            </w:r>
            <w:r>
              <w:t xml:space="preserve"> — Empty layout-table cells are announced as content, so a screen-reader user hears repeated blank cells between the parts of a problem.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16">
              <w:r>
                <w:rPr>
                  <w:color w:val="0000EE"/>
                  <w:u w:val="single"/>
                </w:rPr>
                <w:t>1.3.2 Meaningful Sequence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6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Reading order matches the meaning of the visual order — verified on all pages tested.</w:t>
            </w:r>
          </w:p>
        </w:tc>
      </w:tr>
      <w:tr>
        <w:tc>
          <w:tcPr>
            <w:tcW w:type="dxa" w:w="3408"/>
          </w:tcPr>
          <w:p>
            <w:hyperlink r:id="rId17">
              <w:r>
                <w:rPr>
                  <w:color w:val="0000EE"/>
                  <w:u w:val="single"/>
                </w:rPr>
                <w:t>1.3.3 Sensory Characteristics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7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Nothing is conveyed only by visual position, shape, or size — verified on 6 of the 10 pages tested.</w:t>
            </w:r>
          </w:p>
        </w:tc>
      </w:tr>
      <w:tr>
        <w:tc>
          <w:tcPr>
            <w:tcW w:type="dxa" w:w="3408"/>
          </w:tcPr>
          <w:p>
            <w:hyperlink r:id="rId18">
              <w:r>
                <w:rPr>
                  <w:color w:val="0000EE"/>
                  <w:u w:val="single"/>
                </w:rPr>
                <w:t>1.4.1 Use of Color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8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 xml:space="preserve">Colour is the only visual carrier in four separate places, and two of them are information the student must act on: on </w:t>
            </w:r>
            <w:r>
              <w:rPr>
                <w:b/>
              </w:rPr>
              <w:t>Take Assignment</w:t>
            </w:r>
            <w:r>
              <w:t xml:space="preserve"> the randomised variable values — the numbers that go into the calculation — and the hint deduction percentages that say what help costs; on </w:t>
            </w:r>
            <w:r>
              <w:rPr>
                <w:b/>
              </w:rPr>
              <w:t>View Assignment Solutions</w:t>
            </w:r>
            <w:r>
              <w:t xml:space="preserve"> the same orange-red number token inside the worked solutions; on the </w:t>
            </w:r>
            <w:r>
              <w:rPr>
                <w:b/>
              </w:rPr>
              <w:t>Calendar</w:t>
            </w:r>
            <w:r>
              <w:t xml:space="preserve"> the event bar carrying an assignment's name and the days it spans, which fails totally; on </w:t>
            </w:r>
            <w:r>
              <w:rPr>
                <w:b/>
              </w:rPr>
              <w:t>Class Management</w:t>
            </w:r>
            <w:r>
              <w:t xml:space="preserve"> the headings that label the two grids.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Printable Assignment</w:t>
            </w:r>
            <w:r>
              <w:t xml:space="preserve"> and 6 other pages</w:t>
            </w:r>
            <w:r>
              <w:t xml:space="preserve"> — Randomised values, hint costs, calendar events and late submissions are marked by colour alone, so a colour-blind user cannot tell which numbers are theirs or when work is due.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19">
              <w:r>
                <w:rPr>
                  <w:color w:val="0000EE"/>
                  <w:u w:val="single"/>
                </w:rPr>
                <w:t>1.4.2 Audio Control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19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 audio plays automatically anywhere in the sample.</w:t>
            </w:r>
          </w:p>
        </w:tc>
      </w:tr>
      <w:tr>
        <w:tc>
          <w:tcPr>
            <w:tcW w:type="dxa" w:w="3408"/>
          </w:tcPr>
          <w:p>
            <w:hyperlink r:id="rId20">
              <w:r>
                <w:rPr>
                  <w:color w:val="0000EE"/>
                  <w:u w:val="single"/>
                </w:rPr>
                <w:t>2.1.1 Keyboard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0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In standard mode the assignment row's action menu — the only route to Take Assignment, View Grade Report and the other row actions — opens by mouse click only; nothing in the row is focusable and no key opens it.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Student Practice Area</w:t>
            </w:r>
            <w:r>
              <w:t xml:space="preserve"> — Nothing in the Student Practice Area takes keyboard focus and the page has no headings, so a keyboard or screen-reader user cannot choose a book, a chapter or a problem.</w:t>
            </w:r>
            <w:r>
              <w:t>Blocker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— The calendar grid takes no keyboard focus, so a keyboard user cannot reach an assignment or open its details.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 — On the standard Class Management page the assignment row's action menu opens only by mouse, so a keyboard user must switch to the Accessibility Page to start an assignment.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 — The grade-profile link is absent from the tab order but present to a screen reader, so a keyboard user without assistive technology cannot reach it at all.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21">
              <w:r>
                <w:rPr>
                  <w:color w:val="0000EE"/>
                  <w:u w:val="single"/>
                </w:rPr>
                <w:t>2.1.2 No Keyboard Trap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1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Focus is never trapped — verified on all pages tested.</w:t>
            </w:r>
          </w:p>
        </w:tc>
      </w:tr>
      <w:tr>
        <w:tc>
          <w:tcPr>
            <w:tcW w:type="dxa" w:w="3408"/>
          </w:tcPr>
          <w:p>
            <w:hyperlink r:id="rId22">
              <w:r>
                <w:rPr>
                  <w:color w:val="0000EE"/>
                  <w:u w:val="single"/>
                </w:rPr>
                <w:t>2.1.4 Character Key Shortcuts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22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Every keyboard shortcut this product defines is a modifier chord.</w:t>
            </w:r>
          </w:p>
        </w:tc>
      </w:tr>
      <w:tr>
        <w:tc>
          <w:tcPr>
            <w:tcW w:type="dxa" w:w="3408"/>
          </w:tcPr>
          <w:p>
            <w:hyperlink r:id="rId23">
              <w:r>
                <w:rPr>
                  <w:color w:val="0000EE"/>
                  <w:u w:val="single"/>
                </w:rPr>
                <w:t>2.2.1 Timing Adjustable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3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 timeouts encountered.</w:t>
            </w:r>
          </w:p>
        </w:tc>
      </w:tr>
      <w:tr>
        <w:tc>
          <w:tcPr>
            <w:tcW w:type="dxa" w:w="3408"/>
          </w:tcPr>
          <w:p>
            <w:hyperlink r:id="rId24">
              <w:r>
                <w:rPr>
                  <w:color w:val="0000EE"/>
                  <w:u w:val="single"/>
                </w:rPr>
                <w:t>2.2.2 Pause, Stop, Hide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4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Nothing moves, blinks, scrolls or updates automatically, so there is nothing to pause, stop or hide.</w:t>
            </w:r>
          </w:p>
        </w:tc>
      </w:tr>
      <w:tr>
        <w:tc>
          <w:tcPr>
            <w:tcW w:type="dxa" w:w="3408"/>
          </w:tcPr>
          <w:p>
            <w:hyperlink r:id="rId25">
              <w:r>
                <w:rPr>
                  <w:color w:val="0000EE"/>
                  <w:u w:val="single"/>
                </w:rPr>
                <w:t>2.3.1 Three Flashes or Below Threshold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5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 CSS animation, animated image, marquee, blink, canvas, SVG animation or video anywhere in the sample, so nothing can flash.</w:t>
            </w:r>
          </w:p>
        </w:tc>
      </w:tr>
      <w:tr>
        <w:tc>
          <w:tcPr>
            <w:tcW w:type="dxa" w:w="3408"/>
          </w:tcPr>
          <w:p>
            <w:hyperlink r:id="rId26">
              <w:r>
                <w:rPr>
                  <w:color w:val="0000EE"/>
                  <w:u w:val="single"/>
                </w:rPr>
                <w:t>2.4.1 Bypass Blocks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6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>NVDA on Class Management — Accessibility Mode: the section skip links work (focus moves to the next section) and a top-of-page jump point exists, so a bypass mechanism is present in Accessibility Mode; the controls are links by role and confusingly worded.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, </w:t>
            </w:r>
            <w:r>
              <w:rPr>
                <w:b/>
              </w:rPr>
              <w:t>Class Management (standard mode)</w:t>
            </w:r>
            <w:r>
              <w:t xml:space="preserve"> — No page carries headings or landmarks, so a screen-reader user cannot jump between sections and must read or tab through everything in order.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27">
              <w:r>
                <w:rPr>
                  <w:color w:val="0000EE"/>
                  <w:u w:val="single"/>
                </w:rPr>
                <w:t>2.4.2 Page Titled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7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Page/view title identifies its purpose — verified on all pages tested.</w:t>
            </w:r>
          </w:p>
        </w:tc>
      </w:tr>
      <w:tr>
        <w:tc>
          <w:tcPr>
            <w:tcW w:type="dxa" w:w="3408"/>
          </w:tcPr>
          <w:p>
            <w:hyperlink r:id="rId28">
              <w:r>
                <w:rPr>
                  <w:color w:val="0000EE"/>
                  <w:u w:val="single"/>
                </w:rPr>
                <w:t>2.4.3 Focus Order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8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NVDA on Take Assignment: activating a problem link does not move focus into the problem; the vendor's jump-point menu mounts links outside the natural focus path and is itself a hidden tab stop.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, </w:t>
            </w:r>
            <w:r>
              <w:rPr>
                <w:b/>
              </w:rPr>
              <w:t>Class Management (standard mode)</w:t>
            </w:r>
            <w:r>
              <w:t xml:space="preserve"> — The jump-point shortcuts have no accessible name and appear outside the normal focus path, so a screen-reader user cannot tell what they do or reach them predictably.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Activating a problem does not move focus to it and no heading marks it, so a screen-reader user has no way to reach the problem they just opened.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The formula and number entry area is a plain container rather than a form field, so a screen-reader user is not told it is an input or what it expects.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A requested hint is inserted below the reading position without announcement, so a screen-reader user is not told the help they asked for has arrived.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— Opening an event and changing the month are not announced, so a screen-reader user is not told the page has changed.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29">
              <w:r>
                <w:rPr>
                  <w:color w:val="0000EE"/>
                  <w:u w:val="single"/>
                </w:rPr>
                <w:t>2.4.4 Link Purpose (In Context)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29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 xml:space="preserve">Link purpose on Take Assignment and the remaining views still to be walked.: the grade report's 22 </w:t>
            </w:r>
            <w:r>
              <w:rPr>
                <w:rFonts w:ascii="Courier" w:hAnsi="Courier"/>
              </w:rPr>
              <w:t>[?]</w:t>
            </w:r>
            <w:r>
              <w:t xml:space="preserve"> help links have </w:t>
            </w:r>
            <w:r>
              <w:rPr>
                <w:rFonts w:ascii="Courier" w:hAnsi="Courier"/>
              </w:rPr>
              <w:t>[?]</w:t>
            </w:r>
            <w:r>
              <w:t xml:space="preserve"> as their entire text, no title and no aria-label, so the accessible name is empty and NVDA announces only "Visited Link".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Grade Report</w:t>
            </w:r>
            <w:r>
              <w:t xml:space="preserve"> — The grade report's help links contain only punctuation, so a screen-reader user hears 22 anonymous links and cannot tell what help any of them offers.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Sign in</w:t>
            </w:r>
            <w:r>
              <w:t xml:space="preserve">, </w:t>
            </w:r>
            <w:r>
              <w:rPr>
                <w:b/>
              </w:rPr>
              <w:t>Password reset</w:t>
            </w:r>
            <w:r>
              <w:t xml:space="preserve"> — The logo link on the sign-in and password reset pages has no accessible name, so a screen-reader user meets a link that says nothing about where it leads.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skip links are announced as links whose text names no destination, so a screen-reader user cannot tell where they lead.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30">
              <w:r>
                <w:rPr>
                  <w:color w:val="0000EE"/>
                  <w:u w:val="single"/>
                </w:rPr>
                <w:t>2.5.1 Pointer Gestures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30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Dragging and multipoint/path gestures have single-pointer, non-drag alternatives — verified on 1 of the 10 pages tested.</w:t>
            </w:r>
          </w:p>
        </w:tc>
      </w:tr>
      <w:tr>
        <w:tc>
          <w:tcPr>
            <w:tcW w:type="dxa" w:w="3408"/>
          </w:tcPr>
          <w:p>
            <w:hyperlink r:id="rId31">
              <w:r>
                <w:rPr>
                  <w:color w:val="0000EE"/>
                  <w:u w:val="single"/>
                </w:rPr>
                <w:t>2.5.2 Pointer Cancellation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31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Pointer actions can be cancelled — verified on all pages tested.</w:t>
            </w:r>
          </w:p>
        </w:tc>
      </w:tr>
      <w:tr>
        <w:tc>
          <w:tcPr>
            <w:tcW w:type="dxa" w:w="3408"/>
          </w:tcPr>
          <w:p>
            <w:hyperlink r:id="rId32">
              <w:r>
                <w:rPr>
                  <w:color w:val="0000EE"/>
                  <w:u w:val="single"/>
                </w:rPr>
                <w:t>2.5.3 Label in Name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32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NVDA on Class Management — Accessibility Mode: the Classes and Class Menu selects' accessible names are an instruction sentence; the visible labels "Classes:" / "Class Menu:" are not part of the name.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class selection controls announce an instruction instead of their label, so a screen-reader user learns what a control is for only after moving past it.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33">
              <w:r>
                <w:rPr>
                  <w:color w:val="0000EE"/>
                  <w:u w:val="single"/>
                </w:rPr>
                <w:t>2.5.4 Motion Actuation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33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 xml:space="preserve">No </w:t>
            </w:r>
            <w:r>
              <w:rPr>
                <w:rFonts w:ascii="Courier" w:hAnsi="Courier"/>
              </w:rPr>
              <w:t>devicemotion</w:t>
            </w:r>
            <w:r>
              <w:t xml:space="preserve"> or </w:t>
            </w:r>
            <w:r>
              <w:rPr>
                <w:rFonts w:ascii="Courier" w:hAnsi="Courier"/>
              </w:rPr>
              <w:t>deviceorientation</w:t>
            </w:r>
            <w:r>
              <w:t xml:space="preserve"> use in any readable script, so no functionality is operated by motion.</w:t>
            </w:r>
          </w:p>
        </w:tc>
      </w:tr>
      <w:tr>
        <w:tc>
          <w:tcPr>
            <w:tcW w:type="dxa" w:w="3408"/>
          </w:tcPr>
          <w:p>
            <w:hyperlink r:id="rId34">
              <w:r>
                <w:rPr>
                  <w:color w:val="0000EE"/>
                  <w:u w:val="single"/>
                </w:rPr>
                <w:t>3.1.1 Language of Page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34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 xml:space="preserve">Earlier,: three of the fourteen sampled views declare no </w:t>
            </w:r>
            <w:r>
              <w:rPr>
                <w:rFonts w:ascii="Courier" w:hAnsi="Courier"/>
              </w:rPr>
              <w:t>lang</w:t>
            </w:r>
            <w:r>
              <w:t xml:space="preserve"> — Take Assignment (Take Assignment), Sign in (Sign in), the Edit Class popup (Edit Class popup); the other eleven declare </w:t>
            </w:r>
            <w:r>
              <w:rPr>
                <w:rFonts w:ascii="Courier" w:hAnsi="Courier"/>
              </w:rPr>
              <w:t>en</w:t>
            </w:r>
            <w:r>
              <w:t xml:space="preserve"> (probe runs.).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and 3 other pages</w:t>
            </w:r>
            <w:r>
              <w:t xml:space="preserve"> — Four pages declare no language, so a screen reader may pronounce them with the wrong voice.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35">
              <w:r>
                <w:rPr>
                  <w:color w:val="0000EE"/>
                  <w:u w:val="single"/>
                </w:rPr>
                <w:t>3.2.1 On Focus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35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Focus/input does not trigger unexpected context changes — verified on all pages tested.</w:t>
            </w:r>
          </w:p>
        </w:tc>
      </w:tr>
      <w:tr>
        <w:tc>
          <w:tcPr>
            <w:tcW w:type="dxa" w:w="3408"/>
          </w:tcPr>
          <w:p>
            <w:hyperlink r:id="rId36">
              <w:r>
                <w:rPr>
                  <w:color w:val="0000EE"/>
                  <w:u w:val="single"/>
                </w:rPr>
                <w:t>3.2.2 On Input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36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Focus/input does not trigger unexpected context changes — verified on all pages tested.</w:t>
            </w:r>
          </w:p>
        </w:tc>
      </w:tr>
      <w:tr>
        <w:tc>
          <w:tcPr>
            <w:tcW w:type="dxa" w:w="3408"/>
          </w:tcPr>
          <w:p>
            <w:hyperlink r:id="rId37">
              <w:r>
                <w:rPr>
                  <w:color w:val="0000EE"/>
                  <w:u w:val="single"/>
                </w:rPr>
                <w:t>3.2.6 Consistent Help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2.2</w:t>
            </w:r>
            <w:r>
              <w:rPr>
                <w:b/>
              </w:rPr>
              <w:t xml:space="preserve"> </w:t>
            </w:r>
            <w:hyperlink r:id="rId37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Help appears in a consistent location — verified on all pages tested.</w:t>
            </w:r>
          </w:p>
        </w:tc>
      </w:tr>
      <w:tr>
        <w:tc>
          <w:tcPr>
            <w:tcW w:type="dxa" w:w="3408"/>
          </w:tcPr>
          <w:p>
            <w:hyperlink r:id="rId38">
              <w:r>
                <w:rPr>
                  <w:color w:val="0000EE"/>
                  <w:u w:val="single"/>
                </w:rPr>
                <w:t>3.3.1 Error Identification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38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You have previously used this answer.</w:t>
            </w:r>
          </w:p>
        </w:tc>
      </w:tr>
      <w:tr>
        <w:tc>
          <w:tcPr>
            <w:tcW w:type="dxa" w:w="3408"/>
          </w:tcPr>
          <w:p>
            <w:hyperlink r:id="rId39">
              <w:r>
                <w:rPr>
                  <w:color w:val="0000EE"/>
                  <w:u w:val="single"/>
                </w:rPr>
                <w:t>3.3.2 Labels or Instructions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39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The pattern is one mechanism: the application lays its forms out in tables and lets the surrounding table text stand in for a label, so the screen reader announces context rather than a name.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The formula and number entry area is a plain container rather than a form field, so a screen-reader user is not told it is an input or what it expects.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— The event detail fields are unlabelled, and read-only dates are presented as editable date pickers, so a screen-reader user is invited to change information they cannot change.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Edit Class popup</w:t>
            </w:r>
            <w:r>
              <w:t xml:space="preserve"> — The popup form fields are not associated with their captions, so a screen-reader user is not told what each field expects.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Password reset</w:t>
            </w:r>
            <w:r>
              <w:t xml:space="preserve"> — The password reset field has no label of its own, so a screen-reader user must infer what to type from the surrounding table.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40">
              <w:r>
                <w:rPr>
                  <w:color w:val="0000EE"/>
                  <w:u w:val="single"/>
                </w:rPr>
                <w:t>3.3.7 Redundant Entry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2.2</w:t>
            </w:r>
            <w:r>
              <w:rPr>
                <w:b/>
              </w:rPr>
              <w:t xml:space="preserve"> </w:t>
            </w:r>
            <w:hyperlink r:id="rId40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Previously entered information is not demanded again — verified on 7 of the 10 pages tested.</w:t>
            </w:r>
          </w:p>
        </w:tc>
      </w:tr>
      <w:tr>
        <w:tc>
          <w:tcPr>
            <w:tcW w:type="dxa" w:w="3408"/>
          </w:tcPr>
          <w:p>
            <w:hyperlink r:id="rId41">
              <w:r>
                <w:rPr>
                  <w:color w:val="0000EE"/>
                  <w:u w:val="single"/>
                </w:rPr>
                <w:t>4.1.2 Name, Role, Value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A)</w:t>
            </w:r>
            <w:r>
              <w:rPr>
                <w:b/>
              </w:rPr>
              <w:t xml:space="preserve"> </w:t>
            </w:r>
            <w:hyperlink r:id="rId41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>Class Management — Accessibility Mode: skip controls exposed as links though they act as buttons; per-row Actions select without a name; popup inputs without names.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Student Practice Area</w:t>
            </w:r>
            <w:r>
              <w:t xml:space="preserve"> — Nothing in the Student Practice Area takes keyboard focus and the page has no headings, so a keyboard or screen-reader user cannot choose a book, a chapter or a problem.</w:t>
            </w:r>
            <w:r>
              <w:t>Blocker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, </w:t>
            </w:r>
            <w:r>
              <w:rPr>
                <w:b/>
              </w:rPr>
              <w:t>Class Management (standard mode)</w:t>
            </w:r>
            <w:r>
              <w:t xml:space="preserve"> — The jump-point shortcuts have no accessible name and appear outside the normal focus path, so a screen-reader user cannot tell what they do or reach them predictably.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assignments table and its controls carry no headings or landmarks, so a screen-reader user must tab through the whole page to find an assignment.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Multiple-choice answer options have no accessible name, so a screen-reader user cannot tell which option they are selecting; where options contain mathematics the answer is unreadable.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The formula and number entry area is a plain container rather than a form field, so a screen-reader user is not told it is an input or what it expects.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Grade Report</w:t>
            </w:r>
            <w:r>
              <w:t xml:space="preserve"> — The grade report's help links contain only punctuation, so a screen-reader user hears 22 anonymous links and cannot tell what help any of them offers.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— The calendar grid takes no keyboard focus, so a keyboard user cannot reach an assignment or open its details.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— The event detail fields are unlabelled, and read-only dates are presented as editable date pickers, so a screen-reader user is invited to change information they cannot change.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Printable Assignment</w:t>
            </w:r>
            <w:r>
              <w:t xml:space="preserve"> — Every mathematical expression on the printable assignment is exposed as an unnamed button, so a screen-reader user gets a control instead of the mathematics.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Edit Class popup</w:t>
            </w:r>
            <w:r>
              <w:t xml:space="preserve"> — The popup form fields are not associated with their captions, so a screen-reader user is not told what each field expects.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class selection controls announce an instruction instead of their label, so a screen-reader user learns what a control is for only after moving past it.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, </w:t>
            </w:r>
            <w:r>
              <w:rPr>
                <w:b/>
              </w:rPr>
              <w:t>Class Management — Accessibility Mode</w:t>
            </w:r>
            <w:r>
              <w:t xml:space="preserve">, </w:t>
            </w:r>
            <w:r>
              <w:rPr>
                <w:b/>
              </w:rPr>
              <w:t>Student Practice Area</w:t>
            </w:r>
            <w:r>
              <w:t xml:space="preserve"> — The grid expand controls are images with no name or role, so a screen-reader user hears only that something clickable exists, not what it opens.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Sign in</w:t>
            </w:r>
            <w:r>
              <w:t xml:space="preserve">, </w:t>
            </w:r>
            <w:r>
              <w:rPr>
                <w:b/>
              </w:rPr>
              <w:t>Password reset</w:t>
            </w:r>
            <w:r>
              <w:t xml:space="preserve"> — The logo link on the sign-in and password reset pages has no accessible name, so a screen-reader user meets a link that says nothing about where it leads.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 — On the standard Class Management page the assignment row's action menu opens only by mouse, so a keyboard user must switch to the Accessibility Page to start an assignment.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skip links are announced as links whose text names no destination, so a screen-reader user cannot tell where they lead.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Password reset</w:t>
            </w:r>
            <w:r>
              <w:t xml:space="preserve"> — The password reset field has no label of its own, so a screen-reader user must infer what to type from the surrounding table.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 — The grade-profile link is absent from the tab order but present to a screen reader, so a keyboard user without assistive technology cannot reach it at all.</w:t>
            </w:r>
            <w:r>
              <w:t>Minor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— Accessibility Mode</w:t>
            </w:r>
            <w:r>
              <w:t xml:space="preserve"> — The per-row action control has no accessible name, so a screen-reader user cannot tell what the control does before using it.</w:t>
            </w:r>
            <w:r>
              <w:t>Minor</w:t>
            </w:r>
          </w:p>
        </w:tc>
      </w:tr>
    </w:tbl>
    <w:p>
      <w:r/>
    </w:p>
    <w:p>
      <w:pPr>
        <w:pStyle w:val="Heading3"/>
      </w:pPr>
      <w:r>
        <w:t>Table 2: Success Criteria, Level AA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Conformance level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Remarks and explanations</w:t>
            </w:r>
          </w:p>
        </w:tc>
      </w:tr>
      <w:tr>
        <w:tc>
          <w:tcPr>
            <w:tcW w:type="dxa" w:w="3408"/>
          </w:tcPr>
          <w:p>
            <w:hyperlink r:id="rId42">
              <w:r>
                <w:rPr>
                  <w:color w:val="0000EE"/>
                  <w:u w:val="single"/>
                </w:rPr>
                <w:t>1.2.4 Captions (Live)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42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 live audio or video in the product.</w:t>
            </w:r>
          </w:p>
        </w:tc>
      </w:tr>
      <w:tr>
        <w:tc>
          <w:tcPr>
            <w:tcW w:type="dxa" w:w="3408"/>
          </w:tcPr>
          <w:p>
            <w:hyperlink r:id="rId43">
              <w:r>
                <w:rPr>
                  <w:color w:val="0000EE"/>
                  <w:u w:val="single"/>
                </w:rPr>
                <w:t>1.2.5 Audio Description (Prerecorded)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43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Not present in the evaluated sample.</w:t>
            </w:r>
          </w:p>
        </w:tc>
      </w:tr>
      <w:tr>
        <w:tc>
          <w:tcPr>
            <w:tcW w:type="dxa" w:w="3408"/>
          </w:tcPr>
          <w:p>
            <w:hyperlink r:id="rId44">
              <w:r>
                <w:rPr>
                  <w:color w:val="0000EE"/>
                  <w:u w:val="single"/>
                </w:rPr>
                <w:t>1.3.4 Orientation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44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The view works in both portrait and landscape — verified on all pages tested.</w:t>
            </w:r>
          </w:p>
        </w:tc>
      </w:tr>
      <w:tr>
        <w:tc>
          <w:tcPr>
            <w:tcW w:type="dxa" w:w="3408"/>
          </w:tcPr>
          <w:p>
            <w:hyperlink r:id="rId45">
              <w:r>
                <w:rPr>
                  <w:color w:val="0000EE"/>
                  <w:u w:val="single"/>
                </w:rPr>
                <w:t>1.3.5 Identify Input Purpose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45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No other field in the sample collects the user's own data (the instructor pages hold class and assignment data).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Sign in</w:t>
            </w:r>
            <w:r>
              <w:t xml:space="preserve"> — The sign-in user-name field carries no autocomplete token, so browsers and assistive technology cannot identify its purpose to fill it automatically.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46">
              <w:r>
                <w:rPr>
                  <w:color w:val="0000EE"/>
                  <w:u w:val="single"/>
                </w:rPr>
                <w:t>1.4.3 Contrast (Minimum)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46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 xml:space="preserve">Most body text and controls pass; the product's section-heading and caption colours (orange </w:t>
            </w:r>
            <w:r>
              <w:rPr>
                <w:rFonts w:ascii="Courier" w:hAnsi="Courier"/>
              </w:rPr>
              <w:t>#EFBB75</w:t>
            </w:r>
            <w:r>
              <w:t xml:space="preserve"> 1.74:1, </w:t>
            </w:r>
            <w:r>
              <w:rPr>
                <w:rFonts w:ascii="Courier" w:hAnsi="Courier"/>
              </w:rPr>
              <w:t>#E58F65</w:t>
            </w:r>
            <w:r>
              <w:t xml:space="preserve"> 2.48:1, </w:t>
            </w:r>
            <w:r>
              <w:rPr>
                <w:rFonts w:ascii="Courier" w:hAnsi="Courier"/>
              </w:rPr>
              <w:t>#DB715C</w:t>
            </w:r>
            <w:r>
              <w:t xml:space="preserve"> 3.21:1, teal </w:t>
            </w:r>
            <w:r>
              <w:rPr>
                <w:rFonts w:ascii="Courier" w:hAnsi="Courier"/>
              </w:rPr>
              <w:t>#48848C</w:t>
            </w:r>
            <w:r>
              <w:t xml:space="preserve"> 4.23:1), its grey 12 px notice text (</w:t>
            </w:r>
            <w:r>
              <w:rPr>
                <w:rFonts w:ascii="Courier" w:hAnsi="Courier"/>
              </w:rPr>
              <w:t>#808080</w:t>
            </w:r>
            <w:r>
              <w:t xml:space="preserve"> 3.94:1) and the coloured values students act on (deduction % </w:t>
            </w:r>
            <w:r>
              <w:rPr>
                <w:rFonts w:ascii="Courier" w:hAnsi="Courier"/>
              </w:rPr>
              <w:t>#FF9900</w:t>
            </w:r>
            <w:r>
              <w:t xml:space="preserve"> 2.14:1; red variable/MathJax values 2.94–3.99:1) fall below 4.5:1.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 and 7 other pages</w:t>
            </w:r>
            <w:r>
              <w:t xml:space="preserve"> — Section headings, deduction percentages and randomised values fall below the required contrast, so a low-vision user cannot read the numbers a task depends on.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and 3 other pages</w:t>
            </w:r>
            <w:r>
              <w:t xml:space="preserve"> — The problem figures are low-resolution images containing text, so they blur at high zoom and the mathematics inside them becomes unreadable.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47">
              <w:r>
                <w:rPr>
                  <w:color w:val="0000EE"/>
                  <w:u w:val="single"/>
                </w:rPr>
                <w:t>1.4.4 Resize Text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47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Text resizes to 400 % without loss on Class Management (both modes), Take Assignment, View Grade Report and the Assignment Editor.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Edit Class popup</w:t>
            </w:r>
            <w:r>
              <w:t xml:space="preserve"> — The Edit Class popup is fixed in size and the page behind it cannot scroll, so above 175 per cent zoom its fields and buttons cannot be reached at all.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48">
              <w:r>
                <w:rPr>
                  <w:color w:val="0000EE"/>
                  <w:u w:val="single"/>
                </w:rPr>
                <w:t>1.4.5 Images of Text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48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The problem figures on Take Assignment (and the same images on the solutions and printable views) are raster images containing mathematical text that blurs at 400 % zoom; the image form is not essential — the page renders its other mathematics as MathJax text.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and 3 other pages</w:t>
            </w:r>
            <w:r>
              <w:t xml:space="preserve"> — The problem figures are low-resolution images containing text, so they blur at high zoom and the mathematics inside them becomes unreadable.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49">
              <w:r>
                <w:rPr>
                  <w:color w:val="0000EE"/>
                  <w:u w:val="single"/>
                </w:rPr>
                <w:t>1.4.10 Reflow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49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>Product-wide: a fixed 1300 px container on every sampled page, so nothing reflows at 320 CSS px / 400 % zoom ( measured fail on all 14 low-vision runs; reviewer confirmed at real 400 % zoom on Class Management and Take Assignment,: nothing is hidden or lost at 400%, but no reflow).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 and 4 other pages</w:t>
            </w:r>
            <w:r>
              <w:t xml:space="preserve"> — Every page is fixed at 1300 pixels wide and does not reflow, so a low-vision user at high zoom must scroll horizontally to read any line.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Edit Class popup</w:t>
            </w:r>
            <w:r>
              <w:t xml:space="preserve"> — The Edit Class popup is fixed in size and the page behind it cannot scroll, so above 175 per cent zoom its fields and buttons cannot be reached at all.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50">
              <w:r>
                <w:rPr>
                  <w:color w:val="0000EE"/>
                  <w:u w:val="single"/>
                </w:rPr>
                <w:t>1.4.11 Non-text Contrast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50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Controls pass 3:1 on Class Management (both modes), Take Assignment and the Assignment Editor.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View Grade Report</w:t>
            </w:r>
            <w:r>
              <w:t xml:space="preserve">, </w:t>
            </w:r>
            <w:r>
              <w:rPr>
                <w:b/>
              </w:rPr>
              <w:t>Calendar</w:t>
            </w:r>
            <w:r>
              <w:t xml:space="preserve"> — The grade tables and calendar grid draw their rules below the required contrast, so a low-vision user loses the boundaries between cells.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51">
              <w:r>
                <w:rPr>
                  <w:color w:val="0000EE"/>
                  <w:u w:val="single"/>
                </w:rPr>
                <w:t>1.4.12 Text Spacing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51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The view tolerates text-spacing overrides without loss — verified on all pages tested.</w:t>
            </w:r>
          </w:p>
        </w:tc>
      </w:tr>
      <w:tr>
        <w:tc>
          <w:tcPr>
            <w:tcW w:type="dxa" w:w="3408"/>
          </w:tcPr>
          <w:p>
            <w:hyperlink r:id="rId52">
              <w:r>
                <w:rPr>
                  <w:color w:val="0000EE"/>
                  <w:u w:val="single"/>
                </w:rPr>
                <w:t>1.4.13 Content on Hover or Focus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52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Content appearing on hover/focus is dismissible, hoverable, persistent — verified on all pages tested.</w:t>
            </w:r>
          </w:p>
        </w:tc>
      </w:tr>
      <w:tr>
        <w:tc>
          <w:tcPr>
            <w:tcW w:type="dxa" w:w="3408"/>
          </w:tcPr>
          <w:p>
            <w:hyperlink r:id="rId53">
              <w:r>
                <w:rPr>
                  <w:color w:val="0000EE"/>
                  <w:u w:val="single"/>
                </w:rPr>
                <w:t>2.4.5 Multiple Ways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53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>Fails on all 10 views.</w:t>
            </w:r>
          </w:p>
        </w:tc>
      </w:tr>
      <w:tr>
        <w:tc>
          <w:tcPr>
            <w:tcW w:type="dxa" w:w="3408"/>
          </w:tcPr>
          <w:p>
            <w:hyperlink r:id="rId54">
              <w:r>
                <w:rPr>
                  <w:color w:val="0000EE"/>
                  <w:u w:val="single"/>
                </w:rPr>
                <w:t>2.4.6 Headings and Labels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54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Headings and landmarks exist, are hierarchical, and support navigation — verified on 1 of the 10 pages tested.</w:t>
            </w:r>
          </w:p>
        </w:tc>
      </w:tr>
      <w:tr>
        <w:tc>
          <w:tcPr>
            <w:tcW w:type="dxa" w:w="3408"/>
          </w:tcPr>
          <w:p>
            <w:hyperlink r:id="rId55">
              <w:r>
                <w:rPr>
                  <w:color w:val="0000EE"/>
                  <w:u w:val="single"/>
                </w:rPr>
                <w:t>2.4.7 Focus Visible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55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Focus is visible on every Tab stop of Take Assignment ( keyboard) and at 400 % zoom on Class Management, Take Assignment, View Grade Report, the Calendar and Sign in 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Student Practice Area</w:t>
            </w:r>
            <w:r>
              <w:t xml:space="preserve"> — Nothing in the Student Practice Area takes keyboard focus and the page has no headings, so a keyboard or screen-reader user cannot choose a book, a chapter or a problem.</w:t>
            </w:r>
            <w:r>
              <w:t>Blocker</w:t>
            </w:r>
          </w:p>
        </w:tc>
      </w:tr>
      <w:tr>
        <w:tc>
          <w:tcPr>
            <w:tcW w:type="dxa" w:w="3408"/>
          </w:tcPr>
          <w:p>
            <w:hyperlink r:id="rId56">
              <w:r>
                <w:rPr>
                  <w:color w:val="0000EE"/>
                  <w:u w:val="single"/>
                </w:rPr>
                <w:t>2.4.11 Focus Not Obscured (Minimum)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2.2</w:t>
            </w:r>
            <w:r>
              <w:rPr>
                <w:b/>
              </w:rPr>
              <w:t xml:space="preserve"> </w:t>
            </w:r>
            <w:hyperlink r:id="rId56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Nothing sticky or floating hides the focused element: at 400 % zoom the focus ring stayed visible and unobscured on Class Management (both modes), Take Assignment, View Grade Report, the Calendar and Sign in.</w:t>
            </w:r>
          </w:p>
        </w:tc>
      </w:tr>
      <w:tr>
        <w:tc>
          <w:tcPr>
            <w:tcW w:type="dxa" w:w="3408"/>
          </w:tcPr>
          <w:p>
            <w:hyperlink r:id="rId57">
              <w:r>
                <w:rPr>
                  <w:color w:val="0000EE"/>
                  <w:u w:val="single"/>
                </w:rPr>
                <w:t>2.5.7 Dragging Movements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2.2</w:t>
            </w:r>
            <w:r>
              <w:rPr>
                <w:b/>
              </w:rPr>
              <w:t xml:space="preserve"> </w:t>
            </w:r>
            <w:hyperlink r:id="rId57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Dragging and multipoint/path gestures have single-pointer, non-drag alternatives — verified on 1 of the 10 pages tested.</w:t>
            </w:r>
          </w:p>
        </w:tc>
      </w:tr>
      <w:tr>
        <w:tc>
          <w:tcPr>
            <w:tcW w:type="dxa" w:w="3408"/>
          </w:tcPr>
          <w:p>
            <w:hyperlink r:id="rId58">
              <w:r>
                <w:rPr>
                  <w:color w:val="0000EE"/>
                  <w:u w:val="single"/>
                </w:rPr>
                <w:t>2.5.8 Target Size (Minimum)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2.2</w:t>
            </w:r>
            <w:r>
              <w:rPr>
                <w:b/>
              </w:rPr>
              <w:t xml:space="preserve"> </w:t>
            </w:r>
            <w:hyperlink r:id="rId58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The other eleven views measured no undersized, unspaced targets.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Class Management (standard mode)</w:t>
            </w:r>
            <w:r>
              <w:t xml:space="preserve">, </w:t>
            </w:r>
            <w:r>
              <w:rPr>
                <w:b/>
              </w:rPr>
              <w:t>Take Assignment</w:t>
            </w:r>
            <w:r>
              <w:t xml:space="preserve">, </w:t>
            </w:r>
            <w:r>
              <w:rPr>
                <w:b/>
              </w:rPr>
              <w:t>Assignment Editor (edit)</w:t>
            </w:r>
            <w:r>
              <w:t xml:space="preserve"> — The row action control and the problem-navigator links are smaller than 24 pixels and sit close together, so a user with a tremor or a coarse pointer hits the wrong one.</w:t>
            </w:r>
            <w:r>
              <w:t>Minor</w:t>
            </w:r>
          </w:p>
        </w:tc>
      </w:tr>
      <w:tr>
        <w:tc>
          <w:tcPr>
            <w:tcW w:type="dxa" w:w="3408"/>
          </w:tcPr>
          <w:p>
            <w:hyperlink r:id="rId59">
              <w:r>
                <w:rPr>
                  <w:color w:val="0000EE"/>
                  <w:u w:val="single"/>
                </w:rPr>
                <w:t>3.1.2 Language of Parts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59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EF1F4"/>
          </w:tcPr>
          <w:p>
            <w:r>
              <w:t>Not Applicable</w:t>
            </w:r>
          </w:p>
        </w:tc>
        <w:tc>
          <w:tcPr>
            <w:tcW w:type="dxa" w:w="3408"/>
          </w:tcPr>
          <w:p>
            <w:r/>
            <w:r>
              <w:t>No passage or phrase in a language other than English was found in any sampled view.</w:t>
            </w:r>
          </w:p>
        </w:tc>
      </w:tr>
      <w:tr>
        <w:tc>
          <w:tcPr>
            <w:tcW w:type="dxa" w:w="3408"/>
          </w:tcPr>
          <w:p>
            <w:hyperlink r:id="rId60">
              <w:r>
                <w:rPr>
                  <w:color w:val="0000EE"/>
                  <w:u w:val="single"/>
                </w:rPr>
                <w:t>3.2.3 Consistent Navigation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60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Navigation and component identification are consistent with the rest of the product — verified on all pages tested.</w:t>
            </w:r>
          </w:p>
        </w:tc>
      </w:tr>
      <w:tr>
        <w:tc>
          <w:tcPr>
            <w:tcW w:type="dxa" w:w="3408"/>
          </w:tcPr>
          <w:p>
            <w:hyperlink r:id="rId61">
              <w:r>
                <w:rPr>
                  <w:color w:val="0000EE"/>
                  <w:u w:val="single"/>
                </w:rPr>
                <w:t>3.2.4 Consistent Identification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61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Navigation and component identification are consistent with the rest of the product — verified on all pages tested.</w:t>
            </w:r>
          </w:p>
        </w:tc>
      </w:tr>
      <w:tr>
        <w:tc>
          <w:tcPr>
            <w:tcW w:type="dxa" w:w="3408"/>
          </w:tcPr>
          <w:p>
            <w:hyperlink r:id="rId62">
              <w:r>
                <w:rPr>
                  <w:color w:val="0000EE"/>
                  <w:u w:val="single"/>
                </w:rPr>
                <w:t>3.3.3 Error Suggestion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62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Errors suggest how to fix the problem — verified on 3 of the 10 pages tested.</w:t>
            </w:r>
          </w:p>
        </w:tc>
      </w:tr>
      <w:tr>
        <w:tc>
          <w:tcPr>
            <w:tcW w:type="dxa" w:w="3408"/>
          </w:tcPr>
          <w:p>
            <w:hyperlink r:id="rId63">
              <w:r>
                <w:rPr>
                  <w:color w:val="0000EE"/>
                  <w:u w:val="single"/>
                </w:rPr>
                <w:t>3.3.4 Error Prevention (Legal, Financial, Data)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hyperlink r:id="rId63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>Submit does not warn, 'I give up' does warn, 'Feedback' does not warn, each of these has an effect on the total points earned.</w:t>
            </w:r>
            <w:r>
              <w:rPr>
                <w:b/>
              </w:rPr>
              <w:t xml:space="preserve"> 3.3.4 covers submissions that </w:t>
            </w:r>
            <w:r>
              <w:t>submit user test responses, which these are.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Submitting an answer and requesting feedback each reduce the score on a single activation without asking, so a user who activates one in error loses marks irreversibly.</w:t>
            </w:r>
            <w:r>
              <w:t>Major</w:t>
            </w:r>
          </w:p>
        </w:tc>
      </w:tr>
      <w:tr>
        <w:tc>
          <w:tcPr>
            <w:tcW w:type="dxa" w:w="3408"/>
          </w:tcPr>
          <w:p>
            <w:hyperlink r:id="rId64">
              <w:r>
                <w:rPr>
                  <w:color w:val="0000EE"/>
                  <w:u w:val="single"/>
                </w:rPr>
                <w:t>3.3.8 Accessible Authentication (Minimum)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2.2</w:t>
            </w:r>
            <w:r>
              <w:rPr>
                <w:b/>
              </w:rPr>
              <w:t xml:space="preserve"> </w:t>
            </w:r>
            <w:hyperlink r:id="rId64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Authentication does not require transcription or memorization — verified on 1 of the 10 pages tested.</w:t>
            </w:r>
          </w:p>
        </w:tc>
      </w:tr>
      <w:tr>
        <w:tc>
          <w:tcPr>
            <w:tcW w:type="dxa" w:w="3408"/>
          </w:tcPr>
          <w:p>
            <w:hyperlink r:id="rId65">
              <w:r>
                <w:rPr>
                  <w:color w:val="0000EE"/>
                  <w:u w:val="single"/>
                </w:rPr>
                <w:t>4.1.3 Status Messages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>(Level AA)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WCAG 2.1</w:t>
            </w:r>
            <w:r>
              <w:rPr>
                <w:b/>
              </w:rPr>
              <w:t xml:space="preserve"> </w:t>
            </w:r>
            <w:hyperlink r:id="rId65">
              <w:r>
                <w:rPr>
                  <w:color w:val="0000EE"/>
                  <w:u w:val="single"/>
                </w:rPr>
                <w:t>Understanding</w:t>
              </w:r>
            </w:hyperlink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NVDA on Take Assignment: the instruction read-out (Ctrl+Shift+5) is announced correctly via the alert region; the answer read-out (Ctrl+Shift+2) injects raw MathJax markup for math-bearing options, so the status message is unusable; on the drag-and-drop alternative form, placements are not announced and the read-back runs items together.</w:t>
            </w:r>
            <w:r>
              <w:t xml:space="preserve"> 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The answer read-back speaks raw markup instead of the mathematics, so a screen-reader user cannot check what they have entered before submitting.</w:t>
            </w:r>
            <w:r>
              <w:t>Blocker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A requested hint is inserted below the reading position without announcement, so a screen-reader user is not told the help they asked for has arrived.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Calendar</w:t>
            </w:r>
            <w:r>
              <w:t xml:space="preserve"> — Opening an event and changing the month are not announced, so a screen-reader user is not told the page has changed.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Student Practice Area</w:t>
            </w:r>
            <w:r>
              <w:t xml:space="preserve"> — Every selection re-announces the whole page identically, so a screen-reader user is never told which part actually changed.</w:t>
            </w:r>
            <w:r>
              <w:t>Major</w:t>
            </w:r>
          </w:p>
          <w:p>
            <w:pPr>
              <w:pStyle w:val="ListBullet"/>
              <w:spacing w:line="240" w:lineRule="auto"/>
              <w:ind w:left="720"/>
            </w:pPr>
            <w:r/>
            <w:r>
              <w:rPr>
                <w:b/>
              </w:rPr>
              <w:t>Take Assignment</w:t>
            </w:r>
            <w:r>
              <w:t xml:space="preserve"> — Placing an item in the drag-and-drop ranking is not announced, so a screen-reader user cannot confirm where their answer went.</w:t>
            </w:r>
            <w:r>
              <w:t>Minor</w:t>
            </w:r>
          </w:p>
        </w:tc>
      </w:tr>
    </w:tbl>
    <w:p>
      <w:r/>
    </w:p>
    <w:p>
      <w:pPr>
        <w:pStyle w:val="Heading2"/>
      </w:pPr>
      <w:r>
        <w:t>Revised Section 508 — Chapter 3: Functional Performance Criteria</w:t>
      </w:r>
      <w:r/>
    </w:p>
    <w:p>
      <w:r/>
      <w:r>
        <w:t>Derived from the proportion of sampled views evaluated for each functional modality and the check rows recorded against them. A criterion whose views are not all evaluated is reported as Not Evaluated rather than inferred.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Conformance level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Remarks and explanations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302.1 Without Vision</w:t>
            </w:r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 xml:space="preserve">5 of the 10 pages evaluated could not be used by this method, and 46 recorded checks failed. Affected: </w:t>
            </w:r>
            <w:r>
              <w:rPr>
                <w:b/>
              </w:rPr>
              <w:t>Class Management (standard mode)</w:t>
            </w:r>
            <w:r>
              <w:t xml:space="preserve">, </w:t>
            </w:r>
            <w:r>
              <w:rPr>
                <w:b/>
              </w:rPr>
              <w:t>Take Assignment</w:t>
            </w:r>
            <w:r>
              <w:t xml:space="preserve">, </w:t>
            </w:r>
            <w:r>
              <w:rPr>
                <w:b/>
              </w:rPr>
              <w:t>View Grade Report</w:t>
            </w:r>
            <w:r>
              <w:t xml:space="preserve">, </w:t>
            </w:r>
            <w:r>
              <w:rPr>
                <w:b/>
              </w:rPr>
              <w:t>Calendar</w:t>
            </w:r>
            <w:r>
              <w:t>.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Coverage limit:</w:t>
            </w:r>
            <w:r>
              <w:t xml:space="preserve"> 9 of 10 pages carry a completed result, and 1 check row elsewhere remains unanswered. Still outstanding: </w:t>
            </w:r>
            <w:r>
              <w:rPr>
                <w:b/>
              </w:rPr>
              <w:t>View Printable Assignment</w:t>
            </w:r>
            <w:r>
              <w:t>. The level above reflects the pages that were evaluated.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302.2 With Limited Vision</w:t>
            </w:r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 xml:space="preserve">1 of the 10 pages evaluated could not be used by this method, and 25 recorded checks failed. Affected: </w:t>
            </w:r>
            <w:r>
              <w:rPr>
                <w:b/>
              </w:rPr>
              <w:t>View Printable Assignment</w:t>
            </w:r>
            <w:r>
              <w:t>.</w:t>
            </w:r>
            <w:r>
              <w:t xml:space="preserve"> </w:t>
            </w:r>
            <w:r>
              <w:t xml:space="preserve"> All 10 pages in scope were evaluated for this criterion.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302.3 Without Perception of Color</w:t>
            </w:r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 xml:space="preserve">5 of the 10 pages evaluated could not be used by this method, and 21 recorded checks failed. Affected: </w:t>
            </w:r>
            <w:r>
              <w:rPr>
                <w:b/>
              </w:rPr>
              <w:t>Take Assignment</w:t>
            </w:r>
            <w:r>
              <w:t xml:space="preserve">, </w:t>
            </w:r>
            <w:r>
              <w:rPr>
                <w:b/>
              </w:rPr>
              <w:t>View Grade Report</w:t>
            </w:r>
            <w:r>
              <w:t xml:space="preserve">, </w:t>
            </w:r>
            <w:r>
              <w:rPr>
                <w:b/>
              </w:rPr>
              <w:t>Calendar</w:t>
            </w:r>
            <w:r>
              <w:t xml:space="preserve">, </w:t>
            </w:r>
            <w:r>
              <w:rPr>
                <w:b/>
              </w:rPr>
              <w:t>View Assignment Solutions</w:t>
            </w:r>
            <w:r>
              <w:t>.</w:t>
            </w:r>
            <w:r>
              <w:t xml:space="preserve"> </w:t>
            </w:r>
            <w:r>
              <w:t xml:space="preserve"> All 10 pages in scope were evaluated for this criterion.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302.4 Without Hearing</w:t>
            </w:r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Every page evaluated could be used by this method with no failing checks.</w:t>
            </w:r>
            <w:r>
              <w:t xml:space="preserve"> </w:t>
            </w:r>
            <w:r>
              <w:t xml:space="preserve"> All 10 pages in scope were evaluated for this criterion.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302.5 With Limited Hearing</w:t>
            </w:r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Every page evaluated could be used by this method with no failing checks.</w:t>
            </w:r>
            <w:r>
              <w:t xml:space="preserve"> </w:t>
            </w:r>
            <w:r>
              <w:t xml:space="preserve"> All 10 pages in scope were evaluated for this criterion.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302.6 Without Speech</w:t>
            </w:r>
          </w:p>
        </w:tc>
        <w:tc>
          <w:tcPr>
            <w:tcW w:type="dxa" w:w="3408"/>
            <w:shd w:val="clear" w:fill="E6F4EC"/>
          </w:tcPr>
          <w:p>
            <w:r>
              <w:t>Supports</w:t>
            </w:r>
          </w:p>
        </w:tc>
        <w:tc>
          <w:tcPr>
            <w:tcW w:type="dxa" w:w="3408"/>
          </w:tcPr>
          <w:p>
            <w:r/>
            <w:r>
              <w:t>Every page evaluated could be used by this method with no failing checks.</w:t>
            </w:r>
            <w:r>
              <w:t xml:space="preserve"> </w:t>
            </w:r>
            <w:r>
              <w:t xml:space="preserve"> All 10 pages in scope were evaluated for this criterion.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302.7 With Limited Manipulation</w:t>
            </w:r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 xml:space="preserve">3 of the 10 pages evaluated could not be used by this method, and 16 recorded checks failed. Affected: </w:t>
            </w:r>
            <w:r>
              <w:rPr>
                <w:b/>
              </w:rPr>
              <w:t>Class Management (standard mode)</w:t>
            </w:r>
            <w:r>
              <w:t xml:space="preserve">, </w:t>
            </w:r>
            <w:r>
              <w:rPr>
                <w:b/>
              </w:rPr>
              <w:t>Calendar</w:t>
            </w:r>
            <w:r>
              <w:t xml:space="preserve">, </w:t>
            </w:r>
            <w:r>
              <w:rPr>
                <w:b/>
              </w:rPr>
              <w:t>Student Practice Area</w:t>
            </w:r>
            <w:r>
              <w:t>.</w:t>
            </w:r>
            <w:r>
              <w:t xml:space="preserve"> </w:t>
            </w:r>
            <w:r>
              <w:t xml:space="preserve"> All 10 pages in scope were evaluated for this criterion.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302.8 With Limited Reach and Strength</w:t>
            </w:r>
          </w:p>
        </w:tc>
        <w:tc>
          <w:tcPr>
            <w:tcW w:type="dxa" w:w="3408"/>
            <w:shd w:val="clear" w:fill="FCEBED"/>
          </w:tcPr>
          <w:p>
            <w:r>
              <w:t>Does Not Support</w:t>
            </w:r>
          </w:p>
        </w:tc>
        <w:tc>
          <w:tcPr>
            <w:tcW w:type="dxa" w:w="3408"/>
          </w:tcPr>
          <w:p>
            <w:r/>
            <w:r>
              <w:t xml:space="preserve">3 of the 10 pages evaluated could not be used by this method, and 16 recorded checks failed. Affected: </w:t>
            </w:r>
            <w:r>
              <w:rPr>
                <w:b/>
              </w:rPr>
              <w:t>Class Management (standard mode)</w:t>
            </w:r>
            <w:r>
              <w:t xml:space="preserve">, </w:t>
            </w:r>
            <w:r>
              <w:rPr>
                <w:b/>
              </w:rPr>
              <w:t>Calendar</w:t>
            </w:r>
            <w:r>
              <w:t xml:space="preserve">, </w:t>
            </w:r>
            <w:r>
              <w:rPr>
                <w:b/>
              </w:rPr>
              <w:t>Student Practice Area</w:t>
            </w:r>
            <w:r>
              <w:t>.</w:t>
            </w:r>
            <w:r>
              <w:t xml:space="preserve"> </w:t>
            </w:r>
            <w:r>
              <w:t xml:space="preserve"> All 10 pages in scope were evaluated for this criterion.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302.9 With Limited Language, Cognitive, and Learning Abilities</w:t>
            </w:r>
          </w:p>
        </w:tc>
        <w:tc>
          <w:tcPr>
            <w:tcW w:type="dxa" w:w="3408"/>
            <w:shd w:val="clear" w:fill="FDF3E0"/>
          </w:tcPr>
          <w:p>
            <w:r>
              <w:t>Partially Supports</w:t>
            </w:r>
          </w:p>
        </w:tc>
        <w:tc>
          <w:tcPr>
            <w:tcW w:type="dxa" w:w="3408"/>
          </w:tcPr>
          <w:p>
            <w:r/>
            <w:r>
              <w:t>Every page evaluated could be used by this method, but 12 recorded checks failed.</w:t>
            </w:r>
            <w:r>
              <w:t xml:space="preserve"> </w:t>
            </w:r>
            <w:r>
              <w:t xml:space="preserve"> All 10 pages in scope were evaluated for this criterion.</w:t>
            </w:r>
          </w:p>
        </w:tc>
      </w:tr>
    </w:tbl>
    <w:p>
      <w:r/>
    </w:p>
    <w:p>
      <w:r/>
      <w:r>
        <w:t>Source database hash ba6a9d728cc975c9. VPAT</w:t>
      </w:r>
      <w:r>
        <w:rPr>
          <w:vertAlign w:val="superscript"/>
        </w:rPr>
        <w:t>®</w:t>
      </w:r>
      <w:r>
        <w:t xml:space="preserve"> is a registered service mark of the Information Technology Industry Council (ITI); this report follows the structure of VPAT</w:t>
      </w:r>
      <w:r>
        <w:rPr>
          <w:vertAlign w:val="superscript"/>
        </w:rPr>
        <w:t>®</w:t>
      </w:r>
      <w:r>
        <w:t xml:space="preserve"> 2.5 and is not endorsed by ITI.</w:t>
      </w:r>
      <w:r/>
      <w:r/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fontaine@sfsu.edu" TargetMode="External"/><Relationship Id="rId11" Type="http://schemas.openxmlformats.org/officeDocument/2006/relationships/hyperlink" Target="https://www.w3.org/WAI/WCAG22/Understanding/non-text-content.html" TargetMode="External"/><Relationship Id="rId12" Type="http://schemas.openxmlformats.org/officeDocument/2006/relationships/hyperlink" Target="https://www.w3.org/WAI/WCAG22/Understanding/audio-only-and-video-only-prerecorded.html" TargetMode="External"/><Relationship Id="rId13" Type="http://schemas.openxmlformats.org/officeDocument/2006/relationships/hyperlink" Target="https://www.w3.org/WAI/WCAG22/Understanding/captions-prerecorded.html" TargetMode="External"/><Relationship Id="rId14" Type="http://schemas.openxmlformats.org/officeDocument/2006/relationships/hyperlink" Target="https://www.w3.org/WAI/WCAG22/Understanding/audio-description-or-media-alternative-prerecorded.html" TargetMode="External"/><Relationship Id="rId15" Type="http://schemas.openxmlformats.org/officeDocument/2006/relationships/hyperlink" Target="https://www.w3.org/WAI/WCAG22/Understanding/info-and-relationships.html" TargetMode="External"/><Relationship Id="rId16" Type="http://schemas.openxmlformats.org/officeDocument/2006/relationships/hyperlink" Target="https://www.w3.org/WAI/WCAG22/Understanding/meaningful-sequence.html" TargetMode="External"/><Relationship Id="rId17" Type="http://schemas.openxmlformats.org/officeDocument/2006/relationships/hyperlink" Target="https://www.w3.org/WAI/WCAG22/Understanding/sensory-characteristics.html" TargetMode="External"/><Relationship Id="rId18" Type="http://schemas.openxmlformats.org/officeDocument/2006/relationships/hyperlink" Target="https://www.w3.org/WAI/WCAG22/Understanding/use-of-color.html" TargetMode="External"/><Relationship Id="rId19" Type="http://schemas.openxmlformats.org/officeDocument/2006/relationships/hyperlink" Target="https://www.w3.org/WAI/WCAG22/Understanding/audio-control.html" TargetMode="External"/><Relationship Id="rId20" Type="http://schemas.openxmlformats.org/officeDocument/2006/relationships/hyperlink" Target="https://www.w3.org/WAI/WCAG22/Understanding/keyboard.html" TargetMode="External"/><Relationship Id="rId21" Type="http://schemas.openxmlformats.org/officeDocument/2006/relationships/hyperlink" Target="https://www.w3.org/WAI/WCAG22/Understanding/no-keyboard-trap.html" TargetMode="External"/><Relationship Id="rId22" Type="http://schemas.openxmlformats.org/officeDocument/2006/relationships/hyperlink" Target="https://www.w3.org/WAI/WCAG22/Understanding/character-key-shortcuts.html" TargetMode="External"/><Relationship Id="rId23" Type="http://schemas.openxmlformats.org/officeDocument/2006/relationships/hyperlink" Target="https://www.w3.org/WAI/WCAG22/Understanding/timing-adjustable.html" TargetMode="External"/><Relationship Id="rId24" Type="http://schemas.openxmlformats.org/officeDocument/2006/relationships/hyperlink" Target="https://www.w3.org/WAI/WCAG22/Understanding/pause-stop-hide.html" TargetMode="External"/><Relationship Id="rId25" Type="http://schemas.openxmlformats.org/officeDocument/2006/relationships/hyperlink" Target="https://www.w3.org/WAI/WCAG22/Understanding/three-flashes-or-below-threshold.html" TargetMode="External"/><Relationship Id="rId26" Type="http://schemas.openxmlformats.org/officeDocument/2006/relationships/hyperlink" Target="https://www.w3.org/WAI/WCAG22/Understanding/bypass-blocks.html" TargetMode="External"/><Relationship Id="rId27" Type="http://schemas.openxmlformats.org/officeDocument/2006/relationships/hyperlink" Target="https://www.w3.org/WAI/WCAG22/Understanding/page-titled.html" TargetMode="External"/><Relationship Id="rId28" Type="http://schemas.openxmlformats.org/officeDocument/2006/relationships/hyperlink" Target="https://www.w3.org/WAI/WCAG22/Understanding/focus-order.html" TargetMode="External"/><Relationship Id="rId29" Type="http://schemas.openxmlformats.org/officeDocument/2006/relationships/hyperlink" Target="https://www.w3.org/WAI/WCAG22/Understanding/link-purpose-in-context.html" TargetMode="External"/><Relationship Id="rId30" Type="http://schemas.openxmlformats.org/officeDocument/2006/relationships/hyperlink" Target="https://www.w3.org/WAI/WCAG22/Understanding/pointer-gestures.html" TargetMode="External"/><Relationship Id="rId31" Type="http://schemas.openxmlformats.org/officeDocument/2006/relationships/hyperlink" Target="https://www.w3.org/WAI/WCAG22/Understanding/pointer-cancellation.html" TargetMode="External"/><Relationship Id="rId32" Type="http://schemas.openxmlformats.org/officeDocument/2006/relationships/hyperlink" Target="https://www.w3.org/WAI/WCAG22/Understanding/label-in-name.html" TargetMode="External"/><Relationship Id="rId33" Type="http://schemas.openxmlformats.org/officeDocument/2006/relationships/hyperlink" Target="https://www.w3.org/WAI/WCAG22/Understanding/motion-actuation.html" TargetMode="External"/><Relationship Id="rId34" Type="http://schemas.openxmlformats.org/officeDocument/2006/relationships/hyperlink" Target="https://www.w3.org/WAI/WCAG22/Understanding/language-of-page.html" TargetMode="External"/><Relationship Id="rId35" Type="http://schemas.openxmlformats.org/officeDocument/2006/relationships/hyperlink" Target="https://www.w3.org/WAI/WCAG22/Understanding/on-focus.html" TargetMode="External"/><Relationship Id="rId36" Type="http://schemas.openxmlformats.org/officeDocument/2006/relationships/hyperlink" Target="https://www.w3.org/WAI/WCAG22/Understanding/on-input.html" TargetMode="External"/><Relationship Id="rId37" Type="http://schemas.openxmlformats.org/officeDocument/2006/relationships/hyperlink" Target="https://www.w3.org/WAI/WCAG22/Understanding/consistent-help.html" TargetMode="External"/><Relationship Id="rId38" Type="http://schemas.openxmlformats.org/officeDocument/2006/relationships/hyperlink" Target="https://www.w3.org/WAI/WCAG22/Understanding/error-identification.html" TargetMode="External"/><Relationship Id="rId39" Type="http://schemas.openxmlformats.org/officeDocument/2006/relationships/hyperlink" Target="https://www.w3.org/WAI/WCAG22/Understanding/labels-or-instructions.html" TargetMode="External"/><Relationship Id="rId40" Type="http://schemas.openxmlformats.org/officeDocument/2006/relationships/hyperlink" Target="https://www.w3.org/WAI/WCAG22/Understanding/redundant-entry.html" TargetMode="External"/><Relationship Id="rId41" Type="http://schemas.openxmlformats.org/officeDocument/2006/relationships/hyperlink" Target="https://www.w3.org/WAI/WCAG22/Understanding/name-role-value.html" TargetMode="External"/><Relationship Id="rId42" Type="http://schemas.openxmlformats.org/officeDocument/2006/relationships/hyperlink" Target="https://www.w3.org/WAI/WCAG22/Understanding/captions-live.html" TargetMode="External"/><Relationship Id="rId43" Type="http://schemas.openxmlformats.org/officeDocument/2006/relationships/hyperlink" Target="https://www.w3.org/WAI/WCAG22/Understanding/audio-description-prerecorded.html" TargetMode="External"/><Relationship Id="rId44" Type="http://schemas.openxmlformats.org/officeDocument/2006/relationships/hyperlink" Target="https://www.w3.org/WAI/WCAG22/Understanding/orientation.html" TargetMode="External"/><Relationship Id="rId45" Type="http://schemas.openxmlformats.org/officeDocument/2006/relationships/hyperlink" Target="https://www.w3.org/WAI/WCAG22/Understanding/identify-input-purpose.html" TargetMode="External"/><Relationship Id="rId46" Type="http://schemas.openxmlformats.org/officeDocument/2006/relationships/hyperlink" Target="https://www.w3.org/WAI/WCAG22/Understanding/contrast-minimum.html" TargetMode="External"/><Relationship Id="rId47" Type="http://schemas.openxmlformats.org/officeDocument/2006/relationships/hyperlink" Target="https://www.w3.org/WAI/WCAG22/Understanding/resize-text.html" TargetMode="External"/><Relationship Id="rId48" Type="http://schemas.openxmlformats.org/officeDocument/2006/relationships/hyperlink" Target="https://www.w3.org/WAI/WCAG22/Understanding/images-of-text.html" TargetMode="External"/><Relationship Id="rId49" Type="http://schemas.openxmlformats.org/officeDocument/2006/relationships/hyperlink" Target="https://www.w3.org/WAI/WCAG22/Understanding/reflow.html" TargetMode="External"/><Relationship Id="rId50" Type="http://schemas.openxmlformats.org/officeDocument/2006/relationships/hyperlink" Target="https://www.w3.org/WAI/WCAG22/Understanding/non-text-contrast.html" TargetMode="External"/><Relationship Id="rId51" Type="http://schemas.openxmlformats.org/officeDocument/2006/relationships/hyperlink" Target="https://www.w3.org/WAI/WCAG22/Understanding/text-spacing.html" TargetMode="External"/><Relationship Id="rId52" Type="http://schemas.openxmlformats.org/officeDocument/2006/relationships/hyperlink" Target="https://www.w3.org/WAI/WCAG22/Understanding/content-on-hover-or-focus.html" TargetMode="External"/><Relationship Id="rId53" Type="http://schemas.openxmlformats.org/officeDocument/2006/relationships/hyperlink" Target="https://www.w3.org/WAI/WCAG22/Understanding/multiple-ways.html" TargetMode="External"/><Relationship Id="rId54" Type="http://schemas.openxmlformats.org/officeDocument/2006/relationships/hyperlink" Target="https://www.w3.org/WAI/WCAG22/Understanding/headings-and-labels.html" TargetMode="External"/><Relationship Id="rId55" Type="http://schemas.openxmlformats.org/officeDocument/2006/relationships/hyperlink" Target="https://www.w3.org/WAI/WCAG22/Understanding/focus-visible.html" TargetMode="External"/><Relationship Id="rId56" Type="http://schemas.openxmlformats.org/officeDocument/2006/relationships/hyperlink" Target="https://www.w3.org/WAI/WCAG22/Understanding/focus-not-obscured-minimum.html" TargetMode="External"/><Relationship Id="rId57" Type="http://schemas.openxmlformats.org/officeDocument/2006/relationships/hyperlink" Target="https://www.w3.org/WAI/WCAG22/Understanding/dragging-movements.html" TargetMode="External"/><Relationship Id="rId58" Type="http://schemas.openxmlformats.org/officeDocument/2006/relationships/hyperlink" Target="https://www.w3.org/WAI/WCAG22/Understanding/target-size-minimum.html" TargetMode="External"/><Relationship Id="rId59" Type="http://schemas.openxmlformats.org/officeDocument/2006/relationships/hyperlink" Target="https://www.w3.org/WAI/WCAG22/Understanding/language-of-parts.html" TargetMode="External"/><Relationship Id="rId60" Type="http://schemas.openxmlformats.org/officeDocument/2006/relationships/hyperlink" Target="https://www.w3.org/WAI/WCAG22/Understanding/consistent-navigation.html" TargetMode="External"/><Relationship Id="rId61" Type="http://schemas.openxmlformats.org/officeDocument/2006/relationships/hyperlink" Target="https://www.w3.org/WAI/WCAG22/Understanding/consistent-identification.html" TargetMode="External"/><Relationship Id="rId62" Type="http://schemas.openxmlformats.org/officeDocument/2006/relationships/hyperlink" Target="https://www.w3.org/WAI/WCAG22/Understanding/error-suggestion.html" TargetMode="External"/><Relationship Id="rId63" Type="http://schemas.openxmlformats.org/officeDocument/2006/relationships/hyperlink" Target="https://www.w3.org/WAI/WCAG22/Understanding/error-prevention-legal-financial-data.html" TargetMode="External"/><Relationship Id="rId64" Type="http://schemas.openxmlformats.org/officeDocument/2006/relationships/hyperlink" Target="https://www.w3.org/WAI/WCAG22/Understanding/accessible-authentication-minimum.html" TargetMode="External"/><Relationship Id="rId65" Type="http://schemas.openxmlformats.org/officeDocument/2006/relationships/hyperlink" Target="https://www.w3.org/WAI/WCAG22/Understanding/status-messag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