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Remediation Checklist &amp; Readiness</w:t>
      </w:r>
    </w:p>
    <w:p>
      <w:pPr>
        <w:spacing w:after="240"/>
      </w:pPr>
      <w:r>
        <w:rPr>
          <w:b w:val="0"/>
          <w:i/>
          <w:sz w:val="22"/>
        </w:rPr>
        <w:t>SFSU AT Canvas Remediation Program — Working Group Review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Reviewer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/ 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 reviewed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Meeting date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/>
          </w:p>
        </w:tc>
        <w:tc>
          <w:tcPr>
            <w:tcW w:type="dxa" w:w="2160"/>
            <w:shd w:val="clear" w:color="auto" w:fill="F2F2F2"/>
          </w:tcPr>
          <w:p>
            <w:r/>
          </w:p>
        </w:tc>
      </w:tr>
    </w:tbl>
    <w:p/>
    <w:p>
      <w:pPr>
        <w:spacing w:after="60"/>
      </w:pPr>
      <w:r>
        <w:rPr>
          <w:b/>
          <w:i w:val="0"/>
          <w:sz w:val="24"/>
        </w:rPr>
        <w:t>How to fill this out</w:t>
      </w:r>
    </w:p>
    <w:p>
      <w:pPr>
        <w:pStyle w:val="ListBullet"/>
        <w:spacing w:after="40"/>
      </w:pPr>
      <w:r>
        <w:t>Checklists: replace the ☐ box with ☒ (or type an X) to mark an item done. In Word you can also select the box and change it.</w:t>
      </w:r>
    </w:p>
    <w:p>
      <w:pPr>
        <w:pStyle w:val="ListBullet"/>
        <w:spacing w:after="40"/>
      </w:pPr>
      <w:r>
        <w:t>Shaded gray cells are for you to type in — status you disagree with, owners, notes, and decisions.</w:t>
      </w:r>
    </w:p>
    <w:p>
      <w:pPr>
        <w:pStyle w:val="ListBullet"/>
        <w:spacing w:after="40"/>
      </w:pPr>
      <w:r>
        <w:t>Part 5 is the discussion agenda: capture the group’s decision, owner, and due date for each open item.</w:t>
      </w:r>
    </w:p>
    <w:p>
      <w:pPr>
        <w:pStyle w:val="ListBullet"/>
        <w:spacing w:after="40"/>
      </w:pPr>
      <w:r>
        <w:t>Save a copy with your name (e.g., …_JSmith.docx) or edit the shared copy in Box.</w:t>
      </w:r>
    </w:p>
    <w:p/>
    <w:p>
      <w:pPr>
        <w:spacing w:after="200"/>
      </w:pPr>
      <w:r>
        <w:rPr>
          <w:b w:val="0"/>
          <w:i/>
          <w:sz w:val="20"/>
        </w:rPr>
        <w:t>Status legend:  ✅ Ready   ● In progress / drafted   ☐ Not started   ❓ Needs a group decision</w:t>
      </w:r>
    </w:p>
    <w:p>
      <w:pPr>
        <w:pStyle w:val="Heading1"/>
      </w:pPr>
      <w:r>
        <w:t>Part 1 — Infrastructure Readiness</w:t>
      </w:r>
    </w:p>
    <w:p>
      <w:pPr>
        <w:spacing w:after="120"/>
      </w:pPr>
      <w:r>
        <w:rPr>
          <w:b w:val="0"/>
          <w:i/>
          <w:sz w:val="20"/>
        </w:rPr>
        <w:t>Pre-assessed status is in the Status column. Use the last two columns to assign an owner and record notes or a decision.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3744"/>
            <w:shd w:val="clear" w:color="auto" w:fill="1F386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584"/>
            <w:shd w:val="clear" w:color="auto" w:fill="1F386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</w:rPr>
              <w:t>Notes / Decision</w:t>
            </w:r>
          </w:p>
        </w:tc>
      </w:tr>
      <w:tr>
        <w:tc>
          <w:tcPr>
            <w:tcW w:type="dxa" w:w="3744"/>
          </w:tcPr>
          <w:p>
            <w:r>
              <w:t>Remediation SOPs (per file type)</w:t>
            </w:r>
          </w:p>
        </w:tc>
        <w:tc>
          <w:tcPr>
            <w:tcW w:type="dxa" w:w="1872"/>
          </w:tcPr>
          <w:p>
            <w:r>
              <w:t>● In progress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Triage / decision tree</w:t>
            </w:r>
          </w:p>
        </w:tc>
        <w:tc>
          <w:tcPr>
            <w:tcW w:type="dxa" w:w="1872"/>
          </w:tcPr>
          <w:p>
            <w:r>
              <w:t>● In progress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Adobe Acrobat Pro</w:t>
            </w:r>
          </w:p>
        </w:tc>
        <w:tc>
          <w:tcPr>
            <w:tcW w:type="dxa" w:w="1872"/>
          </w:tcPr>
          <w:p>
            <w:r>
              <w:t>❓ Confirm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ABBYY FineReader (OCR)</w:t>
            </w:r>
          </w:p>
        </w:tc>
        <w:tc>
          <w:tcPr>
            <w:tcW w:type="dxa" w:w="1872"/>
          </w:tcPr>
          <w:p>
            <w:r>
              <w:t>❓ Confirm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Equidox (PDF remediation)</w:t>
            </w:r>
          </w:p>
        </w:tc>
        <w:tc>
          <w:tcPr>
            <w:tcW w:type="dxa" w:w="1872"/>
          </w:tcPr>
          <w:p>
            <w:r>
              <w:t>❓ Decide + FERPA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PAC 2024 (QA checker)</w:t>
            </w:r>
          </w:p>
        </w:tc>
        <w:tc>
          <w:tcPr>
            <w:tcW w:type="dxa" w:w="1872"/>
          </w:tcPr>
          <w:p>
            <w:r>
              <w:t>☐ Not started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NVDA (screen-reader QA)</w:t>
            </w:r>
          </w:p>
        </w:tc>
        <w:tc>
          <w:tcPr>
            <w:tcW w:type="dxa" w:w="1872"/>
          </w:tcPr>
          <w:p>
            <w:r>
              <w:t>✅ Ready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UDOIT (course scanning)</w:t>
            </w:r>
          </w:p>
        </w:tc>
        <w:tc>
          <w:tcPr>
            <w:tcW w:type="dxa" w:w="1872"/>
          </w:tcPr>
          <w:p>
            <w:r>
              <w:t>Phase 2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Training resources</w:t>
            </w:r>
          </w:p>
        </w:tc>
        <w:tc>
          <w:tcPr>
            <w:tcW w:type="dxa" w:w="1872"/>
          </w:tcPr>
          <w:p>
            <w:r>
              <w:t>● In progress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Intake process (how work arrives)</w:t>
            </w:r>
          </w:p>
        </w:tc>
        <w:tc>
          <w:tcPr>
            <w:tcW w:type="dxa" w:w="1872"/>
          </w:tcPr>
          <w:p>
            <w:r>
              <w:t>☐ Not started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Tracking log (minimal viable)</w:t>
            </w:r>
          </w:p>
        </w:tc>
        <w:tc>
          <w:tcPr>
            <w:tcW w:type="dxa" w:w="1872"/>
          </w:tcPr>
          <w:p>
            <w:r>
              <w:t>☐ Not started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QA / sign-off policy</w:t>
            </w:r>
          </w:p>
        </w:tc>
        <w:tc>
          <w:tcPr>
            <w:tcW w:type="dxa" w:w="1872"/>
          </w:tcPr>
          <w:p>
            <w:r>
              <w:t>● In progress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Process-documentation system</w:t>
            </w:r>
          </w:p>
        </w:tc>
        <w:tc>
          <w:tcPr>
            <w:tcW w:type="dxa" w:w="1872"/>
          </w:tcPr>
          <w:p>
            <w:r>
              <w:t>✅ Ready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Student staffing</w:t>
            </w:r>
          </w:p>
        </w:tc>
        <w:tc>
          <w:tcPr>
            <w:tcW w:type="dxa" w:w="1872"/>
          </w:tcPr>
          <w:p>
            <w:r>
              <w:t>● In progress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Tier-C escalation destination</w:t>
            </w:r>
          </w:p>
        </w:tc>
        <w:tc>
          <w:tcPr>
            <w:tcW w:type="dxa" w:w="1872"/>
          </w:tcPr>
          <w:p>
            <w:r>
              <w:t>❓ Decide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  <w:tr>
        <w:tc>
          <w:tcPr>
            <w:tcW w:type="dxa" w:w="3744"/>
          </w:tcPr>
          <w:p>
            <w:r>
              <w:t>Delivery convention (naming/return)</w:t>
            </w:r>
          </w:p>
        </w:tc>
        <w:tc>
          <w:tcPr>
            <w:tcW w:type="dxa" w:w="1872"/>
          </w:tcPr>
          <w:p>
            <w:r>
              <w:t>❓ Decide</w:t>
            </w:r>
          </w:p>
        </w:tc>
        <w:tc>
          <w:tcPr>
            <w:tcW w:type="dxa" w:w="1584"/>
            <w:shd w:val="clear" w:color="auto" w:fill="F2F2F2"/>
          </w:tcPr>
          <w:p>
            <w:r/>
          </w:p>
        </w:tc>
        <w:tc>
          <w:tcPr>
            <w:tcW w:type="dxa" w:w="3456"/>
            <w:shd w:val="clear" w:color="auto" w:fill="F2F2F2"/>
          </w:tcPr>
          <w:p>
            <w:r/>
          </w:p>
        </w:tc>
      </w:tr>
    </w:tbl>
    <w:p/>
    <w:p>
      <w:pPr>
        <w:pStyle w:val="Heading1"/>
      </w:pPr>
      <w:r>
        <w:t>Part 2 — Tools by Task</w:t>
      </w:r>
    </w:p>
    <w:p>
      <w:pPr>
        <w:spacing w:after="120"/>
      </w:pPr>
      <w:r>
        <w:rPr>
          <w:b w:val="0"/>
          <w:i/>
          <w:sz w:val="20"/>
        </w:rPr>
        <w:t>Proposed tools shown; record the group’s decision in the last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</w:rPr>
              <w:t>Proposed tool</w:t>
            </w:r>
          </w:p>
        </w:tc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</w:rPr>
              <w:t>Group decision</w:t>
            </w:r>
          </w:p>
        </w:tc>
      </w:tr>
      <w:tr>
        <w:tc>
          <w:tcPr>
            <w:tcW w:type="dxa" w:w="2736"/>
          </w:tcPr>
          <w:p>
            <w:r>
              <w:t>OCR (scanned PDFs)</w:t>
            </w:r>
          </w:p>
        </w:tc>
        <w:tc>
          <w:tcPr>
            <w:tcW w:type="dxa" w:w="3600"/>
          </w:tcPr>
          <w:p>
            <w:r>
              <w:t>ABBYY FineReader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PDF tagging/remediation</w:t>
            </w:r>
          </w:p>
        </w:tc>
        <w:tc>
          <w:tcPr>
            <w:tcW w:type="dxa" w:w="3600"/>
          </w:tcPr>
          <w:p>
            <w:r>
              <w:t>Equidox (primary) / Acrobat Pro</w:t>
            </w:r>
          </w:p>
        </w:tc>
        <w:tc>
          <w:tcPr>
            <w:tcW w:type="dxa" w:w="2016"/>
          </w:tcPr>
          <w:p>
            <w:r>
              <w:t>PAC 2024 + NVDA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Word / PowerPoint / Excel</w:t>
            </w:r>
          </w:p>
        </w:tc>
        <w:tc>
          <w:tcPr>
            <w:tcW w:type="dxa" w:w="3600"/>
          </w:tcPr>
          <w:p>
            <w:r>
              <w:t>Native Office + Accessibility Checker</w:t>
            </w:r>
          </w:p>
        </w:tc>
        <w:tc>
          <w:tcPr>
            <w:tcW w:type="dxa" w:w="2016"/>
          </w:tcPr>
          <w:p>
            <w:r>
              <w:t>Office checker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Alt text (incl. complex)</w:t>
            </w:r>
          </w:p>
        </w:tc>
        <w:tc>
          <w:tcPr>
            <w:tcW w:type="dxa" w:w="3600"/>
          </w:tcPr>
          <w:p>
            <w:r>
              <w:t>Manual; DIAGRAM Center / POET</w:t>
            </w:r>
          </w:p>
        </w:tc>
        <w:tc>
          <w:tcPr>
            <w:tcW w:type="dxa" w:w="2016"/>
          </w:tcPr>
          <w:p>
            <w:r>
              <w:t>Human review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Convert to Canvas Page/HTML</w:t>
            </w:r>
          </w:p>
        </w:tc>
        <w:tc>
          <w:tcPr>
            <w:tcW w:type="dxa" w:w="3600"/>
          </w:tcPr>
          <w:p>
            <w:r>
              <w:t>Canvas RCE + UDOIT convert</w:t>
            </w:r>
          </w:p>
        </w:tc>
        <w:tc>
          <w:tcPr>
            <w:tcW w:type="dxa" w:w="2016"/>
          </w:tcPr>
          <w:p>
            <w:r>
              <w:t>Canvas checker + UDOIT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STEM / math</w:t>
            </w:r>
          </w:p>
        </w:tc>
        <w:tc>
          <w:tcPr>
            <w:tcW w:type="dxa" w:w="3600"/>
          </w:tcPr>
          <w:p>
            <w:r>
              <w:t>Escalate (MathType / specialist)</w:t>
            </w:r>
          </w:p>
        </w:tc>
        <w:tc>
          <w:tcPr>
            <w:tcW w:type="dxa" w:w="2016"/>
          </w:tcPr>
          <w:p>
            <w:r>
              <w:t>Specialist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Automated QA gate</w:t>
            </w:r>
          </w:p>
        </w:tc>
        <w:tc>
          <w:tcPr>
            <w:tcW w:type="dxa" w:w="3600"/>
          </w:tcPr>
          <w:p>
            <w:r>
              <w:t>Acrobat Full Check + PAC 2024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  <w:tr>
        <w:tc>
          <w:tcPr>
            <w:tcW w:type="dxa" w:w="2736"/>
          </w:tcPr>
          <w:p>
            <w:r>
              <w:t>Screen-reader QA</w:t>
            </w:r>
          </w:p>
        </w:tc>
        <w:tc>
          <w:tcPr>
            <w:tcW w:type="dxa" w:w="3600"/>
          </w:tcPr>
          <w:p>
            <w:r>
              <w:t>NVDA (Win) / VoiceOver (Mac)</w:t>
            </w:r>
          </w:p>
        </w:tc>
        <w:tc>
          <w:tcPr>
            <w:tcW w:type="dxa" w:w="2016"/>
          </w:tcPr>
          <w:p>
            <w:r>
              <w:t>—</w:t>
            </w:r>
          </w:p>
        </w:tc>
        <w:tc>
          <w:tcPr>
            <w:tcW w:type="dxa" w:w="2304"/>
            <w:shd w:val="clear" w:color="auto" w:fill="F2F2F2"/>
          </w:tcPr>
          <w:p>
            <w:r/>
          </w:p>
        </w:tc>
      </w:tr>
    </w:tbl>
    <w:p>
      <w:pPr>
        <w:spacing w:after="200"/>
      </w:pPr>
      <w:r>
        <w:rPr>
          <w:b w:val="0"/>
          <w:i/>
          <w:sz w:val="20"/>
        </w:rPr>
        <w:t>Recommendation: Equidox as the student default (easier than Acrobat’s tag tree) with Acrobat retained for edge cases — pending a FERPA/data-handling review, since Equidox is cloud. QA (PAC 2024 + NVDA) is the same either way.</w:t>
      </w:r>
    </w:p>
    <w:p>
      <w:pPr>
        <w:pStyle w:val="Heading1"/>
      </w:pPr>
      <w:r>
        <w:t>Part 3 — Per-File-Type Remediation Checklists</w:t>
      </w:r>
    </w:p>
    <w:p>
      <w:pPr>
        <w:spacing w:after="60"/>
      </w:pPr>
      <w:r>
        <w:rPr>
          <w:b/>
          <w:i w:val="0"/>
          <w:sz w:val="24"/>
        </w:rPr>
        <w:t>First, for every item (triage)</w:t>
      </w:r>
    </w:p>
    <w:p>
      <w:pPr>
        <w:spacing w:after="60"/>
      </w:pPr>
      <w:r>
        <w:rPr>
          <w:sz w:val="24"/>
        </w:rPr>
        <w:t xml:space="preserve">☐  </w:t>
      </w:r>
      <w:r>
        <w:t>Confirm it’s actually in use (don’t remediate dead content)</w:t>
      </w:r>
    </w:p>
    <w:p>
      <w:pPr>
        <w:spacing w:after="60"/>
      </w:pPr>
      <w:r>
        <w:rPr>
          <w:sz w:val="24"/>
        </w:rPr>
        <w:t xml:space="preserve">☐  </w:t>
      </w:r>
      <w:r>
        <w:t>Check for an existing accessible version (publisher / AIMHub / prior work)</w:t>
      </w:r>
    </w:p>
    <w:p>
      <w:pPr>
        <w:spacing w:after="60"/>
      </w:pPr>
      <w:r>
        <w:rPr>
          <w:sz w:val="24"/>
        </w:rPr>
        <w:t xml:space="preserve">☐  </w:t>
      </w:r>
      <w:r>
        <w:t>Source file available? If yes → use the source SOP, not the PDF SOP</w:t>
      </w:r>
    </w:p>
    <w:p>
      <w:pPr>
        <w:spacing w:after="60"/>
      </w:pPr>
      <w:r>
        <w:rPr>
          <w:sz w:val="24"/>
        </w:rPr>
        <w:t xml:space="preserve">☐  </w:t>
      </w:r>
      <w:r>
        <w:t>Assign a tier (A basic / B intermediate / C escalate)</w:t>
      </w:r>
    </w:p>
    <w:p>
      <w:pPr>
        <w:spacing w:after="60"/>
      </w:pPr>
      <w:r>
        <w:rPr>
          <w:sz w:val="24"/>
        </w:rPr>
        <w:t xml:space="preserve">☐  </w:t>
      </w:r>
      <w:r>
        <w:t>Log it in the tracker (course, instructor, source, type, tier, assignee, date)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Born-digital PDF</w:t>
      </w:r>
    </w:p>
    <w:p>
      <w:pPr>
        <w:spacing w:after="60"/>
      </w:pPr>
      <w:r>
        <w:rPr>
          <w:sz w:val="24"/>
        </w:rPr>
        <w:t xml:space="preserve">☐  </w:t>
      </w:r>
      <w:r>
        <w:t>Set Title, show Title in window, set Language, clear security blocks</w:t>
      </w:r>
    </w:p>
    <w:p>
      <w:pPr>
        <w:spacing w:after="60"/>
      </w:pPr>
      <w:r>
        <w:rPr>
          <w:sz w:val="24"/>
        </w:rPr>
        <w:t xml:space="preserve">☐  </w:t>
      </w:r>
      <w:r>
        <w:t>Auto-tag, then correct (never trust auto-tag)</w:t>
      </w:r>
    </w:p>
    <w:p>
      <w:pPr>
        <w:spacing w:after="60"/>
      </w:pPr>
      <w:r>
        <w:rPr>
          <w:sz w:val="24"/>
        </w:rPr>
        <w:t xml:space="preserve">☐  </w:t>
      </w:r>
      <w:r>
        <w:t>Headings H1–H6 logical, no skipped levels (bold text ≠ heading)</w:t>
      </w:r>
    </w:p>
    <w:p>
      <w:pPr>
        <w:spacing w:after="60"/>
      </w:pPr>
      <w:r>
        <w:rPr>
          <w:sz w:val="24"/>
        </w:rPr>
        <w:t xml:space="preserve">☐  </w:t>
      </w:r>
      <w:r>
        <w:t>Real lists; descriptive link text</w:t>
      </w:r>
    </w:p>
    <w:p>
      <w:pPr>
        <w:spacing w:after="60"/>
      </w:pPr>
      <w:r>
        <w:rPr>
          <w:sz w:val="24"/>
        </w:rPr>
        <w:t xml:space="preserve">☐  </w:t>
      </w:r>
      <w:r>
        <w:t>Tables: TH + scope (Table Editor — header cells red, data gray)</w:t>
      </w:r>
    </w:p>
    <w:p>
      <w:pPr>
        <w:spacing w:after="60"/>
      </w:pPr>
      <w:r>
        <w:rPr>
          <w:sz w:val="24"/>
        </w:rPr>
        <w:t xml:space="preserve">☐  </w:t>
      </w:r>
      <w:r>
        <w:t>Figures: meaningful alt text; decorative → artifact</w:t>
      </w:r>
    </w:p>
    <w:p>
      <w:pPr>
        <w:spacing w:after="60"/>
      </w:pPr>
      <w:r>
        <w:rPr>
          <w:sz w:val="24"/>
        </w:rPr>
        <w:t xml:space="preserve">☐  </w:t>
      </w:r>
      <w:r>
        <w:t>Reading order verified; tab order = Use Document Structure; bookmarks for long docs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Scanned / image-only PDF</w:t>
      </w:r>
    </w:p>
    <w:p>
      <w:pPr>
        <w:spacing w:after="60"/>
      </w:pPr>
      <w:r>
        <w:rPr>
          <w:sz w:val="24"/>
        </w:rPr>
        <w:t xml:space="preserve">☐  </w:t>
      </w:r>
      <w:r>
        <w:t>Confirm image-only (text won’t select)</w:t>
      </w:r>
    </w:p>
    <w:p>
      <w:pPr>
        <w:spacing w:after="60"/>
      </w:pPr>
      <w:r>
        <w:rPr>
          <w:sz w:val="24"/>
        </w:rPr>
        <w:t xml:space="preserve">☐  </w:t>
      </w:r>
      <w:r>
        <w:t>Scan quality OK (300 DPI, deskew/despeckle) — else get a better copy</w:t>
      </w:r>
    </w:p>
    <w:p>
      <w:pPr>
        <w:spacing w:after="60"/>
      </w:pPr>
      <w:r>
        <w:rPr>
          <w:sz w:val="24"/>
        </w:rPr>
        <w:t xml:space="preserve">☐  </w:t>
      </w:r>
      <w:r>
        <w:t>OCR first (ABBYY preferred), set correct language</w:t>
      </w:r>
    </w:p>
    <w:p>
      <w:pPr>
        <w:spacing w:after="60"/>
      </w:pPr>
      <w:r>
        <w:rPr>
          <w:sz w:val="24"/>
        </w:rPr>
        <w:t xml:space="preserve">☐  </w:t>
      </w:r>
      <w:r>
        <w:t>Verify OCR accuracy — especially numbers/tables</w:t>
      </w:r>
    </w:p>
    <w:p>
      <w:pPr>
        <w:spacing w:after="60"/>
      </w:pPr>
      <w:r>
        <w:rPr>
          <w:sz w:val="24"/>
        </w:rPr>
        <w:t xml:space="preserve">☐  </w:t>
      </w:r>
      <w:r>
        <w:t>Then do the full born-digital tagging checklist</w:t>
      </w:r>
    </w:p>
    <w:p>
      <w:pPr>
        <w:spacing w:after="60"/>
      </w:pPr>
      <w:r>
        <w:rPr>
          <w:sz w:val="24"/>
        </w:rPr>
        <w:t xml:space="preserve">☐  </w:t>
      </w:r>
      <w:r>
        <w:t>Handwriting / math / unreadable → Tier C escalate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Microsoft Word (source-first, highest value)</w:t>
      </w:r>
    </w:p>
    <w:p>
      <w:pPr>
        <w:spacing w:after="60"/>
      </w:pPr>
      <w:r>
        <w:rPr>
          <w:sz w:val="24"/>
        </w:rPr>
        <w:t xml:space="preserve">☐  </w:t>
      </w:r>
      <w:r>
        <w:t>Headings via Styles (verify in Navigation Pane)</w:t>
      </w:r>
    </w:p>
    <w:p>
      <w:pPr>
        <w:spacing w:after="60"/>
      </w:pPr>
      <w:r>
        <w:rPr>
          <w:sz w:val="24"/>
        </w:rPr>
        <w:t xml:space="preserve">☐  </w:t>
      </w:r>
      <w:r>
        <w:t>Alt text; mark decorative; don’t use auto-generated alt</w:t>
      </w:r>
    </w:p>
    <w:p>
      <w:pPr>
        <w:spacing w:after="60"/>
      </w:pPr>
      <w:r>
        <w:rPr>
          <w:sz w:val="24"/>
        </w:rPr>
        <w:t xml:space="preserve">☐  </w:t>
      </w:r>
      <w:r>
        <w:t>Tables: header row + Repeat Header Rows; no merged/layout cells</w:t>
      </w:r>
    </w:p>
    <w:p>
      <w:pPr>
        <w:spacing w:after="60"/>
      </w:pPr>
      <w:r>
        <w:rPr>
          <w:sz w:val="24"/>
        </w:rPr>
        <w:t xml:space="preserve">☐  </w:t>
      </w:r>
      <w:r>
        <w:t>Real lists; descriptive links; no important content in text boxes</w:t>
      </w:r>
    </w:p>
    <w:p>
      <w:pPr>
        <w:spacing w:after="60"/>
      </w:pPr>
      <w:r>
        <w:rPr>
          <w:sz w:val="24"/>
        </w:rPr>
        <w:t xml:space="preserve">☐  </w:t>
      </w:r>
      <w:r>
        <w:t>Contrast OK; no color-only meaning; set Title + Language</w:t>
      </w:r>
    </w:p>
    <w:p>
      <w:pPr>
        <w:spacing w:after="60"/>
      </w:pPr>
      <w:r>
        <w:rPr>
          <w:sz w:val="24"/>
        </w:rPr>
        <w:t xml:space="preserve">☐  </w:t>
      </w:r>
      <w:r>
        <w:t>Export: Save As PDF with “Document structure tags” — never Print-to-PDF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PowerPoint</w:t>
      </w:r>
    </w:p>
    <w:p>
      <w:pPr>
        <w:spacing w:after="60"/>
      </w:pPr>
      <w:r>
        <w:rPr>
          <w:sz w:val="24"/>
        </w:rPr>
        <w:t xml:space="preserve">☐  </w:t>
      </w:r>
      <w:r>
        <w:t>Built-in layouts (not free-floating text boxes)</w:t>
      </w:r>
    </w:p>
    <w:p>
      <w:pPr>
        <w:spacing w:after="60"/>
      </w:pPr>
      <w:r>
        <w:rPr>
          <w:sz w:val="24"/>
        </w:rPr>
        <w:t xml:space="preserve">☐  </w:t>
      </w:r>
      <w:r>
        <w:t>Unique, meaningful slide titles (check Outline View)</w:t>
      </w:r>
    </w:p>
    <w:p>
      <w:pPr>
        <w:spacing w:after="60"/>
      </w:pPr>
      <w:r>
        <w:rPr>
          <w:sz w:val="24"/>
        </w:rPr>
        <w:t xml:space="preserve">☐  </w:t>
      </w:r>
      <w:r>
        <w:t>Reading order (Reading Order Pane: top = read first)</w:t>
      </w:r>
    </w:p>
    <w:p>
      <w:pPr>
        <w:spacing w:after="60"/>
      </w:pPr>
      <w:r>
        <w:rPr>
          <w:sz w:val="24"/>
        </w:rPr>
        <w:t xml:space="preserve">☐  </w:t>
      </w:r>
      <w:r>
        <w:t>Alt text; charts/SmartArt described; decorative marked</w:t>
      </w:r>
    </w:p>
    <w:p>
      <w:pPr>
        <w:spacing w:after="60"/>
      </w:pPr>
      <w:r>
        <w:rPr>
          <w:sz w:val="24"/>
        </w:rPr>
        <w:t xml:space="preserve">☐  </w:t>
      </w:r>
      <w:r>
        <w:t>Simple tables w/ header row; link text; contrast</w:t>
      </w:r>
    </w:p>
    <w:p>
      <w:pPr>
        <w:spacing w:after="60"/>
      </w:pPr>
      <w:r>
        <w:rPr>
          <w:sz w:val="24"/>
        </w:rPr>
        <w:t xml:space="preserve">☐  </w:t>
      </w:r>
      <w:r>
        <w:t>Embedded media → route to Phase 3 captioning</w:t>
      </w:r>
    </w:p>
    <w:p>
      <w:pPr>
        <w:spacing w:after="60"/>
      </w:pPr>
      <w:r>
        <w:rPr>
          <w:sz w:val="24"/>
        </w:rPr>
        <w:t xml:space="preserve">☐  </w:t>
      </w:r>
      <w:r>
        <w:t>Export tagged PDF (not Print-to-PDF)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Excel</w:t>
      </w:r>
    </w:p>
    <w:p>
      <w:pPr>
        <w:spacing w:after="60"/>
      </w:pPr>
      <w:r>
        <w:rPr>
          <w:sz w:val="24"/>
        </w:rPr>
        <w:t xml:space="preserve">☐  </w:t>
      </w:r>
      <w:r>
        <w:t>Format data as a real Table (“My table has headers”); name it</w:t>
      </w:r>
    </w:p>
    <w:p>
      <w:pPr>
        <w:spacing w:after="60"/>
      </w:pPr>
      <w:r>
        <w:rPr>
          <w:sz w:val="24"/>
        </w:rPr>
        <w:t xml:space="preserve">☐  </w:t>
      </w:r>
      <w:r>
        <w:t>No merged cells (use Center Across Selection); no blank spacer rows</w:t>
      </w:r>
    </w:p>
    <w:p>
      <w:pPr>
        <w:spacing w:after="60"/>
      </w:pPr>
      <w:r>
        <w:rPr>
          <w:sz w:val="24"/>
        </w:rPr>
        <w:t xml:space="preserve">☐  </w:t>
      </w:r>
      <w:r>
        <w:t>Unique sheet-tab names; delete blank sheets; A1 populated</w:t>
      </w:r>
    </w:p>
    <w:p>
      <w:pPr>
        <w:spacing w:after="60"/>
      </w:pPr>
      <w:r>
        <w:rPr>
          <w:sz w:val="24"/>
        </w:rPr>
        <w:t xml:space="preserve">☐  </w:t>
      </w:r>
      <w:r>
        <w:t>Alt text on charts + underlying data accessible</w:t>
      </w:r>
    </w:p>
    <w:p>
      <w:pPr>
        <w:spacing w:after="60"/>
      </w:pPr>
      <w:r>
        <w:rPr>
          <w:sz w:val="24"/>
        </w:rPr>
        <w:t xml:space="preserve">☐  </w:t>
      </w:r>
      <w:r>
        <w:t>No color-only meaning; no red-only negatives; contrast OK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Images / alt text (cross-cutting)</w:t>
      </w:r>
    </w:p>
    <w:p>
      <w:pPr>
        <w:spacing w:after="60"/>
      </w:pPr>
      <w:r>
        <w:rPr>
          <w:sz w:val="24"/>
        </w:rPr>
        <w:t xml:space="preserve">☐  </w:t>
      </w:r>
      <w:r>
        <w:t>Classify: decorative / informative / functional / complex</w:t>
      </w:r>
    </w:p>
    <w:p>
      <w:pPr>
        <w:spacing w:after="60"/>
      </w:pPr>
      <w:r>
        <w:rPr>
          <w:sz w:val="24"/>
        </w:rPr>
        <w:t xml:space="preserve">☐  </w:t>
      </w:r>
      <w:r>
        <w:t>Decorative → marked/skipped; informative → concise meaningful alt</w:t>
      </w:r>
    </w:p>
    <w:p>
      <w:pPr>
        <w:spacing w:after="60"/>
      </w:pPr>
      <w:r>
        <w:rPr>
          <w:sz w:val="24"/>
        </w:rPr>
        <w:t xml:space="preserve">☐  </w:t>
      </w:r>
      <w:r>
        <w:t>No “image of…”, no filenames, no auto-generated alt</w:t>
      </w:r>
    </w:p>
    <w:p>
      <w:pPr>
        <w:spacing w:after="60"/>
      </w:pPr>
      <w:r>
        <w:rPr>
          <w:sz w:val="24"/>
        </w:rPr>
        <w:t xml:space="preserve">☐  </w:t>
      </w:r>
      <w:r>
        <w:t>Complex (charts/diagrams) → short alt + long description / data table (often Tier C)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Convert to Canvas Page / HTML</w:t>
      </w:r>
    </w:p>
    <w:p>
      <w:pPr>
        <w:spacing w:after="60"/>
      </w:pPr>
      <w:r>
        <w:rPr>
          <w:sz w:val="24"/>
        </w:rPr>
        <w:t xml:space="preserve">☐  </w:t>
      </w:r>
      <w:r>
        <w:t>Content mostly linear text AND copyright allows conversion</w:t>
      </w:r>
    </w:p>
    <w:p>
      <w:pPr>
        <w:spacing w:after="60"/>
      </w:pPr>
      <w:r>
        <w:rPr>
          <w:sz w:val="24"/>
        </w:rPr>
        <w:t xml:space="preserve">☐  </w:t>
      </w:r>
      <w:r>
        <w:t>Headings start at H2 (H1 = page title); real lists; link text</w:t>
      </w:r>
    </w:p>
    <w:p>
      <w:pPr>
        <w:spacing w:after="60"/>
      </w:pPr>
      <w:r>
        <w:rPr>
          <w:sz w:val="24"/>
        </w:rPr>
        <w:t xml:space="preserve">☐  </w:t>
      </w:r>
      <w:r>
        <w:t>Image alt; simple tables w/ headers; contrast</w:t>
      </w:r>
    </w:p>
    <w:p>
      <w:pPr>
        <w:spacing w:after="60"/>
      </w:pPr>
      <w:r>
        <w:rPr>
          <w:sz w:val="24"/>
        </w:rPr>
        <w:t xml:space="preserve">☐  </w:t>
      </w:r>
      <w:r>
        <w:t>Canvas RCE checker clean; record copyright decision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STEM / math &amp; Tier-C</w:t>
      </w:r>
    </w:p>
    <w:p>
      <w:pPr>
        <w:spacing w:after="60"/>
      </w:pPr>
      <w:r>
        <w:rPr>
          <w:sz w:val="24"/>
        </w:rPr>
        <w:t xml:space="preserve">☐  </w:t>
      </w:r>
      <w:r>
        <w:t>Stop — don’t do Tier-C with the standard toolset</w:t>
      </w:r>
    </w:p>
    <w:p>
      <w:pPr>
        <w:spacing w:after="60"/>
      </w:pPr>
      <w:r>
        <w:rPr>
          <w:sz w:val="24"/>
        </w:rPr>
        <w:t xml:space="preserve">☐  </w:t>
      </w:r>
      <w:r>
        <w:t>Mark “Escalated — Tier C” in the tracker with reason</w:t>
      </w:r>
    </w:p>
    <w:p>
      <w:pPr>
        <w:spacing w:after="60"/>
      </w:pPr>
      <w:r>
        <w:rPr>
          <w:sz w:val="24"/>
        </w:rPr>
        <w:t xml:space="preserve">☐  </w:t>
      </w:r>
      <w:r>
        <w:t>Route to the agreed destination (decided in Part 5)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Notes:</w:t>
            </w:r>
          </w:p>
        </w:tc>
        <w:tc>
          <w:tcPr>
            <w:tcW w:type="dxa" w:w="8064"/>
            <w:shd w:val="clear" w:color="auto" w:fill="F2F2F2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Part 4 — Cross-Cutting QA Gate (every document)</w:t>
      </w:r>
    </w:p>
    <w:p>
      <w:pPr>
        <w:spacing w:after="60"/>
      </w:pPr>
      <w:r>
        <w:rPr>
          <w:sz w:val="24"/>
        </w:rPr>
        <w:t xml:space="preserve">☐  </w:t>
      </w:r>
      <w:r>
        <w:t>Gate 1 — Automated: Office checker (source) / Acrobat Full Check + PAC 2024 (PDF) → 0 errors</w:t>
      </w:r>
    </w:p>
    <w:p>
      <w:pPr>
        <w:spacing w:after="60"/>
      </w:pPr>
      <w:r>
        <w:rPr>
          <w:sz w:val="24"/>
        </w:rPr>
        <w:t xml:space="preserve">☐  </w:t>
      </w:r>
      <w:r>
        <w:t>Gate 2 — Human: reading order · heading levels · meaningful alt · table-header logic · NVDA spot-check (Tier B)</w:t>
      </w:r>
    </w:p>
    <w:p>
      <w:pPr>
        <w:spacing w:after="60"/>
      </w:pPr>
      <w:r>
        <w:rPr>
          <w:sz w:val="24"/>
        </w:rPr>
        <w:t xml:space="preserve">☐  </w:t>
      </w:r>
      <w:r>
        <w:t>Close-out: record time, pages, issues fixed, checker result, QA reviewer in the tracker</w:t>
      </w:r>
    </w:p>
    <w:p>
      <w:pPr>
        <w:spacing w:after="200"/>
      </w:pPr>
      <w:r>
        <w:rPr>
          <w:b w:val="0"/>
          <w:i/>
          <w:sz w:val="20"/>
        </w:rPr>
        <w:t>Automated-clean ≠ accessible. Both gates are required.</w:t>
      </w:r>
    </w:p>
    <w:p>
      <w:pPr>
        <w:pStyle w:val="Heading1"/>
      </w:pPr>
      <w:r>
        <w:t>Part 5 — Open Decisions (discussion agenda)</w:t>
      </w:r>
    </w:p>
    <w:p>
      <w:pPr>
        <w:spacing w:after="120"/>
      </w:pPr>
      <w:r>
        <w:rPr>
          <w:b w:val="0"/>
          <w:i/>
          <w:sz w:val="20"/>
        </w:rPr>
        <w:t>Capture the group’s decision, owner, and due date for each.</w:t>
      </w:r>
    </w:p>
    <w:p>
      <w:pPr>
        <w:spacing w:after="60"/>
      </w:pPr>
      <w:r>
        <w:rPr>
          <w:b/>
          <w:i w:val="0"/>
          <w:sz w:val="22"/>
        </w:rPr>
        <w:t>1. Primary PDF tool — Equidox vs. Acrobat as the student default? (triggers a FERPA/data-handling review for Equidox)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2. Confirm CSU ATI licensed inventory — WebAIM course, CCC micro-courses, ABBYY, Equidox, UDOIT. (SFSU is CSU, not CCC — ATI is our channel.)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3. Tier-C escalation destination — in-house specialist? outsource? DPRC + AIMHub? Who owns the handoff?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4. QA ownership — who signs off, initial 100%-QA count per student, sampling rate after.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5. Tracker — build the minimal spreadsheet now (define columns) or wait for Phase 5?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6. Intake &amp; delivery — how work arrives (mailbox / form / Box), file-naming, where files go back.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7. AI first-pass — use one? what human-review protocol? (stance: first-pass only, mandatory review, no-training clause)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8. Copyright review — process for PDF→Canvas-Page conversions of published readings.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9. Source-first policy — can/should we ask faculty for original Word/PPT files?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spacing w:after="60"/>
      </w:pPr>
      <w:r>
        <w:rPr>
          <w:b/>
          <w:i w:val="0"/>
          <w:sz w:val="22"/>
        </w:rPr>
        <w:t>10. Pilot scope — which courses/documents do we remediate first?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  <w:tr>
        <w:tc>
          <w:tcPr>
            <w:tcW w:type="dxa" w:w="1584"/>
          </w:tcPr>
          <w:p>
            <w:r>
              <w:rPr>
                <w:b/>
              </w:rPr>
              <w:t>Due</w:t>
            </w:r>
          </w:p>
        </w:tc>
        <w:tc>
          <w:tcPr>
            <w:tcW w:type="dxa" w:w="7632"/>
            <w:shd w:val="clear" w:color="auto" w:fill="F2F2F2"/>
          </w:tcPr>
          <w:p>
            <w:r/>
          </w:p>
        </w:tc>
      </w:tr>
    </w:tbl>
    <w:p>
      <w:pPr>
        <w:spacing w:after="80"/>
      </w:pPr>
    </w:p>
    <w:p>
      <w:pPr>
        <w:pStyle w:val="Heading2"/>
      </w:pPr>
      <w:r>
        <w:t>Related documents</w:t>
      </w:r>
    </w:p>
    <w:p>
      <w:pPr>
        <w:pStyle w:val="ListBullet"/>
        <w:spacing w:after="40"/>
      </w:pPr>
      <w:r>
        <w:t>Per-type SOPs: plans/phase-1/remediation-procedures/</w:t>
      </w:r>
    </w:p>
    <w:p>
      <w:pPr>
        <w:pStyle w:val="ListBullet"/>
        <w:spacing w:after="40"/>
      </w:pPr>
      <w:r>
        <w:t>Training catalog &amp; onboarding: plans/phase-1/training/</w:t>
      </w:r>
    </w:p>
    <w:p>
      <w:pPr>
        <w:pStyle w:val="ListBullet"/>
        <w:spacing w:after="40"/>
      </w:pPr>
      <w:r>
        <w:t>Local process docs &amp; templates: plans/phase-1/process-documentation/</w:t>
      </w:r>
    </w:p>
    <w:p>
      <w:pPr>
        <w:pStyle w:val="ListBullet"/>
        <w:spacing w:after="40"/>
      </w:pPr>
      <w:r>
        <w:t>Phase plan: plans/phase-1-document-remediation.md  ·  Background: background-research.md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Remediation Checklist &amp; Readiness — Working Group Review</dc:title>
  <dc:subject/>
  <dc:creator>SFSU Academic Technology</dc:creator>
  <cp:keywords/>
  <dc:description>Fillable working-group review form for the document remediation service.</dc:description>
  <cp:lastModifiedBy/>
  <cp:revision>1</cp:revision>
  <dcterms:created xsi:type="dcterms:W3CDTF">2013-12-23T23:15:00Z</dcterms:created>
  <dcterms:modified xsi:type="dcterms:W3CDTF">2013-12-23T23:15:00Z</dcterms:modified>
  <cp:category>SFSU Canvas Remediation Program</cp:category>
</cp:coreProperties>
</file>