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Format Remediation Tracker</w:t>
      </w:r>
    </w:p>
    <w:p>
      <w:pPr>
        <w:spacing w:after="80"/>
      </w:pPr>
      <w:r>
        <w:rPr>
          <w:b w:val="0"/>
          <w:i/>
          <w:sz w:val="22"/>
        </w:rPr>
        <w:t>SFSU AT Canvas Remediation Program — Phase 1 (Document Remediation)</w:t>
      </w:r>
    </w:p>
    <w:p>
      <w:pPr>
        <w:spacing w:after="200"/>
      </w:pPr>
      <w:r>
        <w:rPr>
          <w:b w:val="0"/>
          <w:i/>
          <w:sz w:val="18"/>
        </w:rPr>
        <w:t>Aligned with the CSU ATI Digital Content Remediation Prioritization Framework (systemwide playbook): Acrobat/Equidox/ABBYY toolchain, PAC QA gate, Allyant outsource lane, and Chico-State throughput benchmarks (below).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Tracker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Review cadence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Formats validated (fill: __ of 8)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</w:p>
        </w:tc>
        <w:tc>
          <w:tcPr>
            <w:tcW w:type="dxa" w:w="2160"/>
            <w:shd w:val="clear" w:color="auto" w:fill="F2F2F2"/>
          </w:tcPr>
          <w:p>
            <w:r/>
          </w:p>
        </w:tc>
        <w:tc>
          <w:tcPr>
            <w:tcW w:type="dxa" w:w="2160"/>
            <w:shd w:val="clear" w:color="auto" w:fill="F2F2F2"/>
          </w:tcPr>
          <w:p>
            <w:r/>
          </w:p>
        </w:tc>
        <w:tc>
          <w:tcPr>
            <w:tcW w:type="dxa" w:w="2160"/>
            <w:shd w:val="clear" w:color="auto" w:fill="F2F2F2"/>
          </w:tcPr>
          <w:p>
            <w:r/>
          </w:p>
        </w:tc>
      </w:tr>
    </w:tbl>
    <w:p/>
    <w:p>
      <w:pPr>
        <w:spacing w:after="60"/>
      </w:pPr>
      <w:r>
        <w:rPr>
          <w:b/>
          <w:i w:val="0"/>
          <w:sz w:val="24"/>
        </w:rPr>
        <w:t>Purpose</w:t>
      </w:r>
    </w:p>
    <w:p>
      <w:pPr>
        <w:spacing w:after="160"/>
      </w:pPr>
      <w:r>
        <w:rPr>
          <w:b w:val="0"/>
          <w:i w:val="0"/>
          <w:sz w:val="20"/>
        </w:rPr>
        <w:t>Two jobs in one document: (1) track which file formats have a validated remediation process — proven end-to-end on a real sample — and (2) give remediators the working checklist for each format. Infrastructure and open decisions live in their own documents.</w:t>
      </w:r>
    </w:p>
    <w:p>
      <w:pPr>
        <w:spacing w:after="60"/>
      </w:pPr>
      <w:r>
        <w:rPr>
          <w:b/>
          <w:i w:val="0"/>
          <w:sz w:val="24"/>
        </w:rPr>
        <w:t>How to use</w:t>
      </w:r>
    </w:p>
    <w:p>
      <w:pPr>
        <w:pStyle w:val="ListBullet"/>
        <w:spacing w:after="40"/>
      </w:pPr>
      <w:r>
        <w:t>The matrix below tracks readiness per format. Mark “Process validated” with a date once you’ve taken a real document of that type all the way through the checklist and both QA gates successfully.</w:t>
      </w:r>
    </w:p>
    <w:p>
      <w:pPr>
        <w:pStyle w:val="ListBullet"/>
        <w:spacing w:after="40"/>
      </w:pPr>
      <w:r>
        <w:t>In the checklists, replace ☐ with an X (or ☒) to mark an item done; shaded cells are for typing.</w:t>
      </w:r>
    </w:p>
    <w:p>
      <w:pPr>
        <w:pStyle w:val="ListBullet"/>
        <w:spacing w:after="40"/>
      </w:pPr>
      <w:r>
        <w:t>Every item also passes the cross-cutting QA gate at the end.</w:t>
      </w:r>
    </w:p>
    <w:p>
      <w:pPr>
        <w:spacing w:after="200"/>
      </w:pPr>
      <w:r>
        <w:rPr>
          <w:b w:val="0"/>
          <w:i/>
          <w:sz w:val="20"/>
        </w:rPr>
        <w:t>Status legend:  ☐ Not started   ◐ In progress   ✓ Ready (unverified)   ✅ Verified   ⛔ Blocked (needs a decision)</w:t>
      </w:r>
    </w:p>
    <w:p>
      <w:pPr>
        <w:pStyle w:val="Heading1"/>
      </w:pPr>
      <w:r>
        <w:t>Format Readiness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</w:rPr>
              <w:t>File format</w:t>
            </w:r>
          </w:p>
        </w:tc>
        <w:tc>
          <w:tcPr>
            <w:tcW w:type="dxa" w:w="2736"/>
            <w:shd w:val="clear" w:color="auto" w:fill="1F3864"/>
          </w:tcPr>
          <w:p>
            <w:r>
              <w:rPr>
                <w:b/>
                <w:color w:val="FFFFFF"/>
              </w:rPr>
              <w:t>Primary tool(s)</w:t>
            </w:r>
          </w:p>
        </w:tc>
        <w:tc>
          <w:tcPr>
            <w:tcW w:type="dxa" w:w="864"/>
            <w:shd w:val="clear" w:color="auto" w:fill="1F386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  <w:t>Process validated (date)</w:t>
            </w:r>
          </w:p>
        </w:tc>
        <w:tc>
          <w:tcPr>
            <w:tcW w:type="dxa" w:w="1584"/>
            <w:shd w:val="clear" w:color="auto" w:fill="1F3864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448"/>
          </w:tcPr>
          <w:p>
            <w:r>
              <w:t>Born-digital PDF</w:t>
            </w:r>
          </w:p>
        </w:tc>
        <w:tc>
          <w:tcPr>
            <w:tcW w:type="dxa" w:w="2736"/>
          </w:tcPr>
          <w:p>
            <w:r>
              <w:t>Equidox (CSU-licensed) / Acrobat Pro</w:t>
            </w:r>
          </w:p>
        </w:tc>
        <w:tc>
          <w:tcPr>
            <w:tcW w:type="dxa" w:w="864"/>
          </w:tcPr>
          <w:p>
            <w:r>
              <w:t>A–B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584"/>
            <w:shd w:val="clear" w:color="auto" w:fill="F2F2F2"/>
          </w:tcPr>
          <w:p>
            <w:r/>
          </w:p>
        </w:tc>
      </w:tr>
      <w:tr>
        <w:tc>
          <w:tcPr>
            <w:tcW w:type="dxa" w:w="2448"/>
          </w:tcPr>
          <w:p>
            <w:r>
              <w:t>Scanned / image PDF (OCR)</w:t>
            </w:r>
          </w:p>
        </w:tc>
        <w:tc>
          <w:tcPr>
            <w:tcW w:type="dxa" w:w="2736"/>
          </w:tcPr>
          <w:p>
            <w:r>
              <w:t>ABBYY / Acrobat → tag</w:t>
            </w:r>
          </w:p>
        </w:tc>
        <w:tc>
          <w:tcPr>
            <w:tcW w:type="dxa" w:w="864"/>
          </w:tcPr>
          <w:p>
            <w:r>
              <w:t>A–C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584"/>
            <w:shd w:val="clear" w:color="auto" w:fill="F2F2F2"/>
          </w:tcPr>
          <w:p>
            <w:r/>
          </w:p>
        </w:tc>
      </w:tr>
      <w:tr>
        <w:tc>
          <w:tcPr>
            <w:tcW w:type="dxa" w:w="2448"/>
          </w:tcPr>
          <w:p>
            <w:r>
              <w:t>Microsoft Word</w:t>
            </w:r>
          </w:p>
        </w:tc>
        <w:tc>
          <w:tcPr>
            <w:tcW w:type="dxa" w:w="2736"/>
          </w:tcPr>
          <w:p>
            <w:r>
              <w:t>Word + Accessibility Checker</w:t>
            </w:r>
          </w:p>
        </w:tc>
        <w:tc>
          <w:tcPr>
            <w:tcW w:type="dxa" w:w="864"/>
          </w:tcPr>
          <w:p>
            <w:r>
              <w:t>A–B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584"/>
            <w:shd w:val="clear" w:color="auto" w:fill="F2F2F2"/>
          </w:tcPr>
          <w:p>
            <w:r/>
          </w:p>
        </w:tc>
      </w:tr>
      <w:tr>
        <w:tc>
          <w:tcPr>
            <w:tcW w:type="dxa" w:w="2448"/>
          </w:tcPr>
          <w:p>
            <w:r>
              <w:t>Microsoft PowerPoint</w:t>
            </w:r>
          </w:p>
        </w:tc>
        <w:tc>
          <w:tcPr>
            <w:tcW w:type="dxa" w:w="2736"/>
          </w:tcPr>
          <w:p>
            <w:r>
              <w:t>PowerPoint + Checker</w:t>
            </w:r>
          </w:p>
        </w:tc>
        <w:tc>
          <w:tcPr>
            <w:tcW w:type="dxa" w:w="864"/>
          </w:tcPr>
          <w:p>
            <w:r>
              <w:t>A–B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584"/>
            <w:shd w:val="clear" w:color="auto" w:fill="F2F2F2"/>
          </w:tcPr>
          <w:p>
            <w:r/>
          </w:p>
        </w:tc>
      </w:tr>
      <w:tr>
        <w:tc>
          <w:tcPr>
            <w:tcW w:type="dxa" w:w="2448"/>
          </w:tcPr>
          <w:p>
            <w:r>
              <w:t>Microsoft Excel</w:t>
            </w:r>
          </w:p>
        </w:tc>
        <w:tc>
          <w:tcPr>
            <w:tcW w:type="dxa" w:w="2736"/>
          </w:tcPr>
          <w:p>
            <w:r>
              <w:t>Excel + Checker</w:t>
            </w:r>
          </w:p>
        </w:tc>
        <w:tc>
          <w:tcPr>
            <w:tcW w:type="dxa" w:w="864"/>
          </w:tcPr>
          <w:p>
            <w:r>
              <w:t>A–C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584"/>
            <w:shd w:val="clear" w:color="auto" w:fill="F2F2F2"/>
          </w:tcPr>
          <w:p>
            <w:r/>
          </w:p>
        </w:tc>
      </w:tr>
      <w:tr>
        <w:tc>
          <w:tcPr>
            <w:tcW w:type="dxa" w:w="2448"/>
          </w:tcPr>
          <w:p>
            <w:r>
              <w:t>Images / alt text</w:t>
            </w:r>
          </w:p>
        </w:tc>
        <w:tc>
          <w:tcPr>
            <w:tcW w:type="dxa" w:w="2736"/>
          </w:tcPr>
          <w:p>
            <w:r>
              <w:t>Manual; DIAGRAM Center/POET</w:t>
            </w:r>
          </w:p>
        </w:tc>
        <w:tc>
          <w:tcPr>
            <w:tcW w:type="dxa" w:w="864"/>
          </w:tcPr>
          <w:p>
            <w:r>
              <w:t>A–C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584"/>
            <w:shd w:val="clear" w:color="auto" w:fill="F2F2F2"/>
          </w:tcPr>
          <w:p>
            <w:r/>
          </w:p>
        </w:tc>
      </w:tr>
      <w:tr>
        <w:tc>
          <w:tcPr>
            <w:tcW w:type="dxa" w:w="2448"/>
          </w:tcPr>
          <w:p>
            <w:r>
              <w:t>Canvas Page / HTML (convert)</w:t>
            </w:r>
          </w:p>
        </w:tc>
        <w:tc>
          <w:tcPr>
            <w:tcW w:type="dxa" w:w="2736"/>
          </w:tcPr>
          <w:p>
            <w:r>
              <w:t>Canvas RCE + UDOIT</w:t>
            </w:r>
          </w:p>
        </w:tc>
        <w:tc>
          <w:tcPr>
            <w:tcW w:type="dxa" w:w="864"/>
          </w:tcPr>
          <w:p>
            <w:r>
              <w:t>A–B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584"/>
            <w:shd w:val="clear" w:color="auto" w:fill="F2F2F2"/>
          </w:tcPr>
          <w:p>
            <w:r/>
          </w:p>
        </w:tc>
      </w:tr>
      <w:tr>
        <w:tc>
          <w:tcPr>
            <w:tcW w:type="dxa" w:w="2448"/>
          </w:tcPr>
          <w:p>
            <w:r>
              <w:t>STEM / math</w:t>
            </w:r>
          </w:p>
        </w:tc>
        <w:tc>
          <w:tcPr>
            <w:tcW w:type="dxa" w:w="2736"/>
          </w:tcPr>
          <w:p>
            <w:r>
              <w:t>Escalate — Allyant / STEM WG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1728"/>
            <w:shd w:val="clear" w:color="auto" w:fill="F2F2F2"/>
          </w:tcPr>
          <w:p>
            <w:r/>
          </w:p>
        </w:tc>
        <w:tc>
          <w:tcPr>
            <w:tcW w:type="dxa" w:w="1584"/>
            <w:shd w:val="clear" w:color="auto" w:fill="F2F2F2"/>
          </w:tcPr>
          <w:p>
            <w:r/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18"/>
        </w:rPr>
        <w:t>Capacity planning (CSU ATI framework — Chico State benchmarks): plan ~1 hr per easy file and ~4 hrs per difficult file for a trained student (easy ≈ 12–15/student/week; difficult ≈ 4–5). Expect a training ramp; replace with our own tracker averages as they accumulate (log time-to-completion from day one).</w:t>
      </w:r>
    </w:p>
    <w:p>
      <w:pPr>
        <w:pStyle w:val="Heading1"/>
      </w:pPr>
      <w:r>
        <w:t>Remediation Checklists by Format</w:t>
      </w:r>
    </w:p>
    <w:p>
      <w:pPr>
        <w:spacing w:after="60"/>
      </w:pPr>
      <w:r>
        <w:rPr>
          <w:b/>
          <w:i w:val="0"/>
          <w:sz w:val="24"/>
        </w:rPr>
        <w:t>First, for every item (triage)</w:t>
      </w:r>
    </w:p>
    <w:p>
      <w:pPr>
        <w:spacing w:after="60"/>
      </w:pPr>
      <w:r>
        <w:rPr>
          <w:sz w:val="24"/>
        </w:rPr>
        <w:t xml:space="preserve">☐  </w:t>
      </w:r>
      <w:r>
        <w:t>Confirm it’s actually in use (don’t remediate dead content)</w:t>
      </w:r>
    </w:p>
    <w:p>
      <w:pPr>
        <w:spacing w:after="60"/>
      </w:pPr>
      <w:r>
        <w:rPr>
          <w:sz w:val="24"/>
        </w:rPr>
        <w:t xml:space="preserve">☐  </w:t>
      </w:r>
      <w:r>
        <w:t>Check for an existing accessible version (publisher / AIMHub / prior work)</w:t>
      </w:r>
    </w:p>
    <w:p>
      <w:pPr>
        <w:spacing w:after="60"/>
      </w:pPr>
      <w:r>
        <w:rPr>
          <w:sz w:val="24"/>
        </w:rPr>
        <w:t xml:space="preserve">☐  </w:t>
      </w:r>
      <w:r>
        <w:t>Source file available? If yes → use the source SOP, not the PDF SOP</w:t>
      </w:r>
    </w:p>
    <w:p>
      <w:pPr>
        <w:spacing w:after="60"/>
      </w:pPr>
      <w:r>
        <w:rPr>
          <w:sz w:val="24"/>
        </w:rPr>
        <w:t xml:space="preserve">☐  </w:t>
      </w:r>
      <w:r>
        <w:t>Assign a tier (A basic / B intermediate / C escalate)</w:t>
      </w:r>
    </w:p>
    <w:p>
      <w:pPr>
        <w:spacing w:after="60"/>
      </w:pPr>
      <w:r>
        <w:rPr>
          <w:sz w:val="24"/>
        </w:rPr>
        <w:t xml:space="preserve">☐  </w:t>
      </w:r>
      <w:r>
        <w:t>Log it in the tracker (course, instructor, source, type, tier, assignee, date)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208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Born-digital PDF</w:t>
      </w:r>
    </w:p>
    <w:p>
      <w:pPr>
        <w:spacing w:after="60"/>
      </w:pPr>
      <w:r>
        <w:rPr>
          <w:sz w:val="24"/>
        </w:rPr>
        <w:t xml:space="preserve">☐  </w:t>
      </w:r>
      <w:r>
        <w:t>Set Title, show Title in window, set Language, clear security blocks</w:t>
      </w:r>
    </w:p>
    <w:p>
      <w:pPr>
        <w:spacing w:after="60"/>
      </w:pPr>
      <w:r>
        <w:rPr>
          <w:sz w:val="24"/>
        </w:rPr>
        <w:t xml:space="preserve">☐  </w:t>
      </w:r>
      <w:r>
        <w:t>Auto-tag, then correct (never trust auto-tag)</w:t>
      </w:r>
    </w:p>
    <w:p>
      <w:pPr>
        <w:spacing w:after="60"/>
      </w:pPr>
      <w:r>
        <w:rPr>
          <w:sz w:val="24"/>
        </w:rPr>
        <w:t xml:space="preserve">☐  </w:t>
      </w:r>
      <w:r>
        <w:t>Headings H1–H6 logical, no skipped levels (bold text ≠ heading)</w:t>
      </w:r>
    </w:p>
    <w:p>
      <w:pPr>
        <w:spacing w:after="60"/>
      </w:pPr>
      <w:r>
        <w:rPr>
          <w:sz w:val="24"/>
        </w:rPr>
        <w:t xml:space="preserve">☐  </w:t>
      </w:r>
      <w:r>
        <w:t>Real lists; descriptive link text</w:t>
      </w:r>
    </w:p>
    <w:p>
      <w:pPr>
        <w:spacing w:after="60"/>
      </w:pPr>
      <w:r>
        <w:rPr>
          <w:sz w:val="24"/>
        </w:rPr>
        <w:t xml:space="preserve">☐  </w:t>
      </w:r>
      <w:r>
        <w:t>Tables: TH + scope (Table Editor — header cells red, data gray)</w:t>
      </w:r>
    </w:p>
    <w:p>
      <w:pPr>
        <w:spacing w:after="60"/>
      </w:pPr>
      <w:r>
        <w:rPr>
          <w:sz w:val="24"/>
        </w:rPr>
        <w:t xml:space="preserve">☐  </w:t>
      </w:r>
      <w:r>
        <w:t>Figures: meaningful alt text; decorative → artifact</w:t>
      </w:r>
    </w:p>
    <w:p>
      <w:pPr>
        <w:spacing w:after="60"/>
      </w:pPr>
      <w:r>
        <w:rPr>
          <w:sz w:val="24"/>
        </w:rPr>
        <w:t xml:space="preserve">☐  </w:t>
      </w:r>
      <w:r>
        <w:t>Reading order verified; tab order = Use Document Structure; bookmarks for long docs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208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Scanned / image-only PDF</w:t>
      </w:r>
    </w:p>
    <w:p>
      <w:pPr>
        <w:spacing w:after="60"/>
      </w:pPr>
      <w:r>
        <w:rPr>
          <w:sz w:val="24"/>
        </w:rPr>
        <w:t xml:space="preserve">☐  </w:t>
      </w:r>
      <w:r>
        <w:t>Confirm image-only (text won’t select)</w:t>
      </w:r>
    </w:p>
    <w:p>
      <w:pPr>
        <w:spacing w:after="60"/>
      </w:pPr>
      <w:r>
        <w:rPr>
          <w:sz w:val="24"/>
        </w:rPr>
        <w:t xml:space="preserve">☐  </w:t>
      </w:r>
      <w:r>
        <w:t>Scan quality OK (300 DPI, deskew/despeckle) — else get a better copy</w:t>
      </w:r>
    </w:p>
    <w:p>
      <w:pPr>
        <w:spacing w:after="60"/>
      </w:pPr>
      <w:r>
        <w:rPr>
          <w:sz w:val="24"/>
        </w:rPr>
        <w:t xml:space="preserve">☐  </w:t>
      </w:r>
      <w:r>
        <w:t>OCR first (ABBYY preferred), set correct language</w:t>
      </w:r>
    </w:p>
    <w:p>
      <w:pPr>
        <w:spacing w:after="60"/>
      </w:pPr>
      <w:r>
        <w:rPr>
          <w:sz w:val="24"/>
        </w:rPr>
        <w:t xml:space="preserve">☐  </w:t>
      </w:r>
      <w:r>
        <w:t>Verify OCR accuracy — especially numbers/tables</w:t>
      </w:r>
    </w:p>
    <w:p>
      <w:pPr>
        <w:spacing w:after="60"/>
      </w:pPr>
      <w:r>
        <w:rPr>
          <w:sz w:val="24"/>
        </w:rPr>
        <w:t xml:space="preserve">☐  </w:t>
      </w:r>
      <w:r>
        <w:t>Then do the full born-digital tagging checklist</w:t>
      </w:r>
    </w:p>
    <w:p>
      <w:pPr>
        <w:spacing w:after="60"/>
      </w:pPr>
      <w:r>
        <w:rPr>
          <w:sz w:val="24"/>
        </w:rPr>
        <w:t xml:space="preserve">☐  </w:t>
      </w:r>
      <w:r>
        <w:t>Handwriting / math / unreadable → Tier C escalate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208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Microsoft Word (source-first, highest value)</w:t>
      </w:r>
    </w:p>
    <w:p>
      <w:pPr>
        <w:spacing w:after="60"/>
      </w:pPr>
      <w:r>
        <w:rPr>
          <w:sz w:val="24"/>
        </w:rPr>
        <w:t xml:space="preserve">☐  </w:t>
      </w:r>
      <w:r>
        <w:t>Headings via Styles (verify in Navigation Pane)</w:t>
      </w:r>
    </w:p>
    <w:p>
      <w:pPr>
        <w:spacing w:after="60"/>
      </w:pPr>
      <w:r>
        <w:rPr>
          <w:sz w:val="24"/>
        </w:rPr>
        <w:t xml:space="preserve">☐  </w:t>
      </w:r>
      <w:r>
        <w:t>Alt text; mark decorative; don’t use auto-generated alt</w:t>
      </w:r>
    </w:p>
    <w:p>
      <w:pPr>
        <w:spacing w:after="60"/>
      </w:pPr>
      <w:r>
        <w:rPr>
          <w:sz w:val="24"/>
        </w:rPr>
        <w:t xml:space="preserve">☐  </w:t>
      </w:r>
      <w:r>
        <w:t>Tables: header row + Repeat Header Rows; no merged/layout cells</w:t>
      </w:r>
    </w:p>
    <w:p>
      <w:pPr>
        <w:spacing w:after="60"/>
      </w:pPr>
      <w:r>
        <w:rPr>
          <w:sz w:val="24"/>
        </w:rPr>
        <w:t xml:space="preserve">☐  </w:t>
      </w:r>
      <w:r>
        <w:t>Real lists; descriptive links; no important content in text boxes</w:t>
      </w:r>
    </w:p>
    <w:p>
      <w:pPr>
        <w:spacing w:after="60"/>
      </w:pPr>
      <w:r>
        <w:rPr>
          <w:sz w:val="24"/>
        </w:rPr>
        <w:t xml:space="preserve">☐  </w:t>
      </w:r>
      <w:r>
        <w:t>Contrast OK; no color-only meaning; set Title + Language</w:t>
      </w:r>
    </w:p>
    <w:p>
      <w:pPr>
        <w:spacing w:after="60"/>
      </w:pPr>
      <w:r>
        <w:rPr>
          <w:sz w:val="24"/>
        </w:rPr>
        <w:t xml:space="preserve">☐  </w:t>
      </w:r>
      <w:r>
        <w:t>Export: Save As PDF with “Document structure tags” — never Print-to-PDF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208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PowerPoint</w:t>
      </w:r>
    </w:p>
    <w:p>
      <w:pPr>
        <w:spacing w:after="60"/>
      </w:pPr>
      <w:r>
        <w:rPr>
          <w:sz w:val="24"/>
        </w:rPr>
        <w:t xml:space="preserve">☐  </w:t>
      </w:r>
      <w:r>
        <w:t>Built-in layouts (not free-floating text boxes)</w:t>
      </w:r>
    </w:p>
    <w:p>
      <w:pPr>
        <w:spacing w:after="60"/>
      </w:pPr>
      <w:r>
        <w:rPr>
          <w:sz w:val="24"/>
        </w:rPr>
        <w:t xml:space="preserve">☐  </w:t>
      </w:r>
      <w:r>
        <w:t>Unique, meaningful slide titles (check Outline View)</w:t>
      </w:r>
    </w:p>
    <w:p>
      <w:pPr>
        <w:spacing w:after="60"/>
      </w:pPr>
      <w:r>
        <w:rPr>
          <w:sz w:val="24"/>
        </w:rPr>
        <w:t xml:space="preserve">☐  </w:t>
      </w:r>
      <w:r>
        <w:t>Reading order (Reading Order Pane: top = read first)</w:t>
      </w:r>
    </w:p>
    <w:p>
      <w:pPr>
        <w:spacing w:after="60"/>
      </w:pPr>
      <w:r>
        <w:rPr>
          <w:sz w:val="24"/>
        </w:rPr>
        <w:t xml:space="preserve">☐  </w:t>
      </w:r>
      <w:r>
        <w:t>Alt text; charts/SmartArt described; decorative marked</w:t>
      </w:r>
    </w:p>
    <w:p>
      <w:pPr>
        <w:spacing w:after="60"/>
      </w:pPr>
      <w:r>
        <w:rPr>
          <w:sz w:val="24"/>
        </w:rPr>
        <w:t xml:space="preserve">☐  </w:t>
      </w:r>
      <w:r>
        <w:t>Simple tables w/ header row; link text; contrast</w:t>
      </w:r>
    </w:p>
    <w:p>
      <w:pPr>
        <w:spacing w:after="60"/>
      </w:pPr>
      <w:r>
        <w:rPr>
          <w:sz w:val="24"/>
        </w:rPr>
        <w:t xml:space="preserve">☐  </w:t>
      </w:r>
      <w:r>
        <w:t>Embedded media → route to Video Captioning tracker</w:t>
      </w:r>
    </w:p>
    <w:p>
      <w:pPr>
        <w:spacing w:after="60"/>
      </w:pPr>
      <w:r>
        <w:rPr>
          <w:sz w:val="24"/>
        </w:rPr>
        <w:t xml:space="preserve">☐  </w:t>
      </w:r>
      <w:r>
        <w:t>Export tagged PDF (not Print-to-PDF)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208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Excel</w:t>
      </w:r>
    </w:p>
    <w:p>
      <w:pPr>
        <w:spacing w:after="60"/>
      </w:pPr>
      <w:r>
        <w:rPr>
          <w:sz w:val="24"/>
        </w:rPr>
        <w:t xml:space="preserve">☐  </w:t>
      </w:r>
      <w:r>
        <w:t>Format data as a real Table (“My table has headers”); name it</w:t>
      </w:r>
    </w:p>
    <w:p>
      <w:pPr>
        <w:spacing w:after="60"/>
      </w:pPr>
      <w:r>
        <w:rPr>
          <w:sz w:val="24"/>
        </w:rPr>
        <w:t xml:space="preserve">☐  </w:t>
      </w:r>
      <w:r>
        <w:t>No merged cells (use Center Across Selection); no blank spacer rows</w:t>
      </w:r>
    </w:p>
    <w:p>
      <w:pPr>
        <w:spacing w:after="60"/>
      </w:pPr>
      <w:r>
        <w:rPr>
          <w:sz w:val="24"/>
        </w:rPr>
        <w:t xml:space="preserve">☐  </w:t>
      </w:r>
      <w:r>
        <w:t>Unique sheet-tab names; delete blank sheets; A1 populated</w:t>
      </w:r>
    </w:p>
    <w:p>
      <w:pPr>
        <w:spacing w:after="60"/>
      </w:pPr>
      <w:r>
        <w:rPr>
          <w:sz w:val="24"/>
        </w:rPr>
        <w:t xml:space="preserve">☐  </w:t>
      </w:r>
      <w:r>
        <w:t>Alt text on charts + underlying data accessible</w:t>
      </w:r>
    </w:p>
    <w:p>
      <w:pPr>
        <w:spacing w:after="60"/>
      </w:pPr>
      <w:r>
        <w:rPr>
          <w:sz w:val="24"/>
        </w:rPr>
        <w:t xml:space="preserve">☐  </w:t>
      </w:r>
      <w:r>
        <w:t>No color-only meaning; no red-only negatives; contrast OK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208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Images / alt text (cross-cutting)</w:t>
      </w:r>
    </w:p>
    <w:p>
      <w:pPr>
        <w:spacing w:after="60"/>
      </w:pPr>
      <w:r>
        <w:rPr>
          <w:sz w:val="24"/>
        </w:rPr>
        <w:t xml:space="preserve">☐  </w:t>
      </w:r>
      <w:r>
        <w:t>Classify: decorative / informative / functional / complex</w:t>
      </w:r>
    </w:p>
    <w:p>
      <w:pPr>
        <w:spacing w:after="60"/>
      </w:pPr>
      <w:r>
        <w:rPr>
          <w:sz w:val="24"/>
        </w:rPr>
        <w:t xml:space="preserve">☐  </w:t>
      </w:r>
      <w:r>
        <w:t>Decorative → marked/skipped; informative → concise meaningful alt</w:t>
      </w:r>
    </w:p>
    <w:p>
      <w:pPr>
        <w:spacing w:after="60"/>
      </w:pPr>
      <w:r>
        <w:rPr>
          <w:sz w:val="24"/>
        </w:rPr>
        <w:t xml:space="preserve">☐  </w:t>
      </w:r>
      <w:r>
        <w:t>No “image of…”, no filenames, no auto-generated alt</w:t>
      </w:r>
    </w:p>
    <w:p>
      <w:pPr>
        <w:spacing w:after="60"/>
      </w:pPr>
      <w:r>
        <w:rPr>
          <w:sz w:val="24"/>
        </w:rPr>
        <w:t xml:space="preserve">☐  </w:t>
      </w:r>
      <w:r>
        <w:t>Complex (charts/diagrams) → short alt + long description / data table (often Tier C)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208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Convert to Canvas Page / HTML</w:t>
      </w:r>
    </w:p>
    <w:p>
      <w:pPr>
        <w:spacing w:after="60"/>
      </w:pPr>
      <w:r>
        <w:rPr>
          <w:sz w:val="24"/>
        </w:rPr>
        <w:t xml:space="preserve">☐  </w:t>
      </w:r>
      <w:r>
        <w:t>Content mostly linear text AND copyright allows conversion</w:t>
      </w:r>
    </w:p>
    <w:p>
      <w:pPr>
        <w:spacing w:after="60"/>
      </w:pPr>
      <w:r>
        <w:rPr>
          <w:sz w:val="24"/>
        </w:rPr>
        <w:t xml:space="preserve">☐  </w:t>
      </w:r>
      <w:r>
        <w:t>Headings start at H2 (H1 = page title); real lists; link text</w:t>
      </w:r>
    </w:p>
    <w:p>
      <w:pPr>
        <w:spacing w:after="60"/>
      </w:pPr>
      <w:r>
        <w:rPr>
          <w:sz w:val="24"/>
        </w:rPr>
        <w:t xml:space="preserve">☐  </w:t>
      </w:r>
      <w:r>
        <w:t>Image alt; simple tables w/ headers; contrast</w:t>
      </w:r>
    </w:p>
    <w:p>
      <w:pPr>
        <w:spacing w:after="60"/>
      </w:pPr>
      <w:r>
        <w:rPr>
          <w:sz w:val="24"/>
        </w:rPr>
        <w:t xml:space="preserve">☐  </w:t>
      </w:r>
      <w:r>
        <w:t>Canvas RCE checker clean; record copyright decision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208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STEM / math &amp; Tier-C</w:t>
      </w:r>
    </w:p>
    <w:p>
      <w:pPr>
        <w:spacing w:after="60"/>
      </w:pPr>
      <w:r>
        <w:rPr>
          <w:sz w:val="24"/>
        </w:rPr>
        <w:t xml:space="preserve">☐  </w:t>
      </w:r>
      <w:r>
        <w:t>Stop — don’t do Tier-C with the standard toolset (real math needs MathML, not flattened images/prose)</w:t>
      </w:r>
    </w:p>
    <w:p>
      <w:pPr>
        <w:spacing w:after="60"/>
      </w:pPr>
      <w:r>
        <w:rPr>
          <w:sz w:val="24"/>
        </w:rPr>
        <w:t xml:space="preserve">☐  </w:t>
      </w:r>
      <w:r>
        <w:t>Mark “Escalated — Tier C” in the tracker with reason</w:t>
      </w:r>
    </w:p>
    <w:p>
      <w:pPr>
        <w:spacing w:after="60"/>
      </w:pPr>
      <w:r>
        <w:rPr>
          <w:sz w:val="24"/>
        </w:rPr>
        <w:t xml:space="preserve">☐  </w:t>
      </w:r>
      <w:r>
        <w:t>Outsource complex STEM to Allyant (CommonLook) via the CSU MPA; coordinate with the systemwide CSU STEM Working Group</w:t>
      </w:r>
    </w:p>
    <w:p>
      <w:pPr>
        <w:spacing w:after="60"/>
      </w:pPr>
      <w:r>
        <w:rPr>
          <w:sz w:val="24"/>
        </w:rPr>
        <w:t xml:space="preserve">☐  </w:t>
      </w:r>
      <w:r>
        <w:t>Prefer accessible HTML over PDF for math (HTML beats PDF but is still imperfect)</w:t>
      </w:r>
    </w:p>
    <w:p>
      <w:pPr>
        <w:spacing w:after="60"/>
      </w:pPr>
      <w:r>
        <w:rPr>
          <w:sz w:val="24"/>
        </w:rPr>
        <w:t xml:space="preserve">☐  </w:t>
      </w:r>
      <w:r>
        <w:t>QA math by ear: a human NVDA listening check — a math file can pass the checker and still be unreadable (STEM WG, Dec 2025)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208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Cross-Cutting QA Gate (every document)</w:t>
      </w:r>
    </w:p>
    <w:p>
      <w:pPr>
        <w:spacing w:after="60"/>
      </w:pPr>
      <w:r>
        <w:rPr>
          <w:sz w:val="24"/>
        </w:rPr>
        <w:t xml:space="preserve">☐  </w:t>
      </w:r>
      <w:r>
        <w:t>Gate 1 — Automated: Office checker (source) / Acrobat Full Check + PAC 2026 (PDF) → 0 errors</w:t>
      </w:r>
    </w:p>
    <w:p>
      <w:pPr>
        <w:spacing w:after="60"/>
      </w:pPr>
      <w:r>
        <w:rPr>
          <w:sz w:val="24"/>
        </w:rPr>
        <w:t xml:space="preserve">☐  </w:t>
      </w:r>
      <w:r>
        <w:t>Gate 2 — Human: reading order · heading levels · meaningful alt · table-header logic · NVDA/JAWS spot-check (Tier B)</w:t>
      </w:r>
    </w:p>
    <w:p>
      <w:pPr>
        <w:spacing w:after="60"/>
      </w:pPr>
      <w:r>
        <w:rPr>
          <w:sz w:val="24"/>
        </w:rPr>
        <w:t xml:space="preserve">☐  </w:t>
      </w:r>
      <w:r>
        <w:t>Gate 2 (math): NVDA listening check — a math file can pass the checker and still be unreadable (STEM WG)</w:t>
      </w:r>
    </w:p>
    <w:p>
      <w:pPr>
        <w:spacing w:after="60"/>
      </w:pPr>
      <w:r>
        <w:rPr>
          <w:sz w:val="24"/>
        </w:rPr>
        <w:t xml:space="preserve">☐  </w:t>
      </w:r>
      <w:r>
        <w:t>Close-out: record time, pages, issues fixed, checker result, QA reviewer in the tracking log</w:t>
      </w:r>
    </w:p>
    <w:p>
      <w:pPr>
        <w:spacing w:after="160"/>
      </w:pPr>
      <w:r>
        <w:rPr>
          <w:b w:val="0"/>
          <w:i/>
          <w:sz w:val="20"/>
        </w:rPr>
        <w:t>Automated-clean ≠ accessible. Both gates are required.</w:t>
      </w:r>
    </w:p>
    <w:p>
      <w:pPr>
        <w:pStyle w:val="Heading2"/>
      </w:pPr>
      <w:r>
        <w:t>Related documents</w:t>
      </w:r>
    </w:p>
    <w:p>
      <w:pPr>
        <w:pStyle w:val="ListBullet"/>
        <w:spacing w:after="40"/>
      </w:pPr>
      <w:r>
        <w:t>CSU ATI framework (full reading): research/csu-ati-remediation-framework-reading.md</w:t>
      </w:r>
    </w:p>
    <w:p>
      <w:pPr>
        <w:pStyle w:val="ListBullet"/>
        <w:spacing w:after="40"/>
      </w:pPr>
      <w:r>
        <w:t>Full SOPs per format: plans/phase-1/remediation-procedures/</w:t>
      </w:r>
    </w:p>
    <w:p>
      <w:pPr>
        <w:pStyle w:val="ListBullet"/>
        <w:spacing w:after="40"/>
      </w:pPr>
      <w:r>
        <w:t>Infrastructure Readiness Tracker (tools/licenses): Documents/Infrastructure-Readiness-Tracker.docx</w:t>
      </w:r>
    </w:p>
    <w:p>
      <w:pPr>
        <w:pStyle w:val="ListBullet"/>
        <w:spacing w:after="40"/>
      </w:pPr>
      <w:r>
        <w:t>Training catalog &amp; onboarding: plans/phase-1/training/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Format Remediation Tracker — SFSU Canvas Remediation</dc:title>
  <dc:subject/>
  <dc:creator>SFSU Academic Technology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SFSU Canvas Remediation Program</cp:category>
</cp:coreProperties>
</file>