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Captioning Tracker &amp; Workflow</w:t>
      </w:r>
    </w:p>
    <w:p>
      <w:pPr>
        <w:spacing w:after="80"/>
      </w:pPr>
      <w:r>
        <w:rPr>
          <w:b w:val="0"/>
          <w:i/>
          <w:sz w:val="22"/>
        </w:rPr>
        <w:t>SFSU AT Canvas Remediation Program — Phase 3 (Video &amp; Captioning)</w:t>
      </w:r>
    </w:p>
    <w:p>
      <w:pPr>
        <w:spacing w:after="200"/>
      </w:pPr>
      <w:r>
        <w:rPr>
          <w:b w:val="0"/>
          <w:i/>
          <w:sz w:val="18"/>
        </w:rPr>
        <w:t>Note: documents are the current Phase 1 priority; this captures the captioning plan for working-group discussion and future tracking.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Tracker owner</w:t>
            </w:r>
          </w:p>
        </w:tc>
        <w:tc>
          <w:tcPr>
            <w:tcW w:type="dxa" w:w="2160"/>
          </w:tcPr>
          <w:p>
            <w:r>
              <w:rPr>
                <w:b/>
              </w:rPr>
              <w:t>Last updated</w:t>
            </w:r>
          </w:p>
        </w:tc>
        <w:tc>
          <w:tcPr>
            <w:tcW w:type="dxa" w:w="2160"/>
          </w:tcPr>
          <w:p>
            <w:r>
              <w:rPr>
                <w:b/>
              </w:rPr>
              <w:t>Review cadence</w:t>
            </w:r>
          </w:p>
        </w:tc>
        <w:tc>
          <w:tcPr>
            <w:tcW w:type="dxa" w:w="2160"/>
          </w:tcPr>
          <w:p>
            <w:r>
              <w:rPr>
                <w:b/>
              </w:rPr>
              <w:t>Vendor / platform</w:t>
            </w:r>
          </w:p>
        </w:tc>
      </w:tr>
      <w:tr>
        <w:tc>
          <w:tcPr>
            <w:tcW w:type="dxa" w:w="2160"/>
            <w:shd w:val="clear" w:color="auto" w:fill="F2F2F2"/>
          </w:tcPr>
          <w:p>
            <w:r/>
          </w:p>
        </w:tc>
        <w:tc>
          <w:tcPr>
            <w:tcW w:type="dxa" w:w="2160"/>
            <w:shd w:val="clear" w:color="auto" w:fill="F2F2F2"/>
          </w:tcPr>
          <w:p>
            <w:r/>
          </w:p>
        </w:tc>
        <w:tc>
          <w:tcPr>
            <w:tcW w:type="dxa" w:w="2160"/>
            <w:shd w:val="clear" w:color="auto" w:fill="F2F2F2"/>
          </w:tcPr>
          <w:p>
            <w:r/>
          </w:p>
        </w:tc>
        <w:tc>
          <w:tcPr>
            <w:tcW w:type="dxa" w:w="2160"/>
            <w:shd w:val="clear" w:color="auto" w:fill="F2F2F2"/>
          </w:tcPr>
          <w:p>
            <w:r/>
          </w:p>
        </w:tc>
      </w:tr>
    </w:tbl>
    <w:p/>
    <w:p>
      <w:pPr>
        <w:spacing w:after="60"/>
      </w:pPr>
      <w:r>
        <w:rPr>
          <w:b/>
          <w:i w:val="0"/>
          <w:sz w:val="24"/>
        </w:rPr>
        <w:t>Purpose</w:t>
      </w:r>
    </w:p>
    <w:p>
      <w:pPr>
        <w:spacing w:after="160"/>
      </w:pPr>
      <w:r>
        <w:rPr>
          <w:b w:val="0"/>
          <w:i w:val="0"/>
          <w:sz w:val="20"/>
        </w:rPr>
        <w:t>Define how course video gets captioned to standard, track the infrastructure that makes it possible, and provide the working checklists. Built around Canvas Studio as the platform of record plus an outsourced professional captioning vendor, with students reviewing/editing output.</w:t>
      </w:r>
    </w:p>
    <w:p>
      <w:pPr>
        <w:spacing w:after="200"/>
      </w:pPr>
      <w:r>
        <w:rPr>
          <w:b w:val="0"/>
          <w:i/>
          <w:sz w:val="20"/>
        </w:rPr>
        <w:t>Status legend:  ☐ Not started   ◐ In progress   ✓ Ready (unverified)   ✅ Verified   ⛔ Blocked (needs a decision)</w:t>
      </w:r>
    </w:p>
    <w:p>
      <w:pPr>
        <w:pStyle w:val="Heading1"/>
      </w:pPr>
      <w:r>
        <w:t>1. Caption Quality Standard (tiered)</w:t>
      </w:r>
    </w:p>
    <w:p>
      <w:pPr>
        <w:spacing w:after="120"/>
      </w:pPr>
      <w:r>
        <w:rPr>
          <w:b w:val="0"/>
          <w:i/>
          <w:sz w:val="20"/>
        </w:rPr>
        <w:t>Adapted from the University of Washington model. A DPRC captioning accommodation always triggers the top tier.</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rPr>
          <w:tblHeader w:val="true"/>
        </w:trPr>
        <w:tc>
          <w:tcPr>
            <w:tcW w:type="dxa" w:w="1152"/>
            <w:shd w:val="clear" w:color="auto" w:fill="1F3864"/>
          </w:tcPr>
          <w:p>
            <w:r>
              <w:rPr>
                <w:b/>
                <w:color w:val="FFFFFF"/>
              </w:rPr>
              <w:t>Tier</w:t>
            </w:r>
          </w:p>
        </w:tc>
        <w:tc>
          <w:tcPr>
            <w:tcW w:type="dxa" w:w="4464"/>
            <w:shd w:val="clear" w:color="auto" w:fill="1F3864"/>
          </w:tcPr>
          <w:p>
            <w:r>
              <w:rPr>
                <w:b/>
                <w:color w:val="FFFFFF"/>
              </w:rPr>
              <w:t>Trigger</w:t>
            </w:r>
          </w:p>
        </w:tc>
        <w:tc>
          <w:tcPr>
            <w:tcW w:type="dxa" w:w="2160"/>
            <w:shd w:val="clear" w:color="auto" w:fill="1F3864"/>
          </w:tcPr>
          <w:p>
            <w:r>
              <w:rPr>
                <w:b/>
                <w:color w:val="FFFFFF"/>
              </w:rPr>
              <w:t>Accuracy standard</w:t>
            </w:r>
          </w:p>
        </w:tc>
        <w:tc>
          <w:tcPr>
            <w:tcW w:type="dxa" w:w="3024"/>
            <w:shd w:val="clear" w:color="auto" w:fill="1F3864"/>
          </w:tcPr>
          <w:p>
            <w:r>
              <w:rPr>
                <w:b/>
                <w:color w:val="FFFFFF"/>
              </w:rPr>
              <w:t>Path</w:t>
            </w:r>
          </w:p>
        </w:tc>
      </w:tr>
      <w:tr>
        <w:tc>
          <w:tcPr>
            <w:tcW w:type="dxa" w:w="1152"/>
          </w:tcPr>
          <w:p>
            <w:r>
              <w:t>High</w:t>
            </w:r>
          </w:p>
        </w:tc>
        <w:tc>
          <w:tcPr>
            <w:tcW w:type="dxa" w:w="4464"/>
          </w:tcPr>
          <w:p>
            <w:r>
              <w:t>DPRC captioning accommodation in the course</w:t>
            </w:r>
          </w:p>
        </w:tc>
        <w:tc>
          <w:tcPr>
            <w:tcW w:type="dxa" w:w="2160"/>
          </w:tcPr>
          <w:p>
            <w:r>
              <w:t>99%+, human-verified</w:t>
            </w:r>
          </w:p>
        </w:tc>
        <w:tc>
          <w:tcPr>
            <w:tcW w:type="dxa" w:w="3024"/>
          </w:tcPr>
          <w:p>
            <w:r>
              <w:t>Vendor; student QA on receipt</w:t>
            </w:r>
          </w:p>
        </w:tc>
      </w:tr>
      <w:tr>
        <w:tc>
          <w:tcPr>
            <w:tcW w:type="dxa" w:w="1152"/>
          </w:tcPr>
          <w:p>
            <w:r>
              <w:t>Medium</w:t>
            </w:r>
          </w:p>
        </w:tc>
        <w:tc>
          <w:tcPr>
            <w:tcW w:type="dxa" w:w="4464"/>
          </w:tcPr>
          <w:p>
            <w:r>
              <w:t>Reused/recurring recordings; reported bad captions; high-enrollment</w:t>
            </w:r>
          </w:p>
        </w:tc>
        <w:tc>
          <w:tcPr>
            <w:tcW w:type="dxa" w:w="2160"/>
          </w:tcPr>
          <w:p>
            <w:r>
              <w:t>97%+</w:t>
            </w:r>
          </w:p>
        </w:tc>
        <w:tc>
          <w:tcPr>
            <w:tcW w:type="dxa" w:w="3024"/>
          </w:tcPr>
          <w:p>
            <w:r>
              <w:t>Vendor, or ASR + student edit pass</w:t>
            </w:r>
          </w:p>
        </w:tc>
      </w:tr>
      <w:tr>
        <w:tc>
          <w:tcPr>
            <w:tcW w:type="dxa" w:w="1152"/>
          </w:tcPr>
          <w:p>
            <w:r>
              <w:t>Low</w:t>
            </w:r>
          </w:p>
        </w:tc>
        <w:tc>
          <w:tcPr>
            <w:tcW w:type="dxa" w:w="4464"/>
          </w:tcPr>
          <w:p>
            <w:r>
              <w:t>Single-use, one-course, low-audience</w:t>
            </w:r>
          </w:p>
        </w:tc>
        <w:tc>
          <w:tcPr>
            <w:tcW w:type="dxa" w:w="2160"/>
          </w:tcPr>
          <w:p>
            <w:r>
              <w:t>Unedited ASR acceptable</w:t>
            </w:r>
          </w:p>
        </w:tc>
        <w:tc>
          <w:tcPr>
            <w:tcW w:type="dxa" w:w="3024"/>
          </w:tcPr>
          <w:p>
            <w:r>
              <w:t>Canvas Studio auto-captions</w:t>
            </w:r>
          </w:p>
        </w:tc>
      </w:tr>
    </w:tbl>
    <w:p>
      <w:pPr>
        <w:spacing w:after="80"/>
      </w:pPr>
    </w:p>
    <w:p>
      <w:pPr>
        <w:spacing w:after="160"/>
      </w:pPr>
      <w:r>
        <w:rPr>
          <w:b w:val="0"/>
          <w:i/>
          <w:sz w:val="18"/>
        </w:rPr>
        <w:t>Rationale: machine captions alone are rarely accurate enough for compliance; vendor accuracy estimates set the threshold for routing to human review. A blended tiered model costs a fraction of captioning everything manually.</w:t>
      </w:r>
    </w:p>
    <w:p>
      <w:pPr>
        <w:pStyle w:val="Heading1"/>
      </w:pPr>
      <w:r>
        <w:t>2. Captioning Infrastructure Readiness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rPr>
          <w:tblHeader w:val="true"/>
        </w:trPr>
        <w:tc>
          <w:tcPr>
            <w:tcW w:type="dxa" w:w="3744"/>
            <w:shd w:val="clear" w:color="auto" w:fill="1F3864"/>
          </w:tcPr>
          <w:p>
            <w:r>
              <w:rPr>
                <w:b/>
                <w:color w:val="FFFFFF"/>
              </w:rPr>
              <w:t>Component / Ready when…</w:t>
            </w:r>
          </w:p>
        </w:tc>
        <w:tc>
          <w:tcPr>
            <w:tcW w:type="dxa" w:w="1296"/>
            <w:shd w:val="clear" w:color="auto" w:fill="1F3864"/>
          </w:tcPr>
          <w:p>
            <w:r>
              <w:rPr>
                <w:b/>
                <w:color w:val="FFFFFF"/>
              </w:rPr>
              <w:t>Owner</w:t>
            </w:r>
          </w:p>
        </w:tc>
        <w:tc>
          <w:tcPr>
            <w:tcW w:type="dxa" w:w="1440"/>
            <w:shd w:val="clear" w:color="auto" w:fill="1F3864"/>
          </w:tcPr>
          <w:p>
            <w:r>
              <w:rPr>
                <w:b/>
                <w:color w:val="FFFFFF"/>
              </w:rPr>
              <w:t>Status</w:t>
            </w:r>
          </w:p>
        </w:tc>
        <w:tc>
          <w:tcPr>
            <w:tcW w:type="dxa" w:w="1440"/>
            <w:shd w:val="clear" w:color="auto" w:fill="1F3864"/>
          </w:tcPr>
          <w:p>
            <w:r>
              <w:rPr>
                <w:b/>
                <w:color w:val="FFFFFF"/>
              </w:rPr>
              <w:t>Verified</w:t>
            </w:r>
          </w:p>
        </w:tc>
        <w:tc>
          <w:tcPr>
            <w:tcW w:type="dxa" w:w="1440"/>
            <w:shd w:val="clear" w:color="auto" w:fill="1F3864"/>
          </w:tcPr>
          <w:p>
            <w:r>
              <w:rPr>
                <w:b/>
                <w:color w:val="FFFFFF"/>
              </w:rPr>
              <w:t>Notes</w:t>
            </w:r>
          </w:p>
        </w:tc>
      </w:tr>
      <w:tr>
        <w:tc>
          <w:tcPr>
            <w:tcW w:type="dxa" w:w="3744"/>
          </w:tcPr>
          <w:p>
            <w:r>
              <w:rPr>
                <w:b/>
              </w:rPr>
              <w:t>Canvas Studio (platform of record)</w:t>
            </w:r>
          </w:p>
          <w:p>
            <w:r>
              <w:rPr>
                <w:i/>
                <w:sz w:val="18"/>
              </w:rPr>
              <w:t>Ready when: configured; faculty can upload video; auto-captions generate; a test video captioned end-to-end.</w:t>
            </w:r>
          </w:p>
        </w:tc>
        <w:tc>
          <w:tcPr>
            <w:tcW w:type="dxa" w:w="1296"/>
            <w:shd w:val="clear" w:color="auto" w:fill="F2F2F2"/>
          </w:tcPr>
          <w:p>
            <w:r/>
          </w:p>
        </w:tc>
        <w:tc>
          <w:tcPr>
            <w:tcW w:type="dxa" w:w="1440"/>
          </w:tcPr>
          <w:p>
            <w:r>
              <w:t>◐ In progress</w:t>
            </w:r>
          </w:p>
        </w:tc>
        <w:tc>
          <w:tcPr>
            <w:tcW w:type="dxa" w:w="1440"/>
            <w:shd w:val="clear" w:color="auto" w:fill="F2F2F2"/>
          </w:tcPr>
          <w:p>
            <w:r/>
          </w:p>
        </w:tc>
        <w:tc>
          <w:tcPr>
            <w:tcW w:type="dxa" w:w="1440"/>
            <w:shd w:val="clear" w:color="auto" w:fill="F2F2F2"/>
          </w:tcPr>
          <w:p>
            <w:r/>
          </w:p>
        </w:tc>
      </w:tr>
      <w:tr>
        <w:tc>
          <w:tcPr>
            <w:tcW w:type="dxa" w:w="3744"/>
          </w:tcPr>
          <w:p>
            <w:r>
              <w:rPr>
                <w:b/>
              </w:rPr>
              <w:t>Professional captioning vendor</w:t>
            </w:r>
          </w:p>
          <w:p>
            <w:r>
              <w:rPr>
                <w:i/>
                <w:sz w:val="18"/>
              </w:rPr>
              <w:t>Ready when: contract signed with turnaround + accuracy SLA and a no-AI-training-on-our-content clause; test job delivered.</w:t>
            </w:r>
          </w:p>
        </w:tc>
        <w:tc>
          <w:tcPr>
            <w:tcW w:type="dxa" w:w="1296"/>
            <w:shd w:val="clear" w:color="auto" w:fill="F2F2F2"/>
          </w:tcPr>
          <w:p>
            <w:r/>
          </w:p>
        </w:tc>
        <w:tc>
          <w:tcPr>
            <w:tcW w:type="dxa" w:w="1440"/>
          </w:tcPr>
          <w:p>
            <w:r>
              <w:t>⛔ Not selected</w:t>
            </w:r>
          </w:p>
        </w:tc>
        <w:tc>
          <w:tcPr>
            <w:tcW w:type="dxa" w:w="1440"/>
            <w:shd w:val="clear" w:color="auto" w:fill="F2F2F2"/>
          </w:tcPr>
          <w:p>
            <w:r/>
          </w:p>
        </w:tc>
        <w:tc>
          <w:tcPr>
            <w:tcW w:type="dxa" w:w="1440"/>
            <w:shd w:val="clear" w:color="auto" w:fill="F2F2F2"/>
          </w:tcPr>
          <w:p>
            <w:r/>
          </w:p>
        </w:tc>
      </w:tr>
      <w:tr>
        <w:tc>
          <w:tcPr>
            <w:tcW w:type="dxa" w:w="3744"/>
          </w:tcPr>
          <w:p>
            <w:r>
              <w:rPr>
                <w:b/>
              </w:rPr>
              <w:t>Student captioning QA</w:t>
            </w:r>
          </w:p>
          <w:p>
            <w:r>
              <w:rPr>
                <w:i/>
                <w:sz w:val="18"/>
              </w:rPr>
              <w:t>Ready when: students trained to review/edit vendor + ASR output to the tier standard, and certified on a sample.</w:t>
            </w:r>
          </w:p>
        </w:tc>
        <w:tc>
          <w:tcPr>
            <w:tcW w:type="dxa" w:w="1296"/>
            <w:shd w:val="clear" w:color="auto" w:fill="F2F2F2"/>
          </w:tcPr>
          <w:p>
            <w:r/>
          </w:p>
        </w:tc>
        <w:tc>
          <w:tcPr>
            <w:tcW w:type="dxa" w:w="1440"/>
          </w:tcPr>
          <w:p>
            <w:r>
              <w:t>☐ Not started</w:t>
            </w:r>
          </w:p>
        </w:tc>
        <w:tc>
          <w:tcPr>
            <w:tcW w:type="dxa" w:w="1440"/>
            <w:shd w:val="clear" w:color="auto" w:fill="F2F2F2"/>
          </w:tcPr>
          <w:p>
            <w:r/>
          </w:p>
        </w:tc>
        <w:tc>
          <w:tcPr>
            <w:tcW w:type="dxa" w:w="1440"/>
            <w:shd w:val="clear" w:color="auto" w:fill="F2F2F2"/>
          </w:tcPr>
          <w:p>
            <w:r/>
          </w:p>
        </w:tc>
      </w:tr>
      <w:tr>
        <w:tc>
          <w:tcPr>
            <w:tcW w:type="dxa" w:w="3744"/>
          </w:tcPr>
          <w:p>
            <w:r>
              <w:rPr>
                <w:b/>
              </w:rPr>
              <w:t>Caption-coverage census (CanvasBot)</w:t>
            </w:r>
          </w:p>
          <w:p>
            <w:r>
              <w:rPr>
                <w:i/>
                <w:sz w:val="18"/>
              </w:rPr>
              <w:t>Ready when: video inventory across active courses with caption status — since UDOIT/Ally do not see most video.</w:t>
            </w:r>
          </w:p>
        </w:tc>
        <w:tc>
          <w:tcPr>
            <w:tcW w:type="dxa" w:w="1296"/>
            <w:shd w:val="clear" w:color="auto" w:fill="F2F2F2"/>
          </w:tcPr>
          <w:p>
            <w:r/>
          </w:p>
        </w:tc>
        <w:tc>
          <w:tcPr>
            <w:tcW w:type="dxa" w:w="1440"/>
          </w:tcPr>
          <w:p>
            <w:r>
              <w:t>☐ Not started</w:t>
            </w:r>
          </w:p>
        </w:tc>
        <w:tc>
          <w:tcPr>
            <w:tcW w:type="dxa" w:w="1440"/>
            <w:shd w:val="clear" w:color="auto" w:fill="F2F2F2"/>
          </w:tcPr>
          <w:p>
            <w:r/>
          </w:p>
        </w:tc>
        <w:tc>
          <w:tcPr>
            <w:tcW w:type="dxa" w:w="1440"/>
            <w:shd w:val="clear" w:color="auto" w:fill="F2F2F2"/>
          </w:tcPr>
          <w:p>
            <w:r/>
          </w:p>
        </w:tc>
      </w:tr>
      <w:tr>
        <w:tc>
          <w:tcPr>
            <w:tcW w:type="dxa" w:w="3744"/>
          </w:tcPr>
          <w:p>
            <w:r>
              <w:rPr>
                <w:b/>
              </w:rPr>
              <w:t>DPRC caption-accommodation intake</w:t>
            </w:r>
          </w:p>
          <w:p>
            <w:r>
              <w:rPr>
                <w:i/>
                <w:sz w:val="18"/>
              </w:rPr>
              <w:t>Ready when: a defined path to receive caption accommodation requests with lead time (target: 4 weeks pre-term).</w:t>
            </w:r>
          </w:p>
        </w:tc>
        <w:tc>
          <w:tcPr>
            <w:tcW w:type="dxa" w:w="1296"/>
            <w:shd w:val="clear" w:color="auto" w:fill="F2F2F2"/>
          </w:tcPr>
          <w:p>
            <w:r/>
          </w:p>
        </w:tc>
        <w:tc>
          <w:tcPr>
            <w:tcW w:type="dxa" w:w="1440"/>
          </w:tcPr>
          <w:p>
            <w:r>
              <w:t>⛔ Needs DPRC</w:t>
            </w:r>
          </w:p>
        </w:tc>
        <w:tc>
          <w:tcPr>
            <w:tcW w:type="dxa" w:w="1440"/>
            <w:shd w:val="clear" w:color="auto" w:fill="F2F2F2"/>
          </w:tcPr>
          <w:p>
            <w:r/>
          </w:p>
        </w:tc>
        <w:tc>
          <w:tcPr>
            <w:tcW w:type="dxa" w:w="1440"/>
            <w:shd w:val="clear" w:color="auto" w:fill="F2F2F2"/>
          </w:tcPr>
          <w:p>
            <w:r/>
          </w:p>
        </w:tc>
      </w:tr>
      <w:tr>
        <w:tc>
          <w:tcPr>
            <w:tcW w:type="dxa" w:w="3744"/>
          </w:tcPr>
          <w:p>
            <w:r>
              <w:rPr>
                <w:b/>
              </w:rPr>
              <w:t>External / YouTube video handling</w:t>
            </w:r>
          </w:p>
          <w:p>
            <w:r>
              <w:rPr>
                <w:i/>
                <w:sz w:val="18"/>
              </w:rPr>
              <w:t>Ready when: legal opinion obtained on capturing &amp; captioning external video; capture pipeline built or shelved accordingly.</w:t>
            </w:r>
          </w:p>
        </w:tc>
        <w:tc>
          <w:tcPr>
            <w:tcW w:type="dxa" w:w="1296"/>
            <w:shd w:val="clear" w:color="auto" w:fill="F2F2F2"/>
          </w:tcPr>
          <w:p>
            <w:r/>
          </w:p>
        </w:tc>
        <w:tc>
          <w:tcPr>
            <w:tcW w:type="dxa" w:w="1440"/>
          </w:tcPr>
          <w:p>
            <w:r>
              <w:t>⛔ Legal review</w:t>
            </w:r>
          </w:p>
        </w:tc>
        <w:tc>
          <w:tcPr>
            <w:tcW w:type="dxa" w:w="1440"/>
            <w:shd w:val="clear" w:color="auto" w:fill="F2F2F2"/>
          </w:tcPr>
          <w:p>
            <w:r/>
          </w:p>
        </w:tc>
        <w:tc>
          <w:tcPr>
            <w:tcW w:type="dxa" w:w="1440"/>
            <w:shd w:val="clear" w:color="auto" w:fill="F2F2F2"/>
          </w:tcPr>
          <w:p>
            <w:r/>
          </w:p>
        </w:tc>
      </w:tr>
    </w:tbl>
    <w:p/>
    <w:p>
      <w:pPr>
        <w:pStyle w:val="Heading1"/>
      </w:pPr>
      <w:r>
        <w:t>3. Workflow Checklists</w:t>
      </w:r>
    </w:p>
    <w:p>
      <w:pPr>
        <w:spacing w:after="60"/>
      </w:pPr>
      <w:r>
        <w:rPr>
          <w:b/>
          <w:i w:val="0"/>
          <w:sz w:val="24"/>
        </w:rPr>
        <w:t>A. Proactive (new content)</w:t>
      </w:r>
    </w:p>
    <w:p>
      <w:pPr>
        <w:spacing w:after="60"/>
      </w:pPr>
      <w:r>
        <w:rPr>
          <w:sz w:val="24"/>
        </w:rPr>
        <w:t xml:space="preserve">☐  </w:t>
      </w:r>
      <w:r>
        <w:t>Faculty uploads video to Canvas Studio</w:t>
      </w:r>
    </w:p>
    <w:p>
      <w:pPr>
        <w:spacing w:after="60"/>
      </w:pPr>
      <w:r>
        <w:rPr>
          <w:sz w:val="24"/>
        </w:rPr>
        <w:t xml:space="preserve">☐  </w:t>
      </w:r>
      <w:r>
        <w:t>Studio auto-ASR captions generated</w:t>
      </w:r>
    </w:p>
    <w:p>
      <w:pPr>
        <w:spacing w:after="60"/>
      </w:pPr>
      <w:r>
        <w:rPr>
          <w:sz w:val="24"/>
        </w:rPr>
        <w:t xml:space="preserve">☐  </w:t>
      </w:r>
      <w:r>
        <w:t>Assign tier (High / Medium / Low)</w:t>
      </w:r>
    </w:p>
    <w:p>
      <w:pPr>
        <w:spacing w:after="60"/>
      </w:pPr>
      <w:r>
        <w:rPr>
          <w:sz w:val="24"/>
        </w:rPr>
        <w:t xml:space="preserve">☐  </w:t>
      </w:r>
      <w:r>
        <w:t>Route Medium/High to vendor or student edit queue</w:t>
      </w:r>
    </w:p>
    <w:p>
      <w:pPr>
        <w:spacing w:after="60"/>
      </w:pPr>
      <w:r>
        <w:rPr>
          <w:sz w:val="24"/>
        </w:rPr>
        <w:t xml:space="preserve">☐  </w:t>
      </w:r>
      <w:r>
        <w:t>QA to tier standard → publish</w:t>
      </w:r>
    </w:p>
    <w:tbl>
      <w:tblPr>
        <w:tblW w:type="auto" w:w="0"/>
        <w:jc w:val="left"/>
        <w:tblLayout w:type="fixed"/>
        <w:tblLook w:firstColumn="1" w:firstRow="1" w:lastColumn="0" w:lastRow="0" w:noHBand="0" w:noVBand="1" w:val="04A0"/>
      </w:tblPr>
      <w:tblGrid>
        <w:gridCol w:w="4320"/>
        <w:gridCol w:w="4320"/>
      </w:tblGrid>
      <w:tr>
        <w:tc>
          <w:tcPr>
            <w:tcW w:type="dxa" w:w="1152"/>
          </w:tcPr>
          <w:p>
            <w:r>
              <w:rPr>
                <w:b/>
              </w:rPr>
              <w:t>Notes:</w:t>
            </w:r>
          </w:p>
        </w:tc>
        <w:tc>
          <w:tcPr>
            <w:tcW w:type="dxa" w:w="8208"/>
            <w:shd w:val="clear" w:color="auto" w:fill="F2F2F2"/>
          </w:tcPr>
          <w:p>
            <w:r/>
          </w:p>
        </w:tc>
      </w:tr>
    </w:tbl>
    <w:p>
      <w:pPr>
        <w:spacing w:after="40"/>
      </w:pPr>
    </w:p>
    <w:p>
      <w:pPr>
        <w:spacing w:after="60"/>
      </w:pPr>
      <w:r>
        <w:rPr>
          <w:b/>
          <w:i w:val="0"/>
          <w:sz w:val="24"/>
        </w:rPr>
        <w:t>B. Accommodation-driven (High tier / 99%)</w:t>
      </w:r>
    </w:p>
    <w:p>
      <w:pPr>
        <w:spacing w:after="60"/>
      </w:pPr>
      <w:r>
        <w:rPr>
          <w:sz w:val="24"/>
        </w:rPr>
        <w:t xml:space="preserve">☐  </w:t>
      </w:r>
      <w:r>
        <w:t>DPRC caption accommodation received for the course</w:t>
      </w:r>
    </w:p>
    <w:p>
      <w:pPr>
        <w:spacing w:after="60"/>
      </w:pPr>
      <w:r>
        <w:rPr>
          <w:sz w:val="24"/>
        </w:rPr>
        <w:t xml:space="preserve">☐  </w:t>
      </w:r>
      <w:r>
        <w:t>Inventory the course video (CanvasBot / manual)</w:t>
      </w:r>
    </w:p>
    <w:p>
      <w:pPr>
        <w:spacing w:after="60"/>
      </w:pPr>
      <w:r>
        <w:rPr>
          <w:sz w:val="24"/>
        </w:rPr>
        <w:t xml:space="preserve">☐  </w:t>
      </w:r>
      <w:r>
        <w:t>Submit to captioning vendor</w:t>
      </w:r>
    </w:p>
    <w:p>
      <w:pPr>
        <w:spacing w:after="60"/>
      </w:pPr>
      <w:r>
        <w:rPr>
          <w:sz w:val="24"/>
        </w:rPr>
        <w:t xml:space="preserve">☐  </w:t>
      </w:r>
      <w:r>
        <w:t>Student QA against 99% standard on receipt</w:t>
      </w:r>
    </w:p>
    <w:p>
      <w:pPr>
        <w:spacing w:after="60"/>
      </w:pPr>
      <w:r>
        <w:rPr>
          <w:sz w:val="24"/>
        </w:rPr>
        <w:t xml:space="preserve">☐  </w:t>
      </w:r>
      <w:r>
        <w:t>Deliver; log lead time vs the 4-week pre-term target</w:t>
      </w:r>
    </w:p>
    <w:tbl>
      <w:tblPr>
        <w:tblW w:type="auto" w:w="0"/>
        <w:jc w:val="left"/>
        <w:tblLayout w:type="fixed"/>
        <w:tblLook w:firstColumn="1" w:firstRow="1" w:lastColumn="0" w:lastRow="0" w:noHBand="0" w:noVBand="1" w:val="04A0"/>
      </w:tblPr>
      <w:tblGrid>
        <w:gridCol w:w="4320"/>
        <w:gridCol w:w="4320"/>
      </w:tblGrid>
      <w:tr>
        <w:tc>
          <w:tcPr>
            <w:tcW w:type="dxa" w:w="1152"/>
          </w:tcPr>
          <w:p>
            <w:r>
              <w:rPr>
                <w:b/>
              </w:rPr>
              <w:t>Notes:</w:t>
            </w:r>
          </w:p>
        </w:tc>
        <w:tc>
          <w:tcPr>
            <w:tcW w:type="dxa" w:w="8208"/>
            <w:shd w:val="clear" w:color="auto" w:fill="F2F2F2"/>
          </w:tcPr>
          <w:p>
            <w:r/>
          </w:p>
        </w:tc>
      </w:tr>
    </w:tbl>
    <w:p>
      <w:pPr>
        <w:spacing w:after="40"/>
      </w:pPr>
    </w:p>
    <w:p>
      <w:pPr>
        <w:spacing w:after="60"/>
      </w:pPr>
      <w:r>
        <w:rPr>
          <w:b/>
          <w:i w:val="0"/>
          <w:sz w:val="24"/>
        </w:rPr>
        <w:t>C. Legacy backlog</w:t>
      </w:r>
    </w:p>
    <w:p>
      <w:pPr>
        <w:spacing w:after="60"/>
      </w:pPr>
      <w:r>
        <w:rPr>
          <w:sz w:val="24"/>
        </w:rPr>
        <w:t xml:space="preserve">☐  </w:t>
      </w:r>
      <w:r>
        <w:t>Run caption-coverage census across active courses</w:t>
      </w:r>
    </w:p>
    <w:p>
      <w:pPr>
        <w:spacing w:after="60"/>
      </w:pPr>
      <w:r>
        <w:rPr>
          <w:sz w:val="24"/>
        </w:rPr>
        <w:t xml:space="preserve">☐  </w:t>
      </w:r>
      <w:r>
        <w:t>Produce a coverage report (videos, minutes, caption status)</w:t>
      </w:r>
    </w:p>
    <w:p>
      <w:pPr>
        <w:spacing w:after="60"/>
      </w:pPr>
      <w:r>
        <w:rPr>
          <w:sz w:val="24"/>
        </w:rPr>
        <w:t xml:space="preserve">☐  </w:t>
      </w:r>
      <w:r>
        <w:t>Prioritize per program rules (DPRC-enrolled courses first)</w:t>
      </w:r>
    </w:p>
    <w:p>
      <w:pPr>
        <w:spacing w:after="60"/>
      </w:pPr>
      <w:r>
        <w:rPr>
          <w:sz w:val="24"/>
        </w:rPr>
        <w:t xml:space="preserve">☐  </w:t>
      </w:r>
      <w:r>
        <w:t>Work the queue by tier</w:t>
      </w:r>
    </w:p>
    <w:tbl>
      <w:tblPr>
        <w:tblW w:type="auto" w:w="0"/>
        <w:jc w:val="left"/>
        <w:tblLayout w:type="fixed"/>
        <w:tblLook w:firstColumn="1" w:firstRow="1" w:lastColumn="0" w:lastRow="0" w:noHBand="0" w:noVBand="1" w:val="04A0"/>
      </w:tblPr>
      <w:tblGrid>
        <w:gridCol w:w="4320"/>
        <w:gridCol w:w="4320"/>
      </w:tblGrid>
      <w:tr>
        <w:tc>
          <w:tcPr>
            <w:tcW w:type="dxa" w:w="1152"/>
          </w:tcPr>
          <w:p>
            <w:r>
              <w:rPr>
                <w:b/>
              </w:rPr>
              <w:t>Notes:</w:t>
            </w:r>
          </w:p>
        </w:tc>
        <w:tc>
          <w:tcPr>
            <w:tcW w:type="dxa" w:w="8208"/>
            <w:shd w:val="clear" w:color="auto" w:fill="F2F2F2"/>
          </w:tcPr>
          <w:p>
            <w:r/>
          </w:p>
        </w:tc>
      </w:tr>
    </w:tbl>
    <w:p>
      <w:pPr>
        <w:spacing w:after="40"/>
      </w:pPr>
    </w:p>
    <w:p>
      <w:pPr>
        <w:pStyle w:val="Heading1"/>
      </w:pPr>
      <w:r>
        <w:t>4. What to Track (metrics)</w:t>
      </w:r>
    </w:p>
    <w:p>
      <w:pPr>
        <w:pStyle w:val="ListBullet"/>
        <w:spacing w:after="40"/>
      </w:pPr>
      <w:r>
        <w:t>% of course video minutes captioned, by tier</w:t>
      </w:r>
    </w:p>
    <w:p>
      <w:pPr>
        <w:pStyle w:val="ListBullet"/>
        <w:spacing w:after="40"/>
      </w:pPr>
      <w:r>
        <w:t>Vendor turnaround vs SLA</w:t>
      </w:r>
    </w:p>
    <w:p>
      <w:pPr>
        <w:pStyle w:val="ListBullet"/>
        <w:spacing w:after="40"/>
      </w:pPr>
      <w:r>
        <w:t>QA correction rate on vendor/ASR output</w:t>
      </w:r>
    </w:p>
    <w:p>
      <w:pPr>
        <w:pStyle w:val="ListBullet"/>
        <w:spacing w:after="40"/>
      </w:pPr>
      <w:r>
        <w:t>Accommodation lead time vs the 4-week standard</w:t>
      </w:r>
    </w:p>
    <w:p>
      <w:pPr>
        <w:pStyle w:val="ListBullet"/>
        <w:spacing w:after="40"/>
      </w:pPr>
      <w:r>
        <w:t>% of new video entering via Canvas Studio vs external links (should trend up)</w:t>
      </w:r>
    </w:p>
    <w:p>
      <w:pPr>
        <w:spacing w:after="60"/>
      </w:pPr>
      <w:r>
        <w:rPr>
          <w:b/>
          <w:i w:val="0"/>
          <w:sz w:val="20"/>
        </w:rPr>
        <w:t>Per-course tracking template (copy rows as needed):</w:t>
      </w:r>
    </w:p>
    <w:tbl>
      <w:tblPr>
        <w:tblStyle w:val="TableGrid"/>
        <w:tblW w:type="auto" w:w="0"/>
        <w:jc w:val="left"/>
        <w:tblLayout w:type="fixed"/>
        <w:tblLook w:firstColumn="1" w:firstRow="1" w:lastColumn="0" w:lastRow="0" w:noHBand="0" w:noVBand="1" w:val="04A0"/>
      </w:tblPr>
      <w:tblGrid>
        <w:gridCol w:w="1728"/>
        <w:gridCol w:w="1728"/>
        <w:gridCol w:w="1728"/>
        <w:gridCol w:w="1728"/>
        <w:gridCol w:w="1728"/>
      </w:tblGrid>
      <w:tr>
        <w:trPr>
          <w:tblHeader w:val="true"/>
        </w:trPr>
        <w:tc>
          <w:tcPr>
            <w:tcW w:type="dxa" w:w="2592"/>
            <w:shd w:val="clear" w:color="auto" w:fill="1F3864"/>
          </w:tcPr>
          <w:p>
            <w:r>
              <w:rPr>
                <w:b/>
                <w:color w:val="FFFFFF"/>
              </w:rPr>
              <w:t>Course / section</w:t>
            </w:r>
          </w:p>
        </w:tc>
        <w:tc>
          <w:tcPr>
            <w:tcW w:type="dxa" w:w="1584"/>
            <w:shd w:val="clear" w:color="auto" w:fill="1F3864"/>
          </w:tcPr>
          <w:p>
            <w:r>
              <w:rPr>
                <w:b/>
                <w:color w:val="FFFFFF"/>
              </w:rPr>
              <w:t>Video minutes</w:t>
            </w:r>
          </w:p>
        </w:tc>
        <w:tc>
          <w:tcPr>
            <w:tcW w:type="dxa" w:w="1440"/>
            <w:shd w:val="clear" w:color="auto" w:fill="1F3864"/>
          </w:tcPr>
          <w:p>
            <w:r>
              <w:rPr>
                <w:b/>
                <w:color w:val="FFFFFF"/>
              </w:rPr>
              <w:t>Captioned %</w:t>
            </w:r>
          </w:p>
        </w:tc>
        <w:tc>
          <w:tcPr>
            <w:tcW w:type="dxa" w:w="1008"/>
            <w:shd w:val="clear" w:color="auto" w:fill="1F3864"/>
          </w:tcPr>
          <w:p>
            <w:r>
              <w:rPr>
                <w:b/>
                <w:color w:val="FFFFFF"/>
              </w:rPr>
              <w:t>Tier</w:t>
            </w:r>
          </w:p>
        </w:tc>
        <w:tc>
          <w:tcPr>
            <w:tcW w:type="dxa" w:w="2736"/>
            <w:shd w:val="clear" w:color="auto" w:fill="1F3864"/>
          </w:tcPr>
          <w:p>
            <w:r>
              <w:rPr>
                <w:b/>
                <w:color w:val="FFFFFF"/>
              </w:rPr>
              <w:t>Status / notes</w:t>
            </w:r>
          </w:p>
        </w:tc>
      </w:tr>
      <w:tr>
        <w:tc>
          <w:tcPr>
            <w:tcW w:type="dxa" w:w="2592"/>
            <w:shd w:val="clear" w:color="auto" w:fill="F2F2F2"/>
          </w:tcPr>
          <w:p>
            <w:r/>
          </w:p>
        </w:tc>
        <w:tc>
          <w:tcPr>
            <w:tcW w:type="dxa" w:w="1584"/>
            <w:shd w:val="clear" w:color="auto" w:fill="F2F2F2"/>
          </w:tcPr>
          <w:p>
            <w:r/>
          </w:p>
        </w:tc>
        <w:tc>
          <w:tcPr>
            <w:tcW w:type="dxa" w:w="1440"/>
            <w:shd w:val="clear" w:color="auto" w:fill="F2F2F2"/>
          </w:tcPr>
          <w:p>
            <w:r/>
          </w:p>
        </w:tc>
        <w:tc>
          <w:tcPr>
            <w:tcW w:type="dxa" w:w="1008"/>
            <w:shd w:val="clear" w:color="auto" w:fill="F2F2F2"/>
          </w:tcPr>
          <w:p>
            <w:r/>
          </w:p>
        </w:tc>
        <w:tc>
          <w:tcPr>
            <w:tcW w:type="dxa" w:w="2736"/>
            <w:shd w:val="clear" w:color="auto" w:fill="F2F2F2"/>
          </w:tcPr>
          <w:p>
            <w:r/>
          </w:p>
        </w:tc>
      </w:tr>
      <w:tr>
        <w:tc>
          <w:tcPr>
            <w:tcW w:type="dxa" w:w="2592"/>
            <w:shd w:val="clear" w:color="auto" w:fill="F2F2F2"/>
          </w:tcPr>
          <w:p>
            <w:r/>
          </w:p>
        </w:tc>
        <w:tc>
          <w:tcPr>
            <w:tcW w:type="dxa" w:w="1584"/>
            <w:shd w:val="clear" w:color="auto" w:fill="F2F2F2"/>
          </w:tcPr>
          <w:p>
            <w:r/>
          </w:p>
        </w:tc>
        <w:tc>
          <w:tcPr>
            <w:tcW w:type="dxa" w:w="1440"/>
            <w:shd w:val="clear" w:color="auto" w:fill="F2F2F2"/>
          </w:tcPr>
          <w:p>
            <w:r/>
          </w:p>
        </w:tc>
        <w:tc>
          <w:tcPr>
            <w:tcW w:type="dxa" w:w="1008"/>
            <w:shd w:val="clear" w:color="auto" w:fill="F2F2F2"/>
          </w:tcPr>
          <w:p>
            <w:r/>
          </w:p>
        </w:tc>
        <w:tc>
          <w:tcPr>
            <w:tcW w:type="dxa" w:w="2736"/>
            <w:shd w:val="clear" w:color="auto" w:fill="F2F2F2"/>
          </w:tcPr>
          <w:p>
            <w:r/>
          </w:p>
        </w:tc>
      </w:tr>
      <w:tr>
        <w:tc>
          <w:tcPr>
            <w:tcW w:type="dxa" w:w="2592"/>
            <w:shd w:val="clear" w:color="auto" w:fill="F2F2F2"/>
          </w:tcPr>
          <w:p>
            <w:r/>
          </w:p>
        </w:tc>
        <w:tc>
          <w:tcPr>
            <w:tcW w:type="dxa" w:w="1584"/>
            <w:shd w:val="clear" w:color="auto" w:fill="F2F2F2"/>
          </w:tcPr>
          <w:p>
            <w:r/>
          </w:p>
        </w:tc>
        <w:tc>
          <w:tcPr>
            <w:tcW w:type="dxa" w:w="1440"/>
            <w:shd w:val="clear" w:color="auto" w:fill="F2F2F2"/>
          </w:tcPr>
          <w:p>
            <w:r/>
          </w:p>
        </w:tc>
        <w:tc>
          <w:tcPr>
            <w:tcW w:type="dxa" w:w="1008"/>
            <w:shd w:val="clear" w:color="auto" w:fill="F2F2F2"/>
          </w:tcPr>
          <w:p>
            <w:r/>
          </w:p>
        </w:tc>
        <w:tc>
          <w:tcPr>
            <w:tcW w:type="dxa" w:w="2736"/>
            <w:shd w:val="clear" w:color="auto" w:fill="F2F2F2"/>
          </w:tcPr>
          <w:p>
            <w:r/>
          </w:p>
        </w:tc>
      </w:tr>
    </w:tbl>
    <w:p>
      <w:pPr>
        <w:spacing w:after="80"/>
      </w:pPr>
    </w:p>
    <w:p>
      <w:pPr>
        <w:pStyle w:val="Heading1"/>
      </w:pPr>
      <w:r>
        <w:t>5. Open Decisions (captioning-specific)</w:t>
      </w:r>
    </w:p>
    <w:p>
      <w:pPr>
        <w:spacing w:after="60"/>
      </w:pPr>
      <w:r>
        <w:rPr>
          <w:sz w:val="24"/>
        </w:rPr>
        <w:t xml:space="preserve">☐  </w:t>
      </w:r>
      <w:r>
        <w:t>Ratify the tier triggers with DPRC (what counts as a captioning accommodation → High tier).</w:t>
      </w:r>
    </w:p>
    <w:p>
      <w:pPr>
        <w:spacing w:after="60"/>
      </w:pPr>
      <w:r>
        <w:rPr>
          <w:sz w:val="24"/>
        </w:rPr>
        <w:t xml:space="preserve">☐  </w:t>
      </w:r>
      <w:r>
        <w:t>Select the captioning vendor; set turnaround + accuracy SLA and the no-AI-training clause.</w:t>
      </w:r>
    </w:p>
    <w:p>
      <w:pPr>
        <w:spacing w:after="60"/>
      </w:pPr>
      <w:r>
        <w:rPr>
          <w:sz w:val="24"/>
        </w:rPr>
        <w:t xml:space="preserve">☐  </w:t>
      </w:r>
      <w:r>
        <w:t>Canvas Studio upload policy — require faculty to upload video to Studio?</w:t>
      </w:r>
    </w:p>
    <w:p>
      <w:pPr>
        <w:spacing w:after="60"/>
      </w:pPr>
      <w:r>
        <w:rPr>
          <w:sz w:val="24"/>
        </w:rPr>
        <w:t xml:space="preserve">☐  </w:t>
      </w:r>
      <w:r>
        <w:t>External / YouTube video — handling pending the legal opinion (kick-off open item).</w:t>
      </w:r>
    </w:p>
    <w:p>
      <w:pPr>
        <w:spacing w:after="60"/>
      </w:pPr>
      <w:r>
        <w:rPr>
          <w:sz w:val="24"/>
        </w:rPr>
        <w:t xml:space="preserve">☐  </w:t>
      </w:r>
      <w:r>
        <w:t>Who performs caption QA (students) and how they’re trained/certified.</w:t>
      </w:r>
    </w:p>
    <w:p>
      <w:pPr>
        <w:pStyle w:val="Heading2"/>
      </w:pPr>
      <w:r>
        <w:t>Related documents</w:t>
      </w:r>
    </w:p>
    <w:p>
      <w:pPr>
        <w:pStyle w:val="ListBullet"/>
        <w:spacing w:after="40"/>
      </w:pPr>
      <w:r>
        <w:t>Phase 3 plan: plans/phase-3-video-captioning.md</w:t>
      </w:r>
    </w:p>
    <w:p>
      <w:pPr>
        <w:pStyle w:val="ListBullet"/>
        <w:spacing w:after="40"/>
      </w:pPr>
      <w:r>
        <w:t>Background research §6 (captioning): background-research.md</w:t>
      </w:r>
    </w:p>
    <w:p>
      <w:pPr>
        <w:pStyle w:val="ListBullet"/>
        <w:spacing w:after="40"/>
      </w:pPr>
      <w:r>
        <w:t>DPRC prioritization (Phase 4): plans/phase-4-dprc-prioritization.md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Captioning Tracker &amp; Workflow — SFSU Canvas Remediation</dc:title>
  <dc:subject/>
  <dc:creator>SFSU Academic Technology</dc:creator>
  <cp:keywords/>
  <dc:description>generated by python-docx</dc:description>
  <cp:lastModifiedBy/>
  <cp:revision>1</cp:revision>
  <dcterms:created xsi:type="dcterms:W3CDTF">2013-12-23T23:15:00Z</dcterms:created>
  <dcterms:modified xsi:type="dcterms:W3CDTF">2013-12-23T23:15:00Z</dcterms:modified>
  <cp:category>SFSU Canvas Remediation Program</cp:category>
</cp:coreProperties>
</file>