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46288576"/>
        <w:docPartObj>
          <w:docPartGallery w:val="Cover Pages"/>
          <w:docPartUnique/>
        </w:docPartObj>
      </w:sdtPr>
      <w:sdtContent>
        <w:p w14:paraId="12072E46" w14:textId="4E6EA063" w:rsidR="00CB087B" w:rsidRDefault="00CB087B"/>
        <w:p w14:paraId="770A8FF3" w14:textId="2BABB796" w:rsidR="00CB087B" w:rsidRDefault="00CB087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F62837" wp14:editId="4071870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66CFBA" w14:textId="6E467872" w:rsidR="00CB087B" w:rsidRPr="00A102F5" w:rsidRDefault="00CB087B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52CE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Findings TwinCat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3BEAC3" w14:textId="75F2CD3D" w:rsidR="00CB087B" w:rsidRPr="00A102F5" w:rsidRDefault="00A102F5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102F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Robot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A102F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arm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w14:paraId="31AA0CAA" w14:textId="1EC04BE3" w:rsidR="00CB087B" w:rsidRPr="00A102F5" w:rsidRDefault="00CB087B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nl-NL"/>
                                    </w:rPr>
                                    <w:alias w:val="Auteu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9088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jorn kersten, </w:t>
                                    </w:r>
                                    <w:r w:rsidR="00C6266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dimitar dy</w:t>
                                    </w:r>
                                    <w:r w:rsidR="00A54708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ulgerov</w:t>
                                    </w:r>
                                    <w:r w:rsidR="005022EF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, rik</w:t>
                                    </w:r>
                                    <w:r w:rsidR="002323F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 xml:space="preserve"> heesewijk</w:t>
                                    </w:r>
                                    <w:r w:rsidR="003117B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, Luuk aarts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F6283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8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D66CFBA" w14:textId="6E467872" w:rsidR="00CB087B" w:rsidRPr="00A102F5" w:rsidRDefault="00CB087B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52CE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Findings TwinCat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3BEAC3" w14:textId="75F2CD3D" w:rsidR="00CB087B" w:rsidRPr="00A102F5" w:rsidRDefault="00A102F5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102F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Robot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102F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arm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p w14:paraId="31AA0CAA" w14:textId="1EC04BE3" w:rsidR="00CB087B" w:rsidRPr="00A102F5" w:rsidRDefault="00CB087B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nl-NL"/>
                              </w:rPr>
                              <w:alias w:val="Auteu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9088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jorn kersten, </w:t>
                              </w:r>
                              <w:r w:rsidR="00C6266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dimitar dy</w:t>
                              </w:r>
                              <w:r w:rsidR="00A54708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ulgerov</w:t>
                              </w:r>
                              <w:r w:rsidR="005022EF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, rik</w:t>
                              </w:r>
                              <w:r w:rsidR="002323F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 xml:space="preserve"> heesewijk</w:t>
                              </w:r>
                              <w:r w:rsidR="003117B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nl-NL"/>
                                </w:rPr>
                                <w:t>, Luuk aarts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5597C4" wp14:editId="50919B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628333" cy="1044000"/>
                    <wp:effectExtent l="0" t="0" r="0" b="0"/>
                    <wp:wrapNone/>
                    <wp:docPr id="132" name="Rechthoek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28333" cy="1044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06FD31" w14:textId="3AFFDA0C" w:rsidR="00CB087B" w:rsidRDefault="00752D7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726D9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02</w:t>
                                    </w:r>
                                    <w:r w:rsidR="00C71FB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5597C4" id="Rechthoek 19" o:spid="_x0000_s1027" style="position:absolute;margin-left:-1.7pt;margin-top:0;width:49.5pt;height:82.2pt;z-index:251659264;visibility:visible;mso-wrap-style:square;mso-width-percent:0;mso-height-percent:0;mso-top-percent:23;mso-wrap-distance-left:9pt;mso-wrap-distance-top:0;mso-wrap-distance-right:9pt;mso-wrap-distance-bottom:0;mso-position-horizontal:right;mso-position-horizontal-relative:margin;mso-position-vertical-relative:page;mso-width-percent:0;mso-height-percent:0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LFcgwIAAGcFAAAOAAAAZHJzL2Uyb0RvYy54bWysVN9v2yAQfp+0/wHxvtpJf6yy6lRRqk6T&#13;&#10;orZqO/WZYIitYY4BiZ399TvAdqO22sO0FwTc3XcfH3d3dd23iuyFdQ3oks5OckqE5lA1elvSH8+3&#13;&#10;Xy4pcZ7piinQoqQH4ej14vOnq84UYg41qEpYgiDaFZ0pae29KbLM8Vq0zJ2AERqNEmzLPB7tNqss&#13;&#10;6xC9Vdk8zy+yDmxlLHDhHN7eJCNdRHwpBff3UjrhiSopcvNxtXHdhDVbXLFia5mpGz7QYP/AomWN&#13;&#10;xqQT1A3zjOxs8w6qbbgFB9KfcGgzkLLhIr4BXzPL37zmqWZGxLegOM5MMrn/B8vv9k/mwQbqzqyB&#13;&#10;/3REw6pmeiuWzqB8+KlBpKwzrpicw8ENYb20bQjHt5A+CnuYhBW9JxwvL+aXp6enlHA0zfKzszyP&#13;&#10;ymesGKONdf6bgJaETUktZo56sv3a+ZCfFaNLSKZ0WDXcNkola7iJJBOvyNAflEjej0KSpkIm84ga&#13;&#10;y0uslCV7hoXBOBfaz5KpZpVI1+dIc+Q5RUQqSiNgQJaYf8IeAELpvsdOLAf/ECpidU7B+d+IpeAp&#13;&#10;ImYG7afgttFgPwJQ+Kohc/IfRUrSBJV8v+lRm+Gfw80GqsODJRZStzjDbxv8lTVz/oFZbA9sJGx5&#13;&#10;f4+LVNCVFIYdJTXY3x/dB3+sWrRS0mG7ldT92jErKFHfNdbz2fnXeejP44M9PmyOD3rXrgA/bobD&#13;&#10;xfC4xWDr1biVFtoXnAzLkBVNTHPMXdLNuF35NARwsnCxXEYn7EjD/Fo/GR6gg8qh5p77F2bNUJge&#13;&#10;S/oOxsZkxZv6TL4hUsNy50E2sXhfVR30x26OhTRMnjAujs/R63U+Lv4AAAD//wMAUEsDBBQABgAI&#13;&#10;AAAAIQBTv0SR3AAAAAkBAAAPAAAAZHJzL2Rvd25yZXYueG1sTE/BSsNAFLwL/sPyBG92o5TQptkU&#13;&#10;UYSeBNOKPb5mt5vQ3bchu02jX+/Ti14Ghpk3b6ZcT96J0QyxC6TgfpaBMNQE3ZFVsNu+3C1AxISk&#13;&#10;0QUyCj5NhHV1fVViocOF3sxYJys4hGKBCtqU+kLK2LTGY5yF3hBrxzB4TEwHK/WAFw73Tj5kWS49&#13;&#10;dsQfWuzNU2uaU332Cj6y19r696891osdbe24cflmr9TtzfS8YnhcgUhmSn8X8LOB+0PFxQ7hTDoK&#13;&#10;p4DXpF9kbblkdmBPPp+DrEr5f0H1DQAA//8DAFBLAQItABQABgAIAAAAIQC2gziS/gAAAOEBAAAT&#13;&#10;AAAAAAAAAAAAAAAAAAAAAABbQ29udGVudF9UeXBlc10ueG1sUEsBAi0AFAAGAAgAAAAhADj9If/W&#13;&#10;AAAAlAEAAAsAAAAAAAAAAAAAAAAALwEAAF9yZWxzLy5yZWxzUEsBAi0AFAAGAAgAAAAhAFLMsVyD&#13;&#10;AgAAZwUAAA4AAAAAAAAAAAAAAAAALgIAAGRycy9lMm9Eb2MueG1sUEsBAi0AFAAGAAgAAAAhAFO/&#13;&#10;RJHcAAAACQEAAA8AAAAAAAAAAAAAAAAA3QQAAGRycy9kb3ducmV2LnhtbFBLBQYAAAAABAAEAPMA&#13;&#10;AADmBQ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06FD31" w14:textId="3AFFDA0C" w:rsidR="00CB087B" w:rsidRDefault="00752D7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726D9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02</w:t>
                              </w:r>
                              <w:r w:rsidR="00C71FB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9F0F77" w14:textId="00A990B8" w:rsidR="00C86EEA" w:rsidRDefault="003A7BE4" w:rsidP="003A7BE4">
      <w:pPr>
        <w:pStyle w:val="Kop1"/>
        <w:rPr>
          <w:lang w:val="en-US"/>
        </w:rPr>
      </w:pPr>
      <w:r>
        <w:rPr>
          <w:lang w:val="en-US"/>
        </w:rPr>
        <w:lastRenderedPageBreak/>
        <w:t>The setup of TwinC</w:t>
      </w:r>
      <w:r w:rsidR="005515F2">
        <w:rPr>
          <w:lang w:val="en-US"/>
        </w:rPr>
        <w:t>AT</w:t>
      </w:r>
    </w:p>
    <w:p w14:paraId="2FDDBF4E" w14:textId="666A4218" w:rsidR="00300F93" w:rsidRDefault="00D516DE" w:rsidP="00D516DE">
      <w:pPr>
        <w:rPr>
          <w:lang w:val="en-US"/>
        </w:rPr>
      </w:pPr>
      <w:r>
        <w:rPr>
          <w:lang w:val="en-US"/>
        </w:rPr>
        <w:t xml:space="preserve">TwinCat </w:t>
      </w:r>
      <w:r w:rsidR="00B133AD">
        <w:rPr>
          <w:lang w:val="en-US"/>
        </w:rPr>
        <w:t xml:space="preserve">is an application that will host and form the backbone and software of </w:t>
      </w:r>
      <w:r w:rsidR="008876F2">
        <w:rPr>
          <w:lang w:val="en-US"/>
        </w:rPr>
        <w:t xml:space="preserve">a PLC. In this case we will use this software because the PLC we are using </w:t>
      </w:r>
      <w:r w:rsidR="00874263">
        <w:rPr>
          <w:lang w:val="en-US"/>
        </w:rPr>
        <w:t xml:space="preserve">is made by </w:t>
      </w:r>
      <w:r w:rsidR="00636BDA">
        <w:rPr>
          <w:lang w:val="en-US"/>
        </w:rPr>
        <w:t>Beckhoff, the</w:t>
      </w:r>
      <w:r w:rsidR="00874263">
        <w:rPr>
          <w:lang w:val="en-US"/>
        </w:rPr>
        <w:t xml:space="preserve"> same company that developed TwinCat.</w:t>
      </w:r>
      <w:r w:rsidR="00A24FBA">
        <w:rPr>
          <w:lang w:val="en-US"/>
        </w:rPr>
        <w:t xml:space="preserve"> And the application does fit within our needs and requirements</w:t>
      </w:r>
      <w:r w:rsidR="00874263">
        <w:rPr>
          <w:lang w:val="en-US"/>
        </w:rPr>
        <w:t>, o</w:t>
      </w:r>
      <w:r w:rsidR="0003696F">
        <w:rPr>
          <w:lang w:val="en-US"/>
        </w:rPr>
        <w:t xml:space="preserve">ne of </w:t>
      </w:r>
      <w:r w:rsidR="00874263">
        <w:rPr>
          <w:lang w:val="en-US"/>
        </w:rPr>
        <w:t>which</w:t>
      </w:r>
      <w:r w:rsidR="0003696F">
        <w:rPr>
          <w:lang w:val="en-US"/>
        </w:rPr>
        <w:t xml:space="preserve"> is the ability to write the code in Structured text, TwinCat is </w:t>
      </w:r>
      <w:r w:rsidR="003B34BE">
        <w:rPr>
          <w:lang w:val="en-US"/>
        </w:rPr>
        <w:t>perfect for the structured text language.</w:t>
      </w:r>
    </w:p>
    <w:p w14:paraId="5FB235E5" w14:textId="05FE5252" w:rsidR="00300F93" w:rsidRDefault="004917C9" w:rsidP="00D516D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8BF8D" wp14:editId="67057398">
                <wp:simplePos x="0" y="0"/>
                <wp:positionH relativeFrom="column">
                  <wp:posOffset>2881630</wp:posOffset>
                </wp:positionH>
                <wp:positionV relativeFrom="paragraph">
                  <wp:posOffset>1696720</wp:posOffset>
                </wp:positionV>
                <wp:extent cx="3333750" cy="635"/>
                <wp:effectExtent l="0" t="0" r="6350" b="12065"/>
                <wp:wrapSquare wrapText="bothSides"/>
                <wp:docPr id="1349853640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4B497D" w14:textId="5FDCE566" w:rsidR="004917C9" w:rsidRPr="00AA4EF4" w:rsidRDefault="004917C9" w:rsidP="004917C9">
                            <w:pPr>
                              <w:pStyle w:val="Bijschrift"/>
                              <w:rPr>
                                <w:noProof/>
                                <w:lang w:val="en-US"/>
                              </w:rPr>
                            </w:pPr>
                            <w:r w:rsidRPr="004917C9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4917C9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4917C9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917C9">
                              <w:rPr>
                                <w:lang w:val="en-US"/>
                              </w:rPr>
                              <w:t>, source: https://www.beckhoff.com/en-en/products/automation/twincat/texxxx-twincat-3-engineering/te1000.html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8BF8D" id="Tekstvak 1" o:spid="_x0000_s1028" type="#_x0000_t202" style="position:absolute;margin-left:226.9pt;margin-top:133.6pt;width:262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J20GQIAAD8EAAAOAAAAZHJzL2Uyb0RvYy54bWysU8Fu2zAMvQ/YPwi6L05StBuMOEWWIsOA&#13;&#10;oC2QDj0rshwLkEWNUmJnXz9KtpOt22mYDzIlUqT43uPivmsMOyn0GmzBZ5MpZ8pKKLU9FPzby+bD&#13;&#10;J858ELYUBqwq+Fl5fr98/27RulzNoQZTKmSUxPq8dQWvQ3B5lnlZq0b4CThlyVkBNiLQFg9ZiaKl&#13;&#10;7I3J5tPpXdYClg5BKu/p9KF38mXKX1VKhqeq8iowU3B6W0grpnUf12y5EPkBhau1HJ4h/uEVjdCW&#13;&#10;il5SPYgg2BH1H6kaLRE8VGEiocmgqrRUqQfqZjZ9082uFk6lXggc7y4w+f+XVj6edu4ZWeg+Q0cE&#13;&#10;RkBa53NPh7GfrsIm/umljPwE4fkCm+oCk3R4Q9/HW3JJ8t3d3MYc2fWqQx++KGhYNAqOxEmCSpy2&#13;&#10;PvShY0is5MHocqONiZvoWBtkJ0H8tbUOakj+W5SxMdZCvNUnjCfZtY9ohW7fMV0WfD72uIfyTK0j&#13;&#10;9KrwTm401dsKH54FkgyoJZJ2eKKlMtAWHAaLsxrwx9/OYzyxQ17OWpJVwf33o0DFmflqibeowdHA&#13;&#10;0diPhj02a6BOZzQ0TiaTLmAwo1khNK+k+FWsQi5hJdUqeBjNdejFTRMj1WqVgkhpToSt3TkZU4+4&#13;&#10;vnSvAt3ASiAyH2EUnMjfkNPHJnrc6hgI6cRcxLVHcYCbVJq4HyYqjsGv+xR1nfvlTwAAAP//AwBQ&#13;&#10;SwMEFAAGAAgAAAAhAIp7vVrmAAAAEAEAAA8AAABkcnMvZG93bnJldi54bWxMj0FPwzAMhe9I/IfI&#13;&#10;SFwQS2lLN7qm0zTgMC4TZRduWeM1hSapmnQr/x7DBS6W/Gw/f69YTaZjJxx866yAu1kEDG3tVGsb&#13;&#10;Afu359sFMB+kVbJzFgV8oYdVeXlRyFy5s33FUxUaRibW51KADqHPOfe1RiP9zPVoaXZ0g5GB2qHh&#13;&#10;apBnMjcdj6Mo40a2lj5o2eNGY/1ZjUbALn3f6Zvx+PSyTpNhux832UdTCXF9NT0uqayXwAJO4e8C&#13;&#10;fjIQP5QEdnCjVZ51AtL7hPiDgDibx8Bo42G+IOXwqyTAy4L/D1J+AwAA//8DAFBLAQItABQABgAI&#13;&#10;AAAAIQC2gziS/gAAAOEBAAATAAAAAAAAAAAAAAAAAAAAAABbQ29udGVudF9UeXBlc10ueG1sUEsB&#13;&#10;Ai0AFAAGAAgAAAAhADj9If/WAAAAlAEAAAsAAAAAAAAAAAAAAAAALwEAAF9yZWxzLy5yZWxzUEsB&#13;&#10;Ai0AFAAGAAgAAAAhAIusnbQZAgAAPwQAAA4AAAAAAAAAAAAAAAAALgIAAGRycy9lMm9Eb2MueG1s&#13;&#10;UEsBAi0AFAAGAAgAAAAhAIp7vVrmAAAAEAEAAA8AAAAAAAAAAAAAAAAAcwQAAGRycy9kb3ducmV2&#13;&#10;LnhtbFBLBQYAAAAABAAEAPMAAACGBQAAAAA=&#13;&#10;" stroked="f">
                <v:textbox style="mso-fit-shape-to-text:t" inset="0,0,0,0">
                  <w:txbxContent>
                    <w:p w14:paraId="7B4B497D" w14:textId="5FDCE566" w:rsidR="004917C9" w:rsidRPr="00AA4EF4" w:rsidRDefault="004917C9" w:rsidP="004917C9">
                      <w:pPr>
                        <w:pStyle w:val="Bijschrift"/>
                        <w:rPr>
                          <w:noProof/>
                          <w:lang w:val="en-US"/>
                        </w:rPr>
                      </w:pPr>
                      <w:r w:rsidRPr="004917C9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4917C9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4917C9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4917C9">
                        <w:rPr>
                          <w:lang w:val="en-US"/>
                        </w:rPr>
                        <w:t>, source: https://www.beckhoff.com/en-en/products/automation/twincat/texxxx-twincat-3-engineering/te1000.html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84CE59C" wp14:editId="0B07FA5E">
            <wp:simplePos x="0" y="0"/>
            <wp:positionH relativeFrom="column">
              <wp:posOffset>2881630</wp:posOffset>
            </wp:positionH>
            <wp:positionV relativeFrom="paragraph">
              <wp:posOffset>36830</wp:posOffset>
            </wp:positionV>
            <wp:extent cx="3333750" cy="1602740"/>
            <wp:effectExtent l="0" t="0" r="6350" b="0"/>
            <wp:wrapSquare wrapText="bothSides"/>
            <wp:docPr id="35062201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22016" name="Afbeelding 1" descr="Afbeelding met teks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58BEFA" w14:textId="0557982E" w:rsidR="00D516DE" w:rsidRDefault="00742177" w:rsidP="00D516DE">
      <w:pPr>
        <w:rPr>
          <w:lang w:val="en-US"/>
        </w:rPr>
      </w:pPr>
      <w:r>
        <w:rPr>
          <w:lang w:val="en-US"/>
        </w:rPr>
        <w:t>The version of TwinCat we will use is the,</w:t>
      </w:r>
      <w:r w:rsidR="0093627E">
        <w:rPr>
          <w:lang w:val="en-US"/>
        </w:rPr>
        <w:t xml:space="preserve"> TE1000 </w:t>
      </w:r>
      <w:r w:rsidR="00284CCA">
        <w:rPr>
          <w:lang w:val="en-US"/>
        </w:rPr>
        <w:t>TwinCAT 3 Engineering</w:t>
      </w:r>
      <w:r w:rsidR="00636BDA">
        <w:rPr>
          <w:lang w:val="en-US"/>
        </w:rPr>
        <w:t xml:space="preserve">, it </w:t>
      </w:r>
      <w:r w:rsidR="006A7EE6">
        <w:rPr>
          <w:lang w:val="en-US"/>
        </w:rPr>
        <w:t>will integrate into the Visual Studio software on device</w:t>
      </w:r>
      <w:r w:rsidR="003D1F94">
        <w:rPr>
          <w:lang w:val="en-US"/>
        </w:rPr>
        <w:t xml:space="preserve"> and download </w:t>
      </w:r>
      <w:r w:rsidR="003F3E1A">
        <w:rPr>
          <w:lang w:val="en-US"/>
        </w:rPr>
        <w:t>their own</w:t>
      </w:r>
      <w:r w:rsidR="003D1F94">
        <w:rPr>
          <w:lang w:val="en-US"/>
        </w:rPr>
        <w:t xml:space="preserve"> platform to use </w:t>
      </w:r>
      <w:r w:rsidR="003F3E1A">
        <w:rPr>
          <w:lang w:val="en-US"/>
        </w:rPr>
        <w:t>if preferred.</w:t>
      </w:r>
    </w:p>
    <w:p w14:paraId="4096D586" w14:textId="77777777" w:rsidR="00D144D3" w:rsidRDefault="00D144D3" w:rsidP="00D516DE">
      <w:pPr>
        <w:rPr>
          <w:lang w:val="en-US"/>
        </w:rPr>
      </w:pPr>
    </w:p>
    <w:p w14:paraId="546486A5" w14:textId="685E8137" w:rsidR="00D144D3" w:rsidRDefault="00682A33" w:rsidP="00D516DE">
      <w:pPr>
        <w:rPr>
          <w:lang w:val="en-US"/>
        </w:rPr>
      </w:pPr>
      <w:r>
        <w:rPr>
          <w:lang w:val="en-US"/>
        </w:rPr>
        <w:t>If downloaded properly</w:t>
      </w:r>
      <w:r w:rsidR="00157AB6">
        <w:rPr>
          <w:lang w:val="en-US"/>
        </w:rPr>
        <w:t>, the software should now be available to use</w:t>
      </w:r>
      <w:r w:rsidR="000B0525">
        <w:rPr>
          <w:lang w:val="en-US"/>
        </w:rPr>
        <w:t xml:space="preserve"> in combination with the Beckhoff PLC.</w:t>
      </w:r>
    </w:p>
    <w:p w14:paraId="0AC3E18D" w14:textId="77777777" w:rsidR="000B0525" w:rsidRDefault="000B0525" w:rsidP="00D516DE">
      <w:pPr>
        <w:rPr>
          <w:lang w:val="en-US"/>
        </w:rPr>
      </w:pPr>
    </w:p>
    <w:p w14:paraId="69F5272A" w14:textId="067C72B0" w:rsidR="000B0525" w:rsidRDefault="007D1089" w:rsidP="000B0525">
      <w:pPr>
        <w:pStyle w:val="Kop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6A29FA8" wp14:editId="39AD2F5C">
            <wp:simplePos x="0" y="0"/>
            <wp:positionH relativeFrom="column">
              <wp:posOffset>2995930</wp:posOffset>
            </wp:positionH>
            <wp:positionV relativeFrom="paragraph">
              <wp:posOffset>304800</wp:posOffset>
            </wp:positionV>
            <wp:extent cx="3038475" cy="2850515"/>
            <wp:effectExtent l="0" t="0" r="0" b="0"/>
            <wp:wrapSquare wrapText="bothSides"/>
            <wp:docPr id="80124657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6572" name="Afbeelding 2" descr="Afbeelding met tekst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447">
        <w:rPr>
          <w:lang w:val="en-US"/>
        </w:rPr>
        <w:t>Connecting the PLC</w:t>
      </w:r>
    </w:p>
    <w:p w14:paraId="22F39CBF" w14:textId="205C47FC" w:rsidR="00506447" w:rsidRDefault="007D1089" w:rsidP="00506447">
      <w:pPr>
        <w:rPr>
          <w:lang w:val="en-US"/>
        </w:rPr>
      </w:pPr>
      <w:r>
        <w:rPr>
          <w:lang w:val="en-US"/>
        </w:rPr>
        <w:t>If the PLC is already known on the device</w:t>
      </w:r>
      <w:r w:rsidR="009D09E3">
        <w:rPr>
          <w:lang w:val="en-US"/>
        </w:rPr>
        <w:t xml:space="preserve">, it will be showed under the &lt;LOCAL&gt; </w:t>
      </w:r>
      <w:r w:rsidR="0096233C">
        <w:rPr>
          <w:lang w:val="en-US"/>
        </w:rPr>
        <w:t>device. It can then be selected as the target and the connection is complete.</w:t>
      </w:r>
    </w:p>
    <w:p w14:paraId="7FC2C59E" w14:textId="48347E8C" w:rsidR="0096233C" w:rsidRDefault="0096233C" w:rsidP="00506447">
      <w:pPr>
        <w:rPr>
          <w:lang w:val="en-US"/>
        </w:rPr>
      </w:pPr>
      <w:r>
        <w:rPr>
          <w:lang w:val="en-US"/>
        </w:rPr>
        <w:t xml:space="preserve">If the PLC is new on the device, the Search via Ethernet </w:t>
      </w:r>
      <w:r w:rsidR="00E4182E">
        <w:rPr>
          <w:lang w:val="en-US"/>
        </w:rPr>
        <w:t>button can be used to search for the PLC.</w:t>
      </w:r>
      <w:r w:rsidR="004C620C">
        <w:rPr>
          <w:lang w:val="en-US"/>
        </w:rPr>
        <w:t xml:space="preserve"> After </w:t>
      </w:r>
      <w:r w:rsidR="00B82504">
        <w:rPr>
          <w:lang w:val="en-US"/>
        </w:rPr>
        <w:t>delectating</w:t>
      </w:r>
      <w:r w:rsidR="004C620C">
        <w:rPr>
          <w:lang w:val="en-US"/>
        </w:rPr>
        <w:t xml:space="preserve"> the new PLC within the search results</w:t>
      </w:r>
      <w:r w:rsidR="00262CAE">
        <w:rPr>
          <w:lang w:val="en-US"/>
        </w:rPr>
        <w:t xml:space="preserve"> the PLC can be selected as the target</w:t>
      </w:r>
      <w:r w:rsidR="004C620C">
        <w:rPr>
          <w:lang w:val="en-US"/>
        </w:rPr>
        <w:t xml:space="preserve">. The </w:t>
      </w:r>
      <w:r w:rsidR="00262CAE">
        <w:rPr>
          <w:lang w:val="en-US"/>
        </w:rPr>
        <w:t xml:space="preserve">PLC </w:t>
      </w:r>
      <w:r w:rsidR="00B82504">
        <w:rPr>
          <w:lang w:val="en-US"/>
        </w:rPr>
        <w:t xml:space="preserve">will now be known </w:t>
      </w:r>
      <w:r w:rsidR="00262CAE">
        <w:rPr>
          <w:lang w:val="en-US"/>
        </w:rPr>
        <w:t>on this device.</w:t>
      </w:r>
    </w:p>
    <w:p w14:paraId="5A0D02A2" w14:textId="4465C09E" w:rsidR="00E4182E" w:rsidRDefault="00E4182E" w:rsidP="00506447">
      <w:pPr>
        <w:rPr>
          <w:lang w:val="en-US"/>
        </w:rPr>
      </w:pPr>
    </w:p>
    <w:p w14:paraId="413BA088" w14:textId="1F95CF43" w:rsidR="00E4182E" w:rsidRDefault="00E4182E" w:rsidP="00506447">
      <w:pPr>
        <w:rPr>
          <w:lang w:val="en-US"/>
        </w:rPr>
      </w:pPr>
      <w:r>
        <w:rPr>
          <w:lang w:val="en-US"/>
        </w:rPr>
        <w:t xml:space="preserve">We connected with the </w:t>
      </w:r>
      <w:r w:rsidR="0094123E">
        <w:rPr>
          <w:lang w:val="en-US"/>
        </w:rPr>
        <w:t xml:space="preserve">PLC via Ethernet, other ways might be </w:t>
      </w:r>
      <w:r w:rsidR="004C620C">
        <w:rPr>
          <w:lang w:val="en-US"/>
        </w:rPr>
        <w:t>possible,</w:t>
      </w:r>
      <w:r w:rsidR="0094123E">
        <w:rPr>
          <w:lang w:val="en-US"/>
        </w:rPr>
        <w:t xml:space="preserve"> but this is the easiest within this application and with the PLC hardware.</w:t>
      </w:r>
    </w:p>
    <w:p w14:paraId="7E7FAF10" w14:textId="3890A468" w:rsidR="006929D4" w:rsidRDefault="006929D4" w:rsidP="00506447">
      <w:pPr>
        <w:rPr>
          <w:lang w:val="en-US"/>
        </w:rPr>
      </w:pPr>
    </w:p>
    <w:p w14:paraId="5D09A522" w14:textId="6C778A8A" w:rsidR="006929D4" w:rsidRDefault="006929D4" w:rsidP="00506447">
      <w:pPr>
        <w:rPr>
          <w:lang w:val="en-US"/>
        </w:rPr>
      </w:pPr>
      <w:r>
        <w:rPr>
          <w:lang w:val="en-US"/>
        </w:rPr>
        <w:t xml:space="preserve">We have been having some trouble with the connection, the PLC </w:t>
      </w:r>
      <w:r w:rsidR="00B84686">
        <w:rPr>
          <w:lang w:val="en-US"/>
        </w:rPr>
        <w:t xml:space="preserve">won’t show up with the search results and can’t be selected as target. The solution for this </w:t>
      </w:r>
      <w:r w:rsidR="005515F2">
        <w:rPr>
          <w:lang w:val="en-US"/>
        </w:rPr>
        <w:t xml:space="preserve">problem </w:t>
      </w:r>
      <w:r w:rsidR="00B84686">
        <w:rPr>
          <w:lang w:val="en-US"/>
        </w:rPr>
        <w:t>has not yet been found.</w:t>
      </w:r>
    </w:p>
    <w:p w14:paraId="71285359" w14:textId="2D5F6FDC" w:rsidR="005515F2" w:rsidRDefault="005515F2" w:rsidP="00506447">
      <w:pPr>
        <w:rPr>
          <w:lang w:val="en-US"/>
        </w:rPr>
      </w:pPr>
    </w:p>
    <w:p w14:paraId="66333047" w14:textId="41D35CE1" w:rsidR="005515F2" w:rsidRDefault="0052350D" w:rsidP="005515F2">
      <w:pPr>
        <w:pStyle w:val="Kop1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C98FD80" wp14:editId="28839C28">
            <wp:simplePos x="0" y="0"/>
            <wp:positionH relativeFrom="column">
              <wp:posOffset>4739005</wp:posOffset>
            </wp:positionH>
            <wp:positionV relativeFrom="paragraph">
              <wp:posOffset>43815</wp:posOffset>
            </wp:positionV>
            <wp:extent cx="1411215" cy="2343150"/>
            <wp:effectExtent l="0" t="0" r="0" b="0"/>
            <wp:wrapSquare wrapText="bothSides"/>
            <wp:docPr id="44656119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61199" name="Afbeelding 4465611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5F2">
        <w:rPr>
          <w:lang w:val="en-US"/>
        </w:rPr>
        <w:t>The TwinCAT basics</w:t>
      </w:r>
    </w:p>
    <w:p w14:paraId="15C1CE49" w14:textId="389786C9" w:rsidR="005515F2" w:rsidRDefault="00145656" w:rsidP="005515F2">
      <w:pPr>
        <w:rPr>
          <w:lang w:val="en-US"/>
        </w:rPr>
      </w:pPr>
      <w:r>
        <w:rPr>
          <w:lang w:val="en-US"/>
        </w:rPr>
        <w:t xml:space="preserve">A new project can be created </w:t>
      </w:r>
      <w:r w:rsidR="00177481">
        <w:rPr>
          <w:lang w:val="en-US"/>
        </w:rPr>
        <w:t xml:space="preserve">and will create a work environment for the </w:t>
      </w:r>
      <w:r w:rsidR="009F3CC5">
        <w:rPr>
          <w:lang w:val="en-US"/>
        </w:rPr>
        <w:t xml:space="preserve">connected PLC. </w:t>
      </w:r>
      <w:r w:rsidR="00025E73">
        <w:rPr>
          <w:lang w:val="en-US"/>
        </w:rPr>
        <w:t xml:space="preserve">The PLC can be </w:t>
      </w:r>
      <w:r w:rsidR="00A43C2C">
        <w:rPr>
          <w:lang w:val="en-US"/>
        </w:rPr>
        <w:t>equipped with external devices which it could use.</w:t>
      </w:r>
      <w:r w:rsidR="006E74F2">
        <w:rPr>
          <w:lang w:val="en-US"/>
        </w:rPr>
        <w:t xml:space="preserve"> Those devices will show up on the I/O tab and devices interface.</w:t>
      </w:r>
      <w:r w:rsidR="004A3535">
        <w:rPr>
          <w:lang w:val="en-US"/>
        </w:rPr>
        <w:t xml:space="preserve"> But to </w:t>
      </w:r>
      <w:r w:rsidR="00E56D56">
        <w:rPr>
          <w:lang w:val="en-US"/>
        </w:rPr>
        <w:t>start</w:t>
      </w:r>
      <w:r w:rsidR="004A3535">
        <w:rPr>
          <w:lang w:val="en-US"/>
        </w:rPr>
        <w:t xml:space="preserve"> programming the PLC, a PLC must be created in the work environment. Under the tab PLC a new PLC can </w:t>
      </w:r>
      <w:r w:rsidR="00E56D56">
        <w:rPr>
          <w:lang w:val="en-US"/>
        </w:rPr>
        <w:t>be created and named, (here Untitled10 Project).</w:t>
      </w:r>
    </w:p>
    <w:p w14:paraId="22438ECD" w14:textId="77777777" w:rsidR="00E56D56" w:rsidRDefault="00E56D56" w:rsidP="005515F2">
      <w:pPr>
        <w:rPr>
          <w:lang w:val="en-US"/>
        </w:rPr>
      </w:pPr>
    </w:p>
    <w:p w14:paraId="28A7ABB0" w14:textId="5E26F717" w:rsidR="00E56D56" w:rsidRDefault="00095C3A" w:rsidP="005515F2">
      <w:pPr>
        <w:rPr>
          <w:lang w:val="en-US"/>
        </w:rPr>
      </w:pPr>
      <w:r>
        <w:rPr>
          <w:lang w:val="en-US"/>
        </w:rPr>
        <w:t xml:space="preserve">Such project has pre determent structure for its software. </w:t>
      </w:r>
    </w:p>
    <w:p w14:paraId="6891427D" w14:textId="77777777" w:rsidR="00FD19EE" w:rsidRPr="00FD19EE" w:rsidRDefault="00FD19EE" w:rsidP="00FD19E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POU's (Program Organizational Unit) -- Program all functions, programs and all general code here.</w:t>
      </w:r>
    </w:p>
    <w:p w14:paraId="27B0B23E" w14:textId="77777777" w:rsidR="00FD19EE" w:rsidRPr="00FD19EE" w:rsidRDefault="00FD19EE" w:rsidP="00FD19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GVL's (Global Variable Library) -- set all variables in here.</w:t>
      </w:r>
    </w:p>
    <w:p w14:paraId="40B2BF87" w14:textId="77777777" w:rsidR="00FD19EE" w:rsidRPr="00FD19EE" w:rsidRDefault="00FD19EE" w:rsidP="00FD19EE">
      <w:pPr>
        <w:numPr>
          <w:ilvl w:val="0"/>
          <w:numId w:val="1"/>
        </w:numPr>
        <w:spacing w:before="60" w:after="100" w:afterAutospacing="1"/>
        <w:rPr>
          <w:rFonts w:eastAsia="Times New Roman" w:cstheme="minorHAnsi"/>
          <w:color w:val="1F2328"/>
          <w:kern w:val="0"/>
          <w:lang w:val="en-US" w:eastAsia="nl-NL"/>
          <w14:ligatures w14:val="none"/>
        </w:rPr>
      </w:pPr>
      <w:r w:rsidRPr="00FD19EE">
        <w:rPr>
          <w:rFonts w:eastAsia="Times New Roman" w:cstheme="minorHAnsi"/>
          <w:color w:val="1F2328"/>
          <w:kern w:val="0"/>
          <w:lang w:val="en-US" w:eastAsia="nl-NL"/>
          <w14:ligatures w14:val="none"/>
        </w:rPr>
        <w:t>DUT's (Data Unit Types) -- create all new structures and types here.</w:t>
      </w:r>
    </w:p>
    <w:p w14:paraId="291235CF" w14:textId="0A8278BB" w:rsidR="00FD19EE" w:rsidRPr="005515F2" w:rsidRDefault="00FD19EE" w:rsidP="005515F2">
      <w:pPr>
        <w:rPr>
          <w:lang w:val="en-US"/>
        </w:rPr>
      </w:pPr>
    </w:p>
    <w:sectPr w:rsidR="00FD19EE" w:rsidRPr="005515F2" w:rsidSect="00CB08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E1C79"/>
    <w:multiLevelType w:val="multilevel"/>
    <w:tmpl w:val="19E0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3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15"/>
    <w:rsid w:val="00025E73"/>
    <w:rsid w:val="0003696F"/>
    <w:rsid w:val="00052CE8"/>
    <w:rsid w:val="00093721"/>
    <w:rsid w:val="00095C3A"/>
    <w:rsid w:val="000B0525"/>
    <w:rsid w:val="00145656"/>
    <w:rsid w:val="001517D8"/>
    <w:rsid w:val="00157AB6"/>
    <w:rsid w:val="00177481"/>
    <w:rsid w:val="002147A3"/>
    <w:rsid w:val="00222711"/>
    <w:rsid w:val="002323FC"/>
    <w:rsid w:val="00262CAE"/>
    <w:rsid w:val="00284CCA"/>
    <w:rsid w:val="00300F93"/>
    <w:rsid w:val="003117B7"/>
    <w:rsid w:val="003A7BE4"/>
    <w:rsid w:val="003B34BE"/>
    <w:rsid w:val="003D1F94"/>
    <w:rsid w:val="003F3E1A"/>
    <w:rsid w:val="00407782"/>
    <w:rsid w:val="004917C9"/>
    <w:rsid w:val="004A3535"/>
    <w:rsid w:val="004C620C"/>
    <w:rsid w:val="004D0C12"/>
    <w:rsid w:val="005022EF"/>
    <w:rsid w:val="00506447"/>
    <w:rsid w:val="0052350D"/>
    <w:rsid w:val="005515F2"/>
    <w:rsid w:val="0059088A"/>
    <w:rsid w:val="00636BDA"/>
    <w:rsid w:val="00682A33"/>
    <w:rsid w:val="006929D4"/>
    <w:rsid w:val="006A7EE6"/>
    <w:rsid w:val="006E74F2"/>
    <w:rsid w:val="00715AC7"/>
    <w:rsid w:val="00726D97"/>
    <w:rsid w:val="00742177"/>
    <w:rsid w:val="007518F4"/>
    <w:rsid w:val="00752D7A"/>
    <w:rsid w:val="007D1089"/>
    <w:rsid w:val="00873471"/>
    <w:rsid w:val="00874263"/>
    <w:rsid w:val="008876F2"/>
    <w:rsid w:val="008D62AE"/>
    <w:rsid w:val="009304CD"/>
    <w:rsid w:val="0093627E"/>
    <w:rsid w:val="0094123E"/>
    <w:rsid w:val="0096233C"/>
    <w:rsid w:val="009D09E3"/>
    <w:rsid w:val="009F3CC5"/>
    <w:rsid w:val="00A102F5"/>
    <w:rsid w:val="00A24FBA"/>
    <w:rsid w:val="00A43C2C"/>
    <w:rsid w:val="00A54708"/>
    <w:rsid w:val="00B133AD"/>
    <w:rsid w:val="00B82504"/>
    <w:rsid w:val="00B84686"/>
    <w:rsid w:val="00BA3A75"/>
    <w:rsid w:val="00C62667"/>
    <w:rsid w:val="00C71FBE"/>
    <w:rsid w:val="00C86EEA"/>
    <w:rsid w:val="00CB087B"/>
    <w:rsid w:val="00D03D15"/>
    <w:rsid w:val="00D144D3"/>
    <w:rsid w:val="00D516DE"/>
    <w:rsid w:val="00E4182E"/>
    <w:rsid w:val="00E56D56"/>
    <w:rsid w:val="00FD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9BAB"/>
  <w15:chartTrackingRefBased/>
  <w15:docId w15:val="{8B271F22-EE2F-EF4A-8CDE-74860E9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7B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08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087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3A7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jschrift">
    <w:name w:val="caption"/>
    <w:basedOn w:val="Standaard"/>
    <w:next w:val="Standaard"/>
    <w:uiPriority w:val="35"/>
    <w:unhideWhenUsed/>
    <w:qFormat/>
    <w:rsid w:val="004917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332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Findings TwinCat Software</dc:title>
  <dc:subject>Robot arm project</dc:subject>
  <dc:creator>jorn kersten, dimitar dyulgerov, rik heesewijk, Luuk aarts</dc:creator>
  <cp:keywords/>
  <dc:description/>
  <cp:lastModifiedBy>Aarts,Luuk L.H.K.</cp:lastModifiedBy>
  <cp:revision>68</cp:revision>
  <dcterms:created xsi:type="dcterms:W3CDTF">2023-04-13T07:46:00Z</dcterms:created>
  <dcterms:modified xsi:type="dcterms:W3CDTF">2023-04-13T12:08:00Z</dcterms:modified>
</cp:coreProperties>
</file>