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B0529B" wp14:paraId="1E5B6C7A" wp14:textId="4EFC0CE8">
      <w:pPr>
        <w:pStyle w:val="Title"/>
      </w:pPr>
      <w:r w:rsidRPr="79B0529B" w:rsidR="117D1FDB">
        <w:rPr>
          <w:noProof w:val="0"/>
          <w:lang w:val="en-US"/>
        </w:rPr>
        <w:t xml:space="preserve">BPMN </w:t>
      </w:r>
      <w:r w:rsidRPr="79B0529B" w:rsidR="50A678CD">
        <w:rPr>
          <w:noProof w:val="0"/>
          <w:lang w:val="en-US"/>
        </w:rPr>
        <w:t>Workshop Research</w:t>
      </w:r>
      <w:r w:rsidRPr="79B0529B" w:rsidR="117D1FDB">
        <w:rPr>
          <w:noProof w:val="0"/>
          <w:lang w:val="en-US"/>
        </w:rPr>
        <w:t xml:space="preserve"> Notes</w:t>
      </w:r>
    </w:p>
    <w:p xmlns:wp14="http://schemas.microsoft.com/office/word/2010/wordml" w:rsidP="79B0529B" wp14:paraId="5F73933A" wp14:textId="2762BC17">
      <w:pPr>
        <w:spacing w:before="0" w:beforeAutospacing="off" w:after="300" w:afterAutospacing="off"/>
      </w:pPr>
      <w:r w:rsidRPr="79B0529B" w:rsidR="117D1FDB">
        <w:rPr>
          <w:rFonts w:ascii="Arial" w:hAnsi="Arial" w:eastAsia="Arial" w:cs="Arial"/>
          <w:b w:val="0"/>
          <w:bCs w:val="0"/>
          <w:i w:val="1"/>
          <w:iCs w:val="1"/>
          <w:strike w:val="0"/>
          <w:dstrike w:val="0"/>
          <w:noProof w:val="0"/>
          <w:color w:val="595959" w:themeColor="text1" w:themeTint="A6" w:themeShade="FF"/>
          <w:sz w:val="22"/>
          <w:szCs w:val="22"/>
          <w:u w:val="none"/>
          <w:lang w:val="en-US"/>
        </w:rPr>
        <w:t>Part 1: What BPMN is, why it is used, its alternatives, and its benefits and drawbacks  for a software engineering audience</w:t>
      </w:r>
    </w:p>
    <w:p xmlns:wp14="http://schemas.microsoft.com/office/word/2010/wordml" w:rsidP="79B0529B" wp14:paraId="74DBC551" wp14:textId="52F63790">
      <w:pPr>
        <w:spacing w:before="0" w:beforeAutospacing="off" w:after="60" w:afterAutospacing="off"/>
      </w:pPr>
      <w:r w:rsidRPr="79B0529B" w:rsidR="117D1FDB">
        <w:rPr>
          <w:rFonts w:ascii="Arial" w:hAnsi="Arial" w:eastAsia="Arial" w:cs="Arial"/>
          <w:b w:val="0"/>
          <w:bCs w:val="0"/>
          <w:i w:val="0"/>
          <w:iCs w:val="0"/>
          <w:strike w:val="0"/>
          <w:dstrike w:val="0"/>
          <w:noProof w:val="0"/>
          <w:color w:val="808080" w:themeColor="background1" w:themeTint="FF" w:themeShade="80"/>
          <w:sz w:val="22"/>
          <w:szCs w:val="22"/>
          <w:u w:val="none"/>
          <w:lang w:val="en-US"/>
        </w:rPr>
        <w:t>Romain · BPMN for IT Process Design workshop · September 2026</w:t>
      </w:r>
    </w:p>
    <w:p xmlns:wp14="http://schemas.microsoft.com/office/word/2010/wordml" w:rsidP="79B0529B" wp14:paraId="757FC8B7" wp14:textId="3873E806">
      <w:pPr>
        <w:spacing w:before="0" w:beforeAutospacing="off" w:after="24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rsidP="79B0529B" wp14:paraId="62F9F9C7" wp14:textId="71D0CA50">
      <w:pPr>
        <w:pStyle w:val="Heading1"/>
        <w:spacing w:before="320" w:beforeAutospacing="off" w:after="160" w:afterAutospacing="off"/>
      </w:pPr>
      <w:r w:rsidRPr="79B0529B" w:rsidR="117D1FDB">
        <w:rPr>
          <w:rFonts w:ascii="Arial" w:hAnsi="Arial" w:eastAsia="Arial" w:cs="Arial"/>
          <w:b w:val="1"/>
          <w:bCs w:val="1"/>
          <w:i w:val="0"/>
          <w:iCs w:val="0"/>
          <w:strike w:val="0"/>
          <w:dstrike w:val="0"/>
          <w:noProof w:val="0"/>
          <w:color w:val="000000" w:themeColor="text1" w:themeTint="FF" w:themeShade="FF"/>
          <w:sz w:val="28"/>
          <w:szCs w:val="28"/>
          <w:u w:val="none"/>
          <w:lang w:val="en-US"/>
        </w:rPr>
        <w:t>1. What BPMN is</w:t>
      </w:r>
    </w:p>
    <w:p xmlns:wp14="http://schemas.microsoft.com/office/word/2010/wordml" w:rsidP="79B0529B" wp14:paraId="524B4132" wp14:textId="406E11D4">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BPMN, Business Process Model and Notation, is a graphical standard for describing how a process actually runs: which steps happen, in what order, who is responsible for each one, and where decisions or parallel work occur. It was developed by the Business Process Management Initiative and has been maintained by the Object Management Group since 2005; BPMN 2.0 is also published as ISO/IEC 19510. The point of standardising it was to stop every consultancy and every tool vendor from drawing process diagrams with its own private set of shapes, which made diagrams impossible to exchange or compare.</w:t>
      </w:r>
    </w:p>
    <w:p xmlns:wp14="http://schemas.microsoft.com/office/word/2010/wordml" w:rsidP="79B0529B" wp14:paraId="47DD3DE1" wp14:textId="0FCD3A02">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A BPMN diagram is built from a small set of element types: events (circles) mark things that start, interrupt or end a process; activities (rounded rectangles) are the actual work; gateways (diamonds) are decision or split/merge points; and pools and lanes partition the diagram by participant or team, so a handoff between support and development is drawn, not implied. Jonathan's part of the workshop covers this notation in more depth.</w:t>
      </w:r>
    </w:p>
    <w:p xmlns:wp14="http://schemas.microsoft.com/office/word/2010/wordml" w:rsidP="79B0529B" wp14:paraId="65DFC0FC" wp14:textId="76940E46">
      <w:pPr>
        <w:pStyle w:val="Heading1"/>
        <w:spacing w:before="320" w:beforeAutospacing="off" w:after="160" w:afterAutospacing="off"/>
      </w:pPr>
      <w:r w:rsidRPr="79B0529B" w:rsidR="117D1FDB">
        <w:rPr>
          <w:rFonts w:ascii="Arial" w:hAnsi="Arial" w:eastAsia="Arial" w:cs="Arial"/>
          <w:b w:val="1"/>
          <w:bCs w:val="1"/>
          <w:i w:val="0"/>
          <w:iCs w:val="0"/>
          <w:strike w:val="0"/>
          <w:dstrike w:val="0"/>
          <w:noProof w:val="0"/>
          <w:color w:val="000000" w:themeColor="text1" w:themeTint="FF" w:themeShade="FF"/>
          <w:sz w:val="28"/>
          <w:szCs w:val="28"/>
          <w:u w:val="none"/>
          <w:lang w:val="en-US"/>
        </w:rPr>
        <w:t>2. Purpose, and why companies use it</w:t>
      </w:r>
    </w:p>
    <w:p xmlns:wp14="http://schemas.microsoft.com/office/word/2010/wordml" w:rsidP="79B0529B" wp14:paraId="2E187C29" wp14:textId="6622CDEA">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BPMN exists to close a specific gap: the same process is usually described three different ways by three different people  a business analyst's requirements document, a developer's implementation, and whatever the person actually doing the work has in their head. BPMN is designed to be readable by all three without translation. That is the reason it gets adopted: not because companies enjoy drawing diagrams, but because a shared, unambiguous picture of a process is what lets a change to it be discussed, agreed and then built, instead of getting reinterpreted at each handoff.</w:t>
      </w:r>
    </w:p>
    <w:p xmlns:wp14="http://schemas.microsoft.com/office/word/2010/wordml" w:rsidP="79B0529B" wp14:paraId="7C09E78C" wp14:textId="57E29343">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In practice this shows up as three recurring uses. Companies model an existing process to find where it is slow or unclear before touching it (this is exactly what Part 3 of our workshop asks each group to do). They model a target process as a specification that a development team then builds against, which is closer to how BPMN gets used on an internal automation project. And, where the tooling supports it, they run the diagram directly as an executable workflow, which is the use case that makes BPMN specifically relevant to software engineering.</w:t>
      </w:r>
    </w:p>
    <w:p xmlns:wp14="http://schemas.microsoft.com/office/word/2010/wordml" w:rsidP="79B0529B" wp14:paraId="4C1E0D7D" wp14:textId="6EE1E676">
      <w:pPr>
        <w:pStyle w:val="Heading1"/>
        <w:spacing w:before="320" w:beforeAutospacing="off" w:after="160" w:afterAutospacing="off"/>
      </w:pPr>
      <w:r w:rsidRPr="79B0529B" w:rsidR="117D1FDB">
        <w:rPr>
          <w:rFonts w:ascii="Arial" w:hAnsi="Arial" w:eastAsia="Arial" w:cs="Arial"/>
          <w:b w:val="1"/>
          <w:bCs w:val="1"/>
          <w:i w:val="0"/>
          <w:iCs w:val="0"/>
          <w:strike w:val="0"/>
          <w:dstrike w:val="0"/>
          <w:noProof w:val="0"/>
          <w:color w:val="000000" w:themeColor="text1" w:themeTint="FF" w:themeShade="FF"/>
          <w:sz w:val="28"/>
          <w:szCs w:val="28"/>
          <w:u w:val="none"/>
          <w:lang w:val="en-US"/>
        </w:rPr>
        <w:t>3. Why this matters specifically for software engineers</w:t>
      </w:r>
    </w:p>
    <w:p xmlns:wp14="http://schemas.microsoft.com/office/word/2010/wordml" w:rsidP="79B0529B" wp14:paraId="454BEB60" wp14:textId="2B281718">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engines like Camunda, Zeebe, or draw.io, a BPMN 2.0 diagram isn't just documentation that a developer later rebuilds in code somewhere else the file itself is the thing that runs. </w:t>
      </w:r>
    </w:p>
    <w:p xmlns:wp14="http://schemas.microsoft.com/office/word/2010/wordml" w:rsidP="79B0529B" wp14:paraId="088298E8" wp14:textId="4EFD6AED">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There's no translation step, no "now let's go implement what this diagram shows." The diagram the business analyst drew and the process actually running in production are literally the same file. So in our exercise, when a gateway decides whether a bug gets sent back to development or pushed on to release, that's not a note buried in a ticketing tool's settings it's the real routing logic, right there in the diagram.</w:t>
      </w:r>
    </w:p>
    <w:p xmlns:wp14="http://schemas.microsoft.com/office/word/2010/wordml" w:rsidP="79B0529B" wp14:paraId="23B9FB82" wp14:textId="14C09109">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The other reason this is worth knowing as a developer: BPMN comes with a set of already-solved answers to problems every workflow eventually runs into. Need two things to happen at once and wait for both to finish?</w:t>
      </w:r>
    </w:p>
    <w:p xmlns:wp14="http://schemas.microsoft.com/office/word/2010/wordml" w:rsidP="79B0529B" wp14:paraId="6104C71D" wp14:textId="074F476E">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That's a parallel gateway. Need to react if something takes too long? Timer event. Need to catch a failure without the whole process crashing? Error boundary event. Teams that build this kind of logic by hand in their own code tend to end up reinventing it clumsily over time.</w:t>
      </w:r>
    </w:p>
    <w:p xmlns:wp14="http://schemas.microsoft.com/office/word/2010/wordml" w:rsidP="79B0529B" wp14:paraId="6578BF62" wp14:textId="0F0DEE73">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A BPMN engine gives it to you out of the box, and it also keeps that orchestration logic separate from the actual services doing the work which is exactly why BPMN has caught on as a way to coordinate microservices without hard-wiring them to call each other directly. Even if you never touch a BPMN tool again after this workshop, that's a habit worth keeping: keep the "who does what, in what order, what happens if it fails" logic separate from the code that does the actual work.</w:t>
      </w:r>
    </w:p>
    <w:p xmlns:wp14="http://schemas.microsoft.com/office/word/2010/wordml" wp14:paraId="303F6CE3" wp14:textId="64DDBB34">
      <w:r>
        <w:br w:type="page"/>
      </w:r>
    </w:p>
    <w:p xmlns:wp14="http://schemas.microsoft.com/office/word/2010/wordml" w:rsidP="79B0529B" wp14:paraId="4C6F2E96" wp14:textId="37842ADE">
      <w:pPr>
        <w:pStyle w:val="Normal"/>
        <w:spacing w:before="0" w:beforeAutospacing="off" w:after="16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79B0529B" wp14:paraId="527B1076" wp14:textId="6178CBE9">
      <w:pPr>
        <w:pStyle w:val="Heading1"/>
        <w:spacing w:before="320" w:beforeAutospacing="off" w:after="160" w:afterAutospacing="off"/>
      </w:pPr>
      <w:r w:rsidRPr="79B0529B" w:rsidR="117D1FDB">
        <w:rPr>
          <w:rFonts w:ascii="Arial" w:hAnsi="Arial" w:eastAsia="Arial" w:cs="Arial"/>
          <w:b w:val="1"/>
          <w:bCs w:val="1"/>
          <w:i w:val="0"/>
          <w:iCs w:val="0"/>
          <w:strike w:val="0"/>
          <w:dstrike w:val="0"/>
          <w:noProof w:val="0"/>
          <w:color w:val="000000" w:themeColor="text1" w:themeTint="FF" w:themeShade="FF"/>
          <w:sz w:val="28"/>
          <w:szCs w:val="28"/>
          <w:u w:val="none"/>
          <w:lang w:val="en-US"/>
        </w:rPr>
        <w:t>4. Alternatives to BPMN</w:t>
      </w:r>
    </w:p>
    <w:p xmlns:wp14="http://schemas.microsoft.com/office/word/2010/wordml" w:rsidP="79B0529B" wp14:paraId="5BB5360E" wp14:textId="37988E90">
      <w:pPr>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BPMN is not the only way to draw a process, and it is worth being honest about when something simpler is actually the better choice. The table below compares the notations most likely to come up, judged specifically against a software/IT process with parallel work and multiple teams  the kind our workshop uses  rather than against BPMN in general.</w:t>
      </w:r>
    </w:p>
    <w:tbl>
      <w:tblPr>
        <w:tblStyle w:val="TableNormal"/>
        <w:bidiVisual w:val="0"/>
        <w:tblW w:w="0" w:type="auto"/>
        <w:tblLook w:val="06A0" w:firstRow="1" w:lastRow="0" w:firstColumn="1" w:lastColumn="0" w:noHBand="1" w:noVBand="1"/>
      </w:tblPr>
      <w:tblGrid>
        <w:gridCol w:w="1543"/>
        <w:gridCol w:w="2368"/>
        <w:gridCol w:w="2683"/>
        <w:gridCol w:w="1948"/>
      </w:tblGrid>
      <w:tr w:rsidR="79B0529B" w:rsidTr="79B0529B" w14:paraId="06F7712B">
        <w:trPr>
          <w:trHeight w:val="64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60CE4B39" w14:textId="4C3B5E42">
            <w:pPr>
              <w:spacing w:before="0" w:beforeAutospacing="off" w:after="0" w:afterAutospacing="off"/>
            </w:pPr>
            <w:r w:rsidRPr="79B0529B" w:rsidR="79B0529B">
              <w:rPr>
                <w:rFonts w:ascii="Arial" w:hAnsi="Arial" w:eastAsia="Arial" w:cs="Arial"/>
                <w:b w:val="1"/>
                <w:bCs w:val="1"/>
                <w:i w:val="0"/>
                <w:iCs w:val="0"/>
                <w:strike w:val="0"/>
                <w:dstrike w:val="0"/>
                <w:color w:val="FFFFFF" w:themeColor="background1" w:themeTint="FF" w:themeShade="FF"/>
                <w:sz w:val="22"/>
                <w:szCs w:val="22"/>
                <w:u w:val="none"/>
              </w:rPr>
              <w:t>Notation</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2484AF87" w14:textId="7BB701F2">
            <w:pPr>
              <w:spacing w:before="0" w:beforeAutospacing="off" w:after="0" w:afterAutospacing="off"/>
            </w:pPr>
            <w:r w:rsidRPr="79B0529B" w:rsidR="79B0529B">
              <w:rPr>
                <w:rFonts w:ascii="Arial" w:hAnsi="Arial" w:eastAsia="Arial" w:cs="Arial"/>
                <w:b w:val="1"/>
                <w:bCs w:val="1"/>
                <w:i w:val="0"/>
                <w:iCs w:val="0"/>
                <w:strike w:val="0"/>
                <w:dstrike w:val="0"/>
                <w:color w:val="FFFFFF" w:themeColor="background1" w:themeTint="FF" w:themeShade="FF"/>
                <w:sz w:val="22"/>
                <w:szCs w:val="22"/>
                <w:u w:val="none"/>
              </w:rPr>
              <w:t>Built for</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5F564641" w14:textId="0393BD2B">
            <w:pPr>
              <w:spacing w:before="0" w:beforeAutospacing="off" w:after="0" w:afterAutospacing="off"/>
            </w:pPr>
            <w:r w:rsidRPr="79B0529B" w:rsidR="79B0529B">
              <w:rPr>
                <w:rFonts w:ascii="Arial" w:hAnsi="Arial" w:eastAsia="Arial" w:cs="Arial"/>
                <w:b w:val="1"/>
                <w:bCs w:val="1"/>
                <w:i w:val="0"/>
                <w:iCs w:val="0"/>
                <w:strike w:val="0"/>
                <w:dstrike w:val="0"/>
                <w:color w:val="FFFFFF" w:themeColor="background1" w:themeTint="FF" w:themeShade="FF"/>
                <w:sz w:val="22"/>
                <w:szCs w:val="22"/>
                <w:u w:val="none"/>
              </w:rPr>
              <w:t>Weak point in a software context</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120F1FAD" w14:textId="46891850">
            <w:pPr>
              <w:spacing w:before="0" w:beforeAutospacing="off" w:after="0" w:afterAutospacing="off"/>
            </w:pPr>
            <w:r w:rsidRPr="79B0529B" w:rsidR="79B0529B">
              <w:rPr>
                <w:rFonts w:ascii="Arial" w:hAnsi="Arial" w:eastAsia="Arial" w:cs="Arial"/>
                <w:b w:val="1"/>
                <w:bCs w:val="1"/>
                <w:i w:val="0"/>
                <w:iCs w:val="0"/>
                <w:strike w:val="0"/>
                <w:dstrike w:val="0"/>
                <w:color w:val="FFFFFF" w:themeColor="background1" w:themeTint="FF" w:themeShade="FF"/>
                <w:sz w:val="22"/>
                <w:szCs w:val="22"/>
                <w:u w:val="none"/>
              </w:rPr>
              <w:t>Fit vs. BPMN</w:t>
            </w:r>
          </w:p>
        </w:tc>
      </w:tr>
      <w:tr w:rsidR="79B0529B" w:rsidTr="79B0529B" w14:paraId="1750049A">
        <w:trPr>
          <w:trHeight w:val="112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339FDD5A" w14:textId="20E623EC">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Flowchart</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79BFD6E" w14:textId="0BC6A3B2">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Any linear procedure, no formal rules</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C9673BA" w14:textId="2E90118A">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No native way to show parallel work, handoffs between teams, or timeouts  exactly what our IT process needs</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52675591" w14:textId="064AD66B">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Too weak</w:t>
            </w:r>
          </w:p>
        </w:tc>
      </w:tr>
      <w:tr w:rsidR="79B0529B" w:rsidTr="79B0529B" w14:paraId="5DC7DEE6">
        <w:trPr>
          <w:trHeight w:val="136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0BFF117E" w14:textId="72FB7E9B">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UML Activity Diagram</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00816542" w14:textId="3EEF2B7D">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Describing control flow inside a system, for a developer audience</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67200D5B" w14:textId="52EEE3E1">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Reads as internal program logic, not as something a support agent or a client can follow; no data/message flow between participants</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0DBEB675" w14:textId="4F192342">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Overlaps, narrower audience</w:t>
            </w:r>
          </w:p>
        </w:tc>
      </w:tr>
      <w:tr w:rsidR="79B0529B" w:rsidTr="79B0529B" w14:paraId="4371777A">
        <w:trPr>
          <w:trHeight w:val="136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7750AC6F" w14:textId="1AC29CCD">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EPC (Event-driven Process Chain)</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545668E3" w14:textId="308F7426">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SAP/ARIS-style process documentation</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5E72B9E1" w14:textId="17952B94">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Strict alternating event–function chain makes concurrent branches (dev + QA running in parallel) clumsy; mostly a legacy, licensed-tool ecosystem</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64D7C479" w14:textId="1A5F0787">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Largely superseded by BPMN</w:t>
            </w:r>
          </w:p>
        </w:tc>
      </w:tr>
      <w:tr w:rsidR="79B0529B" w:rsidTr="79B0529B" w14:paraId="70E45FF1">
        <w:trPr>
          <w:trHeight w:val="88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76FCC99D" w14:textId="4FA671EC">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Petri nets</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7E5CC0A5" w14:textId="1BEF4E54">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Formal, mathematically verifiable modelling of concurrency</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2F92390B" w14:textId="007B8F53">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Rigorous but not legible to a non-specialist; nobody hands a Petri net to a product owner</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2A8F9536" w14:textId="3D3DEAB2">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Too formal for communication</w:t>
            </w:r>
          </w:p>
        </w:tc>
      </w:tr>
      <w:tr w:rsidR="79B0529B" w:rsidTr="79B0529B" w14:paraId="52A82DB9">
        <w:trPr>
          <w:trHeight w:val="88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DE03112" w14:textId="3A8F5268">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Data Flow Diagram (DFD)</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7EC1524B" w14:textId="55B49D66">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Tracing how data moves between stores and processes</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38B208E" w14:textId="239F906C">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Says nothing about sequence, decisions, or who does what  not a process model at all</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DFA3AF1" w14:textId="0B3B0BF6">
            <w:pPr>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Different purpose entirely</w:t>
            </w:r>
          </w:p>
        </w:tc>
      </w:tr>
    </w:tbl>
    <w:p xmlns:wp14="http://schemas.microsoft.com/office/word/2010/wordml" w:rsidP="79B0529B" wp14:paraId="2E730973" wp14:textId="229BE65B">
      <w:pPr>
        <w:bidi w:val="0"/>
        <w:spacing w:before="40" w:beforeAutospacing="off" w:after="200" w:afterAutospacing="off"/>
      </w:pPr>
      <w:r w:rsidRPr="79B0529B" w:rsidR="117D1FDB">
        <w:rPr>
          <w:rFonts w:ascii="Arial" w:hAnsi="Arial" w:eastAsia="Arial" w:cs="Arial"/>
          <w:b w:val="0"/>
          <w:bCs w:val="0"/>
          <w:i w:val="1"/>
          <w:iCs w:val="1"/>
          <w:strike w:val="0"/>
          <w:dstrike w:val="0"/>
          <w:noProof w:val="0"/>
          <w:color w:val="595959" w:themeColor="text1" w:themeTint="A6" w:themeShade="FF"/>
          <w:sz w:val="18"/>
          <w:szCs w:val="18"/>
          <w:u w:val="none"/>
          <w:lang w:val="en-US"/>
        </w:rPr>
        <w:t>.</w:t>
      </w:r>
    </w:p>
    <w:p xmlns:wp14="http://schemas.microsoft.com/office/word/2010/wordml" w:rsidP="79B0529B" wp14:paraId="33A3FC72" wp14:textId="2441F919">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The short version: a flowchart is the right tool when a process genuinely has no branches or handoffs worth showing, and reaching for BPMN there is over-engineering the diagram. A UML activity diagram is the right tool when the audience is exclusively developers and the goal is describing what a system does internally, not what an organisation does across teams. BPMN earns its place specifically when a process crosses team or system boundaries and that crossing is the part worth showing  which describes our Part 2 exercise exactly.</w:t>
      </w:r>
    </w:p>
    <w:p xmlns:wp14="http://schemas.microsoft.com/office/word/2010/wordml" w:rsidP="79B0529B" wp14:paraId="25903B4F" wp14:textId="1FEEB099">
      <w:pPr>
        <w:pStyle w:val="Heading1"/>
        <w:bidi w:val="0"/>
        <w:spacing w:before="320" w:beforeAutospacing="off" w:after="160" w:afterAutospacing="off"/>
      </w:pPr>
      <w:r w:rsidRPr="79B0529B" w:rsidR="117D1FDB">
        <w:rPr>
          <w:rFonts w:ascii="Arial" w:hAnsi="Arial" w:eastAsia="Arial" w:cs="Arial"/>
          <w:b w:val="1"/>
          <w:bCs w:val="1"/>
          <w:i w:val="0"/>
          <w:iCs w:val="0"/>
          <w:strike w:val="0"/>
          <w:dstrike w:val="0"/>
          <w:noProof w:val="0"/>
          <w:color w:val="000000" w:themeColor="text1" w:themeTint="FF" w:themeShade="FF"/>
          <w:sz w:val="28"/>
          <w:szCs w:val="28"/>
          <w:u w:val="none"/>
          <w:lang w:val="en-US"/>
        </w:rPr>
        <w:t>5. Benefits and drawbacks</w:t>
      </w:r>
    </w:p>
    <w:p xmlns:wp14="http://schemas.microsoft.com/office/word/2010/wordml" w:rsidP="79B0529B" wp14:paraId="0932D0C5" wp14:textId="714048D4">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000000" w:themeColor="text1" w:themeTint="FF" w:themeShade="FF"/>
          <w:sz w:val="22"/>
          <w:szCs w:val="22"/>
          <w:u w:val="none"/>
          <w:lang w:val="en-US"/>
        </w:rPr>
        <w:t>Neither list below is theoretical; both come directly from how BPMN behaves once a team actually starts using it, not from a features comparison.</w:t>
      </w:r>
    </w:p>
    <w:tbl>
      <w:tblPr>
        <w:tblStyle w:val="TableNormal"/>
        <w:bidiVisual w:val="0"/>
        <w:tblW w:w="0" w:type="auto"/>
        <w:tblLook w:val="06A0" w:firstRow="1" w:lastRow="0" w:firstColumn="1" w:lastColumn="0" w:noHBand="1" w:noVBand="1"/>
      </w:tblPr>
      <w:tblGrid>
        <w:gridCol w:w="4483"/>
        <w:gridCol w:w="4483"/>
      </w:tblGrid>
      <w:tr w:rsidR="79B0529B" w:rsidTr="79B0529B" w14:paraId="4F2DFE28">
        <w:trPr>
          <w:trHeight w:val="40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2E7D32"/>
            <w:tcMar>
              <w:top w:w="80" w:type="dxa"/>
              <w:left w:w="100" w:type="dxa"/>
              <w:bottom w:w="80" w:type="dxa"/>
              <w:right w:w="100" w:type="dxa"/>
            </w:tcMar>
            <w:vAlign w:val="top"/>
          </w:tcPr>
          <w:p w:rsidR="79B0529B" w:rsidP="79B0529B" w:rsidRDefault="79B0529B" w14:paraId="344A575C" w14:textId="0BA817A3">
            <w:pPr>
              <w:bidi w:val="0"/>
              <w:spacing w:before="0" w:beforeAutospacing="off" w:after="0" w:afterAutospacing="off"/>
            </w:pPr>
            <w:r w:rsidRPr="79B0529B" w:rsidR="79B0529B">
              <w:rPr>
                <w:rFonts w:ascii="Arial" w:hAnsi="Arial" w:eastAsia="Arial" w:cs="Arial"/>
                <w:b w:val="1"/>
                <w:bCs w:val="1"/>
                <w:i w:val="0"/>
                <w:iCs w:val="0"/>
                <w:strike w:val="0"/>
                <w:dstrike w:val="0"/>
                <w:color w:val="FFFFFF" w:themeColor="background1" w:themeTint="FF" w:themeShade="FF"/>
                <w:sz w:val="22"/>
                <w:szCs w:val="22"/>
                <w:u w:val="none"/>
              </w:rPr>
              <w:t>Benefits</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8B0000"/>
            <w:tcMar>
              <w:top w:w="80" w:type="dxa"/>
              <w:left w:w="100" w:type="dxa"/>
              <w:bottom w:w="80" w:type="dxa"/>
              <w:right w:w="100" w:type="dxa"/>
            </w:tcMar>
            <w:vAlign w:val="top"/>
          </w:tcPr>
          <w:p w:rsidR="79B0529B" w:rsidP="79B0529B" w:rsidRDefault="79B0529B" w14:paraId="01D806AC" w14:textId="416B4898">
            <w:pPr>
              <w:bidi w:val="0"/>
              <w:spacing w:before="0" w:beforeAutospacing="off" w:after="0" w:afterAutospacing="off"/>
            </w:pPr>
            <w:r w:rsidRPr="79B0529B" w:rsidR="79B0529B">
              <w:rPr>
                <w:rFonts w:ascii="Arial" w:hAnsi="Arial" w:eastAsia="Arial" w:cs="Arial"/>
                <w:b w:val="1"/>
                <w:bCs w:val="1"/>
                <w:i w:val="0"/>
                <w:iCs w:val="0"/>
                <w:strike w:val="0"/>
                <w:dstrike w:val="0"/>
                <w:color w:val="FFFFFF" w:themeColor="background1" w:themeTint="FF" w:themeShade="FF"/>
                <w:sz w:val="22"/>
                <w:szCs w:val="22"/>
                <w:u w:val="none"/>
              </w:rPr>
              <w:t>Drawbacks</w:t>
            </w:r>
          </w:p>
        </w:tc>
      </w:tr>
      <w:tr w:rsidR="79B0529B" w:rsidTr="79B0529B" w14:paraId="58410F81">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35A7BA60" w14:textId="24E8C3F4">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One ISO standard (ISO/IEC 19510), so a diagram made in Camunda Modeler opens correctly in draw.io or Visual Paradigm</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AF25A2A" w14:textId="2ED4E241">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Full symbol set is large; a diagram that uses every gateway type is harder to read than the process it describes</w:t>
            </w:r>
          </w:p>
        </w:tc>
      </w:tr>
      <w:tr w:rsidR="79B0529B" w:rsidTr="79B0529B" w14:paraId="251A80A2">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12463101" w14:textId="608FC2C2">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Same diagram serves the business analyst, the developer and the end user  removes the “translation” step between a requirements doc and a technical spec</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4B8492B7" w14:textId="254B5234">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No Business Process Management System implements the full BPMN 2.0 specification, so “executable” models still need per-engine adjustment</w:t>
            </w:r>
          </w:p>
        </w:tc>
      </w:tr>
      <w:tr w:rsidR="79B0529B" w:rsidTr="79B0529B" w14:paraId="0E29AA02">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1A749268" w14:textId="39920D7A">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BPMN 2.0 files are XML  the diagram is the source code. Engines such as Camunda or Zeebe run it directly, with no separate implementation step</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F3BF26D" w14:textId="1B52569E">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Editing a large diagram is riskier than editing code: a moved gateway can silently change the logic, and diff/version-control tooling is far weaker than for text</w:t>
            </w:r>
          </w:p>
        </w:tc>
      </w:tr>
      <w:tr w:rsidR="79B0529B" w:rsidTr="79B0529B" w14:paraId="78080AE7">
        <w:trPr>
          <w:trHeight w:val="112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3E2D10E8" w14:textId="7927406C">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Ships proven concurrency and error-handling patterns (parallel gateways, timers, boundary/error events) that most teams would otherwise reinvent in application code</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3D9F23E5" w14:textId="3069CF03">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Assumes a structured process with a clear start and end; unstructured, case-by-case work (e.g. ad hoc investigation) does not map onto it well</w:t>
            </w:r>
          </w:p>
        </w:tc>
      </w:tr>
      <w:tr w:rsidR="79B0529B" w:rsidTr="79B0529B" w14:paraId="691625CF">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777CAAE5" w14:textId="753CC45C">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Encourages separating the happy path from exception handling, which tends to produce cleaner, more maintainable workflow code</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A31717E" w14:textId="7CAA955A">
            <w:pPr>
              <w:bidi w:val="0"/>
              <w:spacing w:before="0" w:beforeAutospacing="off" w:after="0" w:afterAutospacing="off"/>
            </w:pPr>
            <w:r w:rsidRPr="79B0529B" w:rsidR="79B0529B">
              <w:rPr>
                <w:rFonts w:ascii="Arial" w:hAnsi="Arial" w:eastAsia="Arial" w:cs="Arial"/>
                <w:b w:val="0"/>
                <w:bCs w:val="0"/>
                <w:i w:val="0"/>
                <w:iCs w:val="0"/>
                <w:strike w:val="0"/>
                <w:dstrike w:val="0"/>
                <w:color w:val="000000" w:themeColor="text1" w:themeTint="FF" w:themeShade="FF"/>
                <w:sz w:val="22"/>
                <w:szCs w:val="22"/>
                <w:u w:val="none"/>
              </w:rPr>
              <w:t>Genuinely takes time to learn well  reading a complex diagram correctly is closer to reading unfamiliar code than to reading a flowchart</w:t>
            </w:r>
          </w:p>
        </w:tc>
      </w:tr>
    </w:tbl>
    <w:p xmlns:wp14="http://schemas.microsoft.com/office/word/2010/wordml" wp14:paraId="1DDFA55E" wp14:textId="0F8CA536"/>
    <w:p xmlns:wp14="http://schemas.microsoft.com/office/word/2010/wordml" wp14:paraId="1EA2459F" wp14:textId="35DB792D"/>
    <w:p xmlns:wp14="http://schemas.microsoft.com/office/word/2010/wordml" wp14:paraId="35BF9594" wp14:textId="728580CD"/>
    <w:p xmlns:wp14="http://schemas.microsoft.com/office/word/2010/wordml" wp14:paraId="4AE2DA4C" wp14:textId="546F3A2F"/>
    <w:p xmlns:wp14="http://schemas.microsoft.com/office/word/2010/wordml" w:rsidP="79B0529B" wp14:paraId="6CEAAE37" wp14:textId="2DF80AE2">
      <w:pPr>
        <w:pStyle w:val="Normal"/>
      </w:pPr>
    </w:p>
    <w:p xmlns:wp14="http://schemas.microsoft.com/office/word/2010/wordml" w:rsidP="79B0529B" wp14:paraId="71CEEB0C" wp14:textId="590F5F3C">
      <w:pPr>
        <w:pStyle w:val="Heading1"/>
        <w:bidi w:val="0"/>
        <w:spacing w:before="320" w:beforeAutospacing="off" w:after="160" w:afterAutospacing="off"/>
      </w:pPr>
      <w:r w:rsidRPr="79B0529B" w:rsidR="117D1FDB">
        <w:rPr>
          <w:rFonts w:ascii="Arial" w:hAnsi="Arial" w:eastAsia="Arial" w:cs="Arial"/>
          <w:b w:val="1"/>
          <w:bCs w:val="1"/>
          <w:i w:val="0"/>
          <w:iCs w:val="0"/>
          <w:strike w:val="0"/>
          <w:dstrike w:val="0"/>
          <w:noProof w:val="0"/>
          <w:color w:val="000000" w:themeColor="text1" w:themeTint="FF" w:themeShade="FF"/>
          <w:sz w:val="28"/>
          <w:szCs w:val="28"/>
          <w:u w:val="none"/>
          <w:lang w:val="en-US"/>
        </w:rPr>
        <w:t>Sources</w:t>
      </w:r>
    </w:p>
    <w:p xmlns:wp14="http://schemas.microsoft.com/office/word/2010/wordml" w:rsidP="79B0529B" wp14:paraId="2B5401C2" wp14:textId="27633214">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Object Management Group, “Business Process Model &amp; Notation (BPMN),” omg.org/bpmn/.</w:t>
      </w:r>
    </w:p>
    <w:p xmlns:wp14="http://schemas.microsoft.com/office/word/2010/wordml" w:rsidP="79B0529B" wp14:paraId="1CEE8692" wp14:textId="2FE6BA9E">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IBM, “What is Business Process Modeling and Notation (BPMN)?,” ibm.com/think/topics/bpmn.</w:t>
      </w:r>
    </w:p>
    <w:p xmlns:wp14="http://schemas.microsoft.com/office/word/2010/wordml" w:rsidP="79B0529B" wp14:paraId="15AA222E" wp14:textId="5E0063C4">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Visual Paradigm Guides, “A Comparative Analysis of Activity Diagrams and BPMN in UML.”</w:t>
      </w:r>
    </w:p>
    <w:p xmlns:wp14="http://schemas.microsoft.com/office/word/2010/wordml" w:rsidP="79B0529B" wp14:paraId="034AD354" wp14:textId="52B55CA6">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Netcall, “Alternatives to Business Process Modelling Notation – BPMN.”</w:t>
      </w:r>
    </w:p>
    <w:p xmlns:wp14="http://schemas.microsoft.com/office/word/2010/wordml" w:rsidP="79B0529B" wp14:paraId="340E7709" wp14:textId="60FACC78">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Helppier, “Advantages and disadvantages of BPMN vs. traditional flowchart.”</w:t>
      </w:r>
    </w:p>
    <w:p xmlns:wp14="http://schemas.microsoft.com/office/word/2010/wordml" w:rsidP="79B0529B" wp14:paraId="61D92016" wp14:textId="5E8BD038">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Camunda, “BPMN and Microservices Orchestration, Part 1: Flow Languages, Engines, and Timeless Patterns,” camunda.com/blog.</w:t>
      </w:r>
    </w:p>
    <w:p xmlns:wp14="http://schemas.microsoft.com/office/word/2010/wordml" w:rsidP="79B0529B" wp14:paraId="3B521678" wp14:textId="2BDC3A15">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Viewflow, “5 lessons that software developers can learn from BPMN.”</w:t>
      </w:r>
    </w:p>
    <w:p xmlns:wp14="http://schemas.microsoft.com/office/word/2010/wordml" w:rsidP="79B0529B" wp14:paraId="4B4DDB89" wp14:textId="2AE9625C">
      <w:pPr>
        <w:bidi w:val="0"/>
        <w:spacing w:before="0" w:beforeAutospacing="off" w:after="160" w:afterAutospacing="off"/>
      </w:pPr>
      <w:r w:rsidRPr="79B0529B" w:rsidR="117D1FDB">
        <w:rPr>
          <w:rFonts w:ascii="Arial" w:hAnsi="Arial" w:eastAsia="Arial" w:cs="Arial"/>
          <w:b w:val="0"/>
          <w:bCs w:val="0"/>
          <w:i w:val="0"/>
          <w:iCs w:val="0"/>
          <w:strike w:val="0"/>
          <w:dstrike w:val="0"/>
          <w:noProof w:val="0"/>
          <w:color w:val="444444"/>
          <w:sz w:val="22"/>
          <w:szCs w:val="22"/>
          <w:u w:val="none"/>
          <w:lang w:val="en-US"/>
        </w:rPr>
        <w:t>Y. Kologryvov, “What's wrong with BPMN?,” Medium.</w:t>
      </w:r>
    </w:p>
    <w:p xmlns:wp14="http://schemas.microsoft.com/office/word/2010/wordml" wp14:paraId="1D1AA494" wp14:textId="1CA2C968"/>
    <w:p xmlns:wp14="http://schemas.microsoft.com/office/word/2010/wordml" wp14:paraId="2C078E63" wp14:textId="57B536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8AFA1C"/>
    <w:rsid w:val="067271DC"/>
    <w:rsid w:val="0AF583A2"/>
    <w:rsid w:val="117D1FDB"/>
    <w:rsid w:val="2D1C24AA"/>
    <w:rsid w:val="2D1C24AA"/>
    <w:rsid w:val="328AFA1C"/>
    <w:rsid w:val="50A678CD"/>
    <w:rsid w:val="664B056B"/>
    <w:rsid w:val="79B05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B0FA"/>
  <w15:chartTrackingRefBased/>
  <w15:docId w15:val="{ACA250F5-F11F-4B28-BE23-42BF236EF0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B0529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9B0529B"/>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A5B5A29CDCCF45A161DA48B2CC5BC4" ma:contentTypeVersion="3" ma:contentTypeDescription="Een nieuw document maken." ma:contentTypeScope="" ma:versionID="29b8a2ab029342e13c94d765ce6b2b0f">
  <xsd:schema xmlns:xsd="http://www.w3.org/2001/XMLSchema" xmlns:xs="http://www.w3.org/2001/XMLSchema" xmlns:p="http://schemas.microsoft.com/office/2006/metadata/properties" xmlns:ns2="2a7037f2-c827-41b9-8ea2-0e28e5e00daf" targetNamespace="http://schemas.microsoft.com/office/2006/metadata/properties" ma:root="true" ma:fieldsID="81d58ef48979b919a792e553e55b2c79" ns2:_="">
    <xsd:import namespace="2a7037f2-c827-41b9-8ea2-0e28e5e00d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037f2-c827-41b9-8ea2-0e28e5e00d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E951E-DB3A-4B6D-A3F8-B772AB480DC6}"/>
</file>

<file path=customXml/itemProps2.xml><?xml version="1.0" encoding="utf-8"?>
<ds:datastoreItem xmlns:ds="http://schemas.openxmlformats.org/officeDocument/2006/customXml" ds:itemID="{E316AE0A-8C82-4941-9E18-6174C865C052}"/>
</file>

<file path=customXml/itemProps3.xml><?xml version="1.0" encoding="utf-8"?>
<ds:datastoreItem xmlns:ds="http://schemas.openxmlformats.org/officeDocument/2006/customXml" ds:itemID="{10B1B1F0-41D9-4936-A390-6B189DCDD4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Collard,romain R.V.P.</dc:creator>
  <keywords/>
  <dc:description/>
  <dcterms:created xsi:type="dcterms:W3CDTF">2026-09-11T09:59:48.0000000Z</dcterms:created>
  <dcterms:modified xsi:type="dcterms:W3CDTF">2026-09-11T10:03:10.2953686Z</dcterms:modified>
  <lastModifiedBy>Collard,romain R.V.P.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0x01010074A5B5A29CDCCF45A161DA48B2CC5BC4</vt:lpwstr>
  </property>
</Properties>
</file>